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Body paragraph one.</w:t>
      </w:r>
    </w:p>
    <w:p>
      <w:r>
        <w:t>Body paragraph two.</w:t>
      </w:r>
    </w:p>
    <w:sectPr w:rsidR="00FC693F" w:rsidRPr="0006063C" w:rsidSect="00034616">
      <w:foot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drawing>
        <wp:inline xmlns:a="http://schemas.openxmlformats.org/drawingml/2006/main" xmlns:pic="http://schemas.openxmlformats.org/drawingml/2006/picture">
          <wp:extent cx="1905000" cy="1270000"/>
          <wp:docPr id="1" name="Picture 1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footer_img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905000" cy="1270000"/>
                  </a:xfrm>
                  <a:prstGeom prst="rect"/>
                </pic:spPr>
              </pic:pic>
            </a:graphicData>
          </a:graphic>
        </wp:inline>
      </w:drawing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_rels/foot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