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440" w:type="dxa"/>
        <w:jc w:val="left"/>
        <w:tblInd w:w="0" w:type="dxa"/>
        <w:tblCellMar>
          <w:top w:w="140" w:type="dxa"/>
          <w:left w:w="120" w:type="dxa"/>
          <w:bottom w:w="140" w:type="dxa"/>
          <w:right w:w="120" w:type="dxa"/>
        </w:tblCellMar>
        <w:tblLook w:val="0000" w:noHBand="0" w:noVBand="0" w:firstColumn="0" w:lastRow="0" w:lastColumn="0" w:firstRow="0"/>
      </w:tblPr>
      <w:tblGrid>
        <w:gridCol w:w="1889"/>
        <w:gridCol w:w="8550"/>
      </w:tblGrid>
      <w:tr>
        <w:trPr/>
        <w:tc>
          <w:tcPr>
            <w:tcW w:w="1889" w:type="dxa"/>
            <w:tcBorders/>
            <w:shd w:color="auto" w:fill="0D2137" w:val="clear"/>
            <w:vAlign w:val="center"/>
          </w:tcPr>
          <w:p>
            <w:pPr>
              <w:pStyle w:val="Normal"/>
              <w:jc w:val="center"/>
              <w:rPr/>
            </w:pPr>
            <w:r>
              <w:rPr/>
            </w:r>
          </w:p>
        </w:tc>
        <w:tc>
          <w:tcPr>
            <w:tcW w:w="8550" w:type="dxa"/>
            <w:tcBorders/>
            <w:shd w:color="auto" w:fill="0D2137" w:val="clear"/>
            <w:tcMar>
              <w:top w:w="130" w:type="dxa"/>
              <w:left w:w="240" w:type="dxa"/>
              <w:bottom w:w="130" w:type="dxa"/>
              <w:right w:w="140" w:type="dxa"/>
            </w:tcMar>
            <w:vAlign w:val="center"/>
          </w:tcPr>
          <w:p>
            <w:pPr>
              <w:pStyle w:val="Normal"/>
              <w:spacing w:before="40" w:after="20"/>
              <w:rPr/>
            </w:pPr>
            <w:r>
              <w:rPr>
                <w:b/>
                <w:bCs/>
                <w:caps/>
                <w:color w:val="FFFFFF"/>
                <w:sz w:val="56"/>
                <w:szCs w:val="56"/>
              </w:rPr>
              <w:t>Arun Dini</w:t>
            </w:r>
          </w:p>
          <w:p>
            <w:pPr>
              <w:pStyle w:val="Normal"/>
              <w:spacing w:before="0" w:after="20"/>
              <w:rPr/>
            </w:pPr>
            <w:r>
              <w:rPr>
                <w:color w:val="C0D8E8"/>
                <w:sz w:val="23"/>
                <w:szCs w:val="23"/>
              </w:rPr>
              <w:t>Chief Technology &amp; AI Officer  |  CTO / CIO  |  Founder-CEO</w:t>
            </w:r>
          </w:p>
          <w:p>
            <w:pPr>
              <w:pStyle w:val="Normal"/>
              <w:rPr/>
            </w:pPr>
            <w:r>
              <w:rPr>
                <w:color w:val="90BAD0"/>
                <w:sz w:val="17"/>
                <w:szCs w:val="17"/>
              </w:rPr>
              <w:t xml:space="preserve">248-854-5310  |  </w:t>
            </w:r>
            <w:r>
              <w:rPr>
                <w:color w:val="90BAD0"/>
                <w:sz w:val="17"/>
                <w:szCs w:val="17"/>
              </w:rPr>
              <w:t>arun</w:t>
            </w:r>
            <w:r>
              <w:rPr>
                <w:color w:val="90BAD0"/>
                <w:sz w:val="17"/>
                <w:szCs w:val="17"/>
              </w:rPr>
              <w:t>@gmail.com  |  linkedin.com/in/</w:t>
            </w:r>
            <w:r>
              <w:rPr>
                <w:color w:val="90BAD0"/>
                <w:sz w:val="17"/>
                <w:szCs w:val="17"/>
              </w:rPr>
              <w:t>arun</w:t>
            </w:r>
          </w:p>
        </w:tc>
      </w:tr>
      <w:tr>
        <w:trPr/>
        <w:tc>
          <w:tcPr>
            <w:tcW w:w="10439" w:type="dxa"/>
            <w:gridSpan w:val="2"/>
            <w:tcBorders/>
            <w:shd w:color="auto" w:fill="01696F" w:val="clear"/>
            <w:tcMar>
              <w:top w:w="80" w:type="dxa"/>
              <w:left w:w="140" w:type="dxa"/>
              <w:bottom w:w="80" w:type="dxa"/>
              <w:right w:w="140" w:type="dxa"/>
            </w:tcMar>
          </w:tcPr>
          <w:p>
            <w:pPr>
              <w:pStyle w:val="Normal"/>
              <w:jc w:val="center"/>
              <w:rPr/>
            </w:pPr>
            <w:r>
              <w:rPr>
                <w:color w:val="FFFFFF"/>
              </w:rPr>
              <w:t>MS · AI, Cumberlands  ·  MBA (Data Science), SSBM  ·  MS Cybersecurity, USD  ·  MIT Applied AI  ·  Wharton AI Risk &amp; Governance</w:t>
              <w:br/>
              <w:t xml:space="preserve">CXO Certified, U. Michigan  </w:t>
            </w:r>
          </w:p>
        </w:tc>
      </w:tr>
    </w:tbl>
    <w:p>
      <w:pPr>
        <w:pStyle w:val="Normal"/>
        <w:pBdr>
          <w:bottom w:val="single" w:sz="6" w:space="0" w:color="01696F"/>
        </w:pBdr>
        <w:spacing w:before="120" w:after="60"/>
        <w:rPr/>
      </w:pPr>
      <w:r>
        <w:rPr>
          <w:b/>
          <w:bCs/>
          <w:caps/>
          <w:color w:val="0D2137"/>
          <w:sz w:val="19"/>
          <w:szCs w:val="19"/>
        </w:rPr>
        <w:t>ABOUT</w:t>
      </w:r>
    </w:p>
    <w:p>
      <w:pPr>
        <w:pStyle w:val="Normal"/>
        <w:spacing w:lineRule="auto" w:line="276" w:before="0" w:after="80"/>
        <w:rPr>
          <w:sz w:val="17"/>
          <w:szCs w:val="17"/>
        </w:rPr>
      </w:pPr>
      <w:r>
        <w:rPr>
          <w:sz w:val="17"/>
          <w:szCs w:val="17"/>
        </w:rPr>
        <w:t>Arun</w:t>
      </w:r>
      <w:r>
        <w:rPr>
          <w:sz w:val="17"/>
          <w:szCs w:val="17"/>
        </w:rPr>
        <w:t xml:space="preserve"> is a visionary technology executive with 30+ years of experience building and leading enterprise AI, cloud, and security platforms across Fortune 500 organizations and high-growth startups. As Founder &amp; CEO of </w:t>
      </w:r>
      <w:r>
        <w:rPr>
          <w:sz w:val="17"/>
          <w:szCs w:val="17"/>
        </w:rPr>
        <w:t>Molt</w:t>
      </w:r>
      <w:r>
        <w:rPr>
          <w:sz w:val="17"/>
          <w:szCs w:val="17"/>
        </w:rPr>
        <w:t xml:space="preserve"> Inc., he pioneered TaaS® — the industry's first AI Red Teaming as a Service platform — and built a full-stack AI security and governance suite deployed by enterprises in Financial Services, Healthcare, and Manufacturing. </w:t>
      </w:r>
      <w:r>
        <w:rPr>
          <w:sz w:val="17"/>
          <w:szCs w:val="17"/>
        </w:rPr>
        <w:t>Arun</w:t>
      </w:r>
      <w:r>
        <w:rPr>
          <w:sz w:val="17"/>
          <w:szCs w:val="17"/>
        </w:rPr>
        <w:t>'s career spans roles at EDS, Ford Motor Co., Fidelity Investments, and Perficient, with $1.7M in organic revenue, 90% client retention, and 30+ person cross-functional teams. He is a published AI governance thought leader, regular speaker at AI4 and the AI Summit, and guest lecturer at the University of Washington. He holds three graduate degrees (AI, MBA, Cybersecurity), certifications from Wharton and MIT, and specialized credentials in AWS, Azure, Oracle, NIST AI RMF, and GRC.</w:t>
      </w:r>
    </w:p>
    <w:p>
      <w:pPr>
        <w:pStyle w:val="Normal"/>
        <w:pBdr>
          <w:bottom w:val="single" w:sz="6" w:space="0" w:color="01696F"/>
        </w:pBdr>
        <w:spacing w:before="120" w:after="60"/>
        <w:rPr/>
      </w:pPr>
      <w:r>
        <w:rPr>
          <w:b/>
          <w:bCs/>
          <w:caps/>
          <w:color w:val="0D2137"/>
          <w:sz w:val="19"/>
          <w:szCs w:val="19"/>
        </w:rPr>
        <w:t>CORE EXPERTISE</w:t>
      </w:r>
    </w:p>
    <w:tbl>
      <w:tblPr>
        <w:tblW w:w="10440" w:type="dxa"/>
        <w:jc w:val="left"/>
        <w:tblInd w:w="0" w:type="dxa"/>
        <w:tblCellMar>
          <w:top w:w="30" w:type="dxa"/>
          <w:left w:w="0" w:type="dxa"/>
          <w:bottom w:w="0" w:type="dxa"/>
          <w:right w:w="80" w:type="dxa"/>
        </w:tblCellMar>
        <w:tblLook w:val="0000" w:noHBand="0" w:noVBand="0" w:firstColumn="0" w:lastRow="0" w:lastColumn="0" w:firstRow="0"/>
      </w:tblPr>
      <w:tblGrid>
        <w:gridCol w:w="5220"/>
        <w:gridCol w:w="5219"/>
      </w:tblGrid>
      <w:tr>
        <w:trPr/>
        <w:tc>
          <w:tcPr>
            <w:tcW w:w="5220" w:type="dxa"/>
            <w:tcBorders/>
          </w:tcPr>
          <w:p>
            <w:pPr>
              <w:pStyle w:val="ListParagraph"/>
              <w:numPr>
                <w:ilvl w:val="0"/>
                <w:numId w:val="4"/>
              </w:numPr>
              <w:spacing w:lineRule="auto" w:line="276"/>
              <w:rPr>
                <w:sz w:val="17"/>
                <w:szCs w:val="17"/>
              </w:rPr>
            </w:pPr>
            <w:r>
              <w:rPr>
                <w:sz w:val="17"/>
                <w:szCs w:val="17"/>
              </w:rPr>
              <w:t>Enterprise AI Governance &amp; NIST AI RMF</w:t>
            </w:r>
          </w:p>
        </w:tc>
        <w:tc>
          <w:tcPr>
            <w:tcW w:w="5219" w:type="dxa"/>
            <w:tcBorders/>
            <w:tcMar>
              <w:left w:w="80" w:type="dxa"/>
              <w:right w:w="0" w:type="dxa"/>
            </w:tcMar>
          </w:tcPr>
          <w:p>
            <w:pPr>
              <w:pStyle w:val="ListParagraph"/>
              <w:numPr>
                <w:ilvl w:val="0"/>
                <w:numId w:val="1"/>
              </w:numPr>
              <w:spacing w:lineRule="auto" w:line="276"/>
              <w:rPr>
                <w:sz w:val="17"/>
                <w:szCs w:val="17"/>
              </w:rPr>
            </w:pPr>
            <w:r>
              <w:rPr>
                <w:sz w:val="17"/>
                <w:szCs w:val="17"/>
              </w:rPr>
              <w:t>AI Red Teaming &amp; Security (AIRTaaS®)</w:t>
            </w:r>
          </w:p>
        </w:tc>
      </w:tr>
      <w:tr>
        <w:trPr/>
        <w:tc>
          <w:tcPr>
            <w:tcW w:w="5220" w:type="dxa"/>
            <w:tcBorders/>
          </w:tcPr>
          <w:p>
            <w:pPr>
              <w:pStyle w:val="ListParagraph"/>
              <w:numPr>
                <w:ilvl w:val="0"/>
                <w:numId w:val="1"/>
              </w:numPr>
              <w:spacing w:lineRule="auto" w:line="276"/>
              <w:rPr>
                <w:sz w:val="17"/>
                <w:szCs w:val="17"/>
              </w:rPr>
            </w:pPr>
            <w:r>
              <w:rPr>
                <w:sz w:val="17"/>
                <w:szCs w:val="17"/>
              </w:rPr>
              <w:t>Cloud Architecture: AWS · Azure · OCI</w:t>
            </w:r>
          </w:p>
        </w:tc>
        <w:tc>
          <w:tcPr>
            <w:tcW w:w="5219" w:type="dxa"/>
            <w:tcBorders/>
            <w:tcMar>
              <w:left w:w="80" w:type="dxa"/>
              <w:right w:w="0" w:type="dxa"/>
            </w:tcMar>
          </w:tcPr>
          <w:p>
            <w:pPr>
              <w:pStyle w:val="ListParagraph"/>
              <w:numPr>
                <w:ilvl w:val="0"/>
                <w:numId w:val="1"/>
              </w:numPr>
              <w:spacing w:lineRule="auto" w:line="276"/>
              <w:rPr>
                <w:sz w:val="17"/>
                <w:szCs w:val="17"/>
              </w:rPr>
            </w:pPr>
            <w:r>
              <w:rPr>
                <w:sz w:val="17"/>
                <w:szCs w:val="17"/>
              </w:rPr>
              <w:t>LLM Observability &amp; ModelOps</w:t>
            </w:r>
          </w:p>
        </w:tc>
      </w:tr>
      <w:tr>
        <w:trPr/>
        <w:tc>
          <w:tcPr>
            <w:tcW w:w="5220" w:type="dxa"/>
            <w:tcBorders/>
          </w:tcPr>
          <w:p>
            <w:pPr>
              <w:pStyle w:val="ListParagraph"/>
              <w:numPr>
                <w:ilvl w:val="0"/>
                <w:numId w:val="1"/>
              </w:numPr>
              <w:spacing w:lineRule="auto" w:line="276"/>
              <w:rPr>
                <w:sz w:val="17"/>
                <w:szCs w:val="17"/>
              </w:rPr>
            </w:pPr>
            <w:r>
              <w:rPr>
                <w:sz w:val="17"/>
                <w:szCs w:val="17"/>
              </w:rPr>
              <w:t>ISO 42001 · EU AI Act · GRC</w:t>
            </w:r>
          </w:p>
        </w:tc>
        <w:tc>
          <w:tcPr>
            <w:tcW w:w="5219" w:type="dxa"/>
            <w:tcBorders/>
            <w:tcMar>
              <w:left w:w="80" w:type="dxa"/>
              <w:right w:w="0" w:type="dxa"/>
            </w:tcMar>
          </w:tcPr>
          <w:p>
            <w:pPr>
              <w:pStyle w:val="ListParagraph"/>
              <w:numPr>
                <w:ilvl w:val="0"/>
                <w:numId w:val="1"/>
              </w:numPr>
              <w:spacing w:lineRule="auto" w:line="276"/>
              <w:rPr>
                <w:sz w:val="17"/>
                <w:szCs w:val="17"/>
              </w:rPr>
            </w:pPr>
            <w:r>
              <w:rPr>
                <w:sz w:val="17"/>
                <w:szCs w:val="17"/>
              </w:rPr>
              <w:t>Agentic AI · MCP · Vector DB</w:t>
            </w:r>
          </w:p>
        </w:tc>
      </w:tr>
      <w:tr>
        <w:trPr/>
        <w:tc>
          <w:tcPr>
            <w:tcW w:w="5220" w:type="dxa"/>
            <w:tcBorders/>
          </w:tcPr>
          <w:p>
            <w:pPr>
              <w:pStyle w:val="ListParagraph"/>
              <w:numPr>
                <w:ilvl w:val="0"/>
                <w:numId w:val="1"/>
              </w:numPr>
              <w:spacing w:lineRule="auto" w:line="276"/>
              <w:rPr>
                <w:sz w:val="17"/>
                <w:szCs w:val="17"/>
              </w:rPr>
            </w:pPr>
            <w:r>
              <w:rPr>
                <w:sz w:val="17"/>
                <w:szCs w:val="17"/>
              </w:rPr>
              <w:t>Oracle Gen AI &amp; AWS ML (Certified)</w:t>
            </w:r>
          </w:p>
        </w:tc>
        <w:tc>
          <w:tcPr>
            <w:tcW w:w="5219" w:type="dxa"/>
            <w:tcBorders/>
            <w:tcMar>
              <w:left w:w="80" w:type="dxa"/>
              <w:right w:w="0" w:type="dxa"/>
            </w:tcMar>
          </w:tcPr>
          <w:p>
            <w:pPr>
              <w:pStyle w:val="ListParagraph"/>
              <w:numPr>
                <w:ilvl w:val="0"/>
                <w:numId w:val="1"/>
              </w:numPr>
              <w:spacing w:lineRule="auto" w:line="276"/>
              <w:rPr>
                <w:sz w:val="17"/>
                <w:szCs w:val="17"/>
              </w:rPr>
            </w:pPr>
            <w:r>
              <w:rPr>
                <w:sz w:val="17"/>
                <w:szCs w:val="17"/>
              </w:rPr>
              <w:t>Digital Transformation &amp; P&amp;L Leadership</w:t>
            </w:r>
          </w:p>
        </w:tc>
      </w:tr>
    </w:tbl>
    <w:p>
      <w:pPr>
        <w:pStyle w:val="Normal"/>
        <w:pBdr>
          <w:bottom w:val="single" w:sz="6" w:space="0" w:color="01696F"/>
        </w:pBdr>
        <w:spacing w:before="120" w:after="60"/>
        <w:rPr/>
      </w:pPr>
      <w:r>
        <w:rPr>
          <w:b/>
          <w:bCs/>
          <w:caps/>
          <w:color w:val="0D2137"/>
          <w:sz w:val="19"/>
          <w:szCs w:val="19"/>
        </w:rPr>
        <w:t>CAREER HIGHLIGHTS</w:t>
      </w:r>
    </w:p>
    <w:p>
      <w:pPr>
        <w:pStyle w:val="ListParagraph"/>
        <w:numPr>
          <w:ilvl w:val="0"/>
          <w:numId w:val="1"/>
        </w:numPr>
        <w:spacing w:lineRule="auto" w:line="276"/>
        <w:rPr>
          <w:sz w:val="16"/>
          <w:szCs w:val="16"/>
        </w:rPr>
      </w:pPr>
      <w:r>
        <w:rPr>
          <w:sz w:val="16"/>
          <w:szCs w:val="16"/>
        </w:rPr>
        <w:t>Molt</w:t>
      </w:r>
      <w:r>
        <w:rPr>
          <w:sz w:val="16"/>
          <w:szCs w:val="16"/>
        </w:rPr>
        <w:t xml:space="preserve"> Inc. (CEO, 2018–Present): Founded AI security platform; $1.7M organic revenue, TaaS® trademark, NIST AI RMF/ISO 42001 governance frameworks, 30+ team.</w:t>
      </w:r>
    </w:p>
    <w:p>
      <w:pPr>
        <w:pStyle w:val="ListParagraph"/>
        <w:numPr>
          <w:ilvl w:val="0"/>
          <w:numId w:val="1"/>
        </w:numPr>
        <w:spacing w:lineRule="auto" w:line="276"/>
        <w:rPr>
          <w:sz w:val="16"/>
          <w:szCs w:val="16"/>
        </w:rPr>
      </w:pPr>
      <w:r>
        <w:rPr>
          <w:sz w:val="16"/>
          <w:szCs w:val="16"/>
        </w:rPr>
        <w:t>Perficient Inc. (Sr Director, 2017–2018): Led $5.2M data engineering practice; migrated 350+ TB for Fortune 500 clients with zero disruption.</w:t>
      </w:r>
    </w:p>
    <w:p>
      <w:pPr>
        <w:pStyle w:val="ListParagraph"/>
        <w:numPr>
          <w:ilvl w:val="0"/>
          <w:numId w:val="1"/>
        </w:numPr>
        <w:spacing w:lineRule="auto" w:line="276"/>
        <w:rPr>
          <w:sz w:val="16"/>
          <w:szCs w:val="16"/>
        </w:rPr>
      </w:pPr>
      <w:r>
        <w:rPr>
          <w:sz w:val="16"/>
          <w:szCs w:val="16"/>
        </w:rPr>
        <w:t>Fidelity Investments (Sr Consultant, 2016–2017): Cloud migrated 15 financial apps, cut CapEx by $1.8M, 99.9% uptime on 8 mission-critical databases.</w:t>
      </w:r>
    </w:p>
    <w:p>
      <w:pPr>
        <w:pStyle w:val="ListParagraph"/>
        <w:numPr>
          <w:ilvl w:val="0"/>
          <w:numId w:val="1"/>
        </w:numPr>
        <w:spacing w:lineRule="auto" w:line="276"/>
        <w:rPr>
          <w:sz w:val="16"/>
          <w:szCs w:val="16"/>
        </w:rPr>
      </w:pPr>
      <w:r>
        <w:rPr>
          <w:sz w:val="16"/>
          <w:szCs w:val="16"/>
        </w:rPr>
        <w:t>Ford Motor Co. (Sr Consultant, 2012–2015): Supported 200+ manufacturing apps; $1.2M annual savings through optimization.</w:t>
      </w:r>
    </w:p>
    <w:p>
      <w:pPr>
        <w:pStyle w:val="ListParagraph"/>
        <w:numPr>
          <w:ilvl w:val="0"/>
          <w:numId w:val="1"/>
        </w:numPr>
        <w:spacing w:lineRule="auto" w:line="276"/>
        <w:rPr>
          <w:sz w:val="16"/>
          <w:szCs w:val="16"/>
        </w:rPr>
      </w:pPr>
      <w:r>
        <w:rPr>
          <w:sz w:val="16"/>
          <w:szCs w:val="16"/>
        </w:rPr>
        <w:t>Bonsai Solutions Inc. (CEO/Founder, 2005–2012): Scaled global IT firm to $7.5M revenue, 100+ employees, 97% retention with 3 Fortune 500 clients.</w:t>
      </w:r>
    </w:p>
    <w:p>
      <w:pPr>
        <w:pStyle w:val="ListParagraph"/>
        <w:numPr>
          <w:ilvl w:val="0"/>
          <w:numId w:val="1"/>
        </w:numPr>
        <w:spacing w:lineRule="auto" w:line="276"/>
        <w:rPr>
          <w:sz w:val="16"/>
          <w:szCs w:val="16"/>
        </w:rPr>
      </w:pPr>
      <w:r>
        <w:rPr>
          <w:sz w:val="16"/>
          <w:szCs w:val="16"/>
        </w:rPr>
        <w:t>EDS / Electronic Data Systems (1997–2005): Managed GM &amp; Chrysler DB ecosystems; cut recovery time from 8 hours to 30 minutes.</w:t>
      </w:r>
    </w:p>
    <w:p>
      <w:pPr>
        <w:pStyle w:val="Normal"/>
        <w:pBdr>
          <w:bottom w:val="single" w:sz="6" w:space="0" w:color="01696F"/>
        </w:pBdr>
        <w:spacing w:before="120" w:after="60"/>
        <w:rPr/>
      </w:pPr>
      <w:r>
        <w:rPr>
          <w:b/>
          <w:bCs/>
          <w:caps/>
          <w:color w:val="0D2137"/>
          <w:sz w:val="19"/>
          <w:szCs w:val="19"/>
        </w:rPr>
        <w:t>EDUCATION &amp; CREDENTIALS</w:t>
      </w:r>
    </w:p>
    <w:tbl>
      <w:tblPr>
        <w:tblW w:w="10440" w:type="dxa"/>
        <w:jc w:val="left"/>
        <w:tblInd w:w="0" w:type="dxa"/>
        <w:tblCellMar>
          <w:top w:w="20" w:type="dxa"/>
          <w:left w:w="0" w:type="dxa"/>
          <w:bottom w:w="0" w:type="dxa"/>
          <w:right w:w="100" w:type="dxa"/>
        </w:tblCellMar>
        <w:tblLook w:val="0000" w:noHBand="0" w:noVBand="0" w:firstColumn="0" w:lastRow="0" w:lastColumn="0" w:firstRow="0"/>
      </w:tblPr>
      <w:tblGrid>
        <w:gridCol w:w="5220"/>
        <w:gridCol w:w="5219"/>
      </w:tblGrid>
      <w:tr>
        <w:trPr/>
        <w:tc>
          <w:tcPr>
            <w:tcW w:w="5220" w:type="dxa"/>
            <w:tcBorders/>
          </w:tcPr>
          <w:p>
            <w:pPr>
              <w:pStyle w:val="Normal"/>
              <w:spacing w:before="0" w:after="20"/>
              <w:rPr/>
            </w:pPr>
            <w:r>
              <w:rPr>
                <w:b/>
                <w:bCs/>
                <w:color w:val="01696F"/>
              </w:rPr>
              <w:t>Degrees</w:t>
            </w:r>
          </w:p>
          <w:p>
            <w:pPr>
              <w:pStyle w:val="ListParagraph"/>
              <w:numPr>
                <w:ilvl w:val="0"/>
                <w:numId w:val="1"/>
              </w:numPr>
              <w:rPr/>
            </w:pPr>
            <w:r>
              <w:rPr/>
              <w:t>MS · Artificial Intelligence — Univ of the Cumberlands</w:t>
            </w:r>
          </w:p>
          <w:p>
            <w:pPr>
              <w:pStyle w:val="ListParagraph"/>
              <w:numPr>
                <w:ilvl w:val="0"/>
                <w:numId w:val="1"/>
              </w:numPr>
              <w:rPr/>
            </w:pPr>
            <w:r>
              <w:rPr/>
              <w:t>MBA · Data Science — SSBM</w:t>
            </w:r>
          </w:p>
          <w:p>
            <w:pPr>
              <w:pStyle w:val="ListParagraph"/>
              <w:numPr>
                <w:ilvl w:val="0"/>
                <w:numId w:val="1"/>
              </w:numPr>
              <w:rPr/>
            </w:pPr>
            <w:r>
              <w:rPr/>
              <w:t>MS · Cybersecurity — Univ. of San Diego</w:t>
            </w:r>
          </w:p>
          <w:p>
            <w:pPr>
              <w:pStyle w:val="ListParagraph"/>
              <w:numPr>
                <w:ilvl w:val="0"/>
                <w:numId w:val="1"/>
              </w:numPr>
              <w:rPr/>
            </w:pPr>
            <w:r>
              <w:rPr/>
              <w:t>Certified CXO Leadership - U. of Mich</w:t>
            </w:r>
          </w:p>
        </w:tc>
        <w:tc>
          <w:tcPr>
            <w:tcW w:w="5219" w:type="dxa"/>
            <w:tcBorders/>
            <w:tcMar>
              <w:left w:w="100" w:type="dxa"/>
              <w:right w:w="0" w:type="dxa"/>
            </w:tcMar>
          </w:tcPr>
          <w:p>
            <w:pPr>
              <w:pStyle w:val="Normal"/>
              <w:spacing w:before="0" w:after="20"/>
              <w:rPr/>
            </w:pPr>
            <w:r>
              <w:rPr>
                <w:b/>
                <w:bCs/>
                <w:color w:val="01696F"/>
              </w:rPr>
              <w:t>Certifications</w:t>
            </w:r>
          </w:p>
          <w:p>
            <w:pPr>
              <w:pStyle w:val="ListParagraph"/>
              <w:numPr>
                <w:ilvl w:val="0"/>
                <w:numId w:val="1"/>
              </w:numPr>
              <w:rPr/>
            </w:pPr>
            <w:r>
              <w:rPr/>
              <w:t>Oracle Vector DB &amp; Gen AI — Professional</w:t>
            </w:r>
          </w:p>
          <w:p>
            <w:pPr>
              <w:pStyle w:val="ListParagraph"/>
              <w:numPr>
                <w:ilvl w:val="0"/>
                <w:numId w:val="1"/>
              </w:numPr>
              <w:rPr/>
            </w:pPr>
            <w:r>
              <w:rPr/>
              <w:t>AWS ML Specialty | Azure Admin Associate</w:t>
            </w:r>
          </w:p>
          <w:p>
            <w:pPr>
              <w:pStyle w:val="ListParagraph"/>
              <w:numPr>
                <w:ilvl w:val="0"/>
                <w:numId w:val="1"/>
              </w:numPr>
              <w:rPr/>
            </w:pPr>
            <w:r>
              <w:rPr/>
              <w:t xml:space="preserve">NIST AI RMF · GRC </w:t>
            </w:r>
          </w:p>
          <w:p>
            <w:pPr>
              <w:pStyle w:val="ListParagraph"/>
              <w:numPr>
                <w:ilvl w:val="0"/>
                <w:numId w:val="1"/>
              </w:numPr>
              <w:rPr/>
            </w:pPr>
            <w:r>
              <w:rPr/>
              <w:t xml:space="preserve">Wharton AI Risk &amp; Governance | MIT Applied AI </w:t>
            </w:r>
          </w:p>
        </w:tc>
      </w:tr>
    </w:tbl>
    <w:p>
      <w:pPr>
        <w:pStyle w:val="Normal"/>
        <w:pBdr>
          <w:bottom w:val="single" w:sz="6" w:space="0" w:color="01696F"/>
        </w:pBdr>
        <w:spacing w:before="120" w:after="60"/>
        <w:rPr/>
      </w:pPr>
      <w:r>
        <w:rPr>
          <w:b/>
          <w:bCs/>
          <w:caps/>
          <w:color w:val="0D2137"/>
          <w:sz w:val="19"/>
          <w:szCs w:val="19"/>
        </w:rPr>
        <w:t>SPEAKING &amp; THOUGHT LEADERSHIP</w:t>
      </w:r>
    </w:p>
    <w:p>
      <w:pPr>
        <w:pStyle w:val="ListParagraph"/>
        <w:numPr>
          <w:ilvl w:val="0"/>
          <w:numId w:val="5"/>
        </w:numPr>
        <w:spacing w:before="10" w:after="10"/>
        <w:rPr>
          <w:sz w:val="16"/>
          <w:szCs w:val="16"/>
        </w:rPr>
      </w:pPr>
      <w:r>
        <w:rPr>
          <w:sz w:val="16"/>
          <w:szCs w:val="16"/>
        </w:rPr>
        <w:t>AI4 Conference — AI Security &amp; Governance (Annual Speaker)</w:t>
      </w:r>
    </w:p>
    <w:p>
      <w:pPr>
        <w:pStyle w:val="ListParagraph"/>
        <w:numPr>
          <w:ilvl w:val="0"/>
          <w:numId w:val="2"/>
        </w:numPr>
        <w:spacing w:before="10" w:after="10"/>
        <w:rPr>
          <w:sz w:val="16"/>
          <w:szCs w:val="16"/>
        </w:rPr>
      </w:pPr>
      <w:r>
        <w:rPr>
          <w:sz w:val="16"/>
          <w:szCs w:val="16"/>
        </w:rPr>
        <w:t>AI Summit — Enterprise AI Strategy &amp; Responsible Deployment</w:t>
      </w:r>
    </w:p>
    <w:p>
      <w:pPr>
        <w:pStyle w:val="ListParagraph"/>
        <w:numPr>
          <w:ilvl w:val="0"/>
          <w:numId w:val="2"/>
        </w:numPr>
        <w:spacing w:before="10" w:after="10"/>
        <w:rPr>
          <w:sz w:val="16"/>
          <w:szCs w:val="16"/>
        </w:rPr>
      </w:pPr>
      <w:r>
        <w:rPr>
          <w:sz w:val="16"/>
          <w:szCs w:val="16"/>
        </w:rPr>
        <w:t>University of Washington — AI Security: Emerging Threats &amp; Defense</w:t>
      </w:r>
    </w:p>
    <w:p>
      <w:pPr>
        <w:pStyle w:val="ListParagraph"/>
        <w:numPr>
          <w:ilvl w:val="0"/>
          <w:numId w:val="2"/>
        </w:numPr>
        <w:spacing w:before="10" w:after="10"/>
        <w:rPr>
          <w:sz w:val="16"/>
          <w:szCs w:val="16"/>
        </w:rPr>
      </w:pPr>
      <w:r>
        <w:rPr>
          <w:sz w:val="16"/>
          <w:szCs w:val="16"/>
        </w:rPr>
        <w:t>Tech Town Detroit – AI Security and MCP</w:t>
      </w:r>
    </w:p>
    <w:p>
      <w:pPr>
        <w:pStyle w:val="Normal"/>
        <w:spacing w:before="60" w:after="0"/>
        <w:jc w:val="center"/>
        <w:rPr/>
      </w:pPr>
      <w:r>
        <w:rPr>
          <w:b/>
          <w:bCs/>
          <w:color w:val="3D5A80"/>
          <w:sz w:val="17"/>
          <w:szCs w:val="17"/>
        </w:rPr>
        <w:t>www.</w:t>
      </w:r>
      <w:r>
        <w:rPr>
          <w:b/>
          <w:bCs/>
          <w:color w:val="3D5A80"/>
          <w:sz w:val="17"/>
          <w:szCs w:val="17"/>
        </w:rPr>
        <w:t>molt</w:t>
      </w:r>
      <w:r>
        <w:rPr>
          <w:b/>
          <w:bCs/>
          <w:color w:val="3D5A80"/>
          <w:sz w:val="17"/>
          <w:szCs w:val="17"/>
        </w:rPr>
        <w:t xml:space="preserve">.com  |  </w:t>
      </w:r>
      <w:r>
        <w:rPr>
          <w:color w:val="01696F"/>
          <w:sz w:val="17"/>
          <w:szCs w:val="17"/>
        </w:rPr>
        <w:t>arun</w:t>
      </w:r>
      <w:r>
        <w:rPr>
          <w:color w:val="01696F"/>
          <w:sz w:val="17"/>
          <w:szCs w:val="17"/>
        </w:rPr>
        <w:t>@</w:t>
      </w:r>
      <w:r>
        <w:rPr>
          <w:color w:val="01696F"/>
          <w:sz w:val="17"/>
          <w:szCs w:val="17"/>
        </w:rPr>
        <w:t>molt</w:t>
      </w:r>
      <w:r>
        <w:rPr>
          <w:color w:val="01696F"/>
          <w:sz w:val="17"/>
          <w:szCs w:val="17"/>
        </w:rPr>
        <w:t>.com</w:t>
      </w:r>
      <w:r>
        <w:rPr>
          <w:color w:val="3D5A80"/>
          <w:sz w:val="17"/>
          <w:szCs w:val="17"/>
        </w:rPr>
        <w:t xml:space="preserve">  |  </w:t>
      </w:r>
      <w:r>
        <w:rPr>
          <w:color w:val="01696F"/>
          <w:sz w:val="17"/>
          <w:szCs w:val="17"/>
        </w:rPr>
        <w:t>linkedin.com/in/</w:t>
      </w:r>
      <w:r>
        <w:rPr>
          <w:color w:val="01696F"/>
          <w:sz w:val="17"/>
          <w:szCs w:val="17"/>
        </w:rPr>
        <w:t>arun</w:t>
      </w:r>
    </w:p>
    <w:sectPr>
      <w:footerReference w:type="default" r:id="rId2"/>
      <w:type w:val="nextPage"/>
      <w:pgSz w:w="12240" w:h="15840"/>
      <w:pgMar w:left="900" w:right="900" w:header="0" w:top="648" w:footer="708" w:bottom="765" w:gutter="0"/>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i/>
        <w:i/>
        <w:iCs/>
        <w:color w:val="999999"/>
        <w:sz w:val="15"/>
        <w:szCs w:val="15"/>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380" w:hanging="24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2">
    <w:lvl w:ilvl="0">
      <w:start w:val="1"/>
      <w:numFmt w:val="bullet"/>
      <w:lvlText w:val=""/>
      <w:lvlJc w:val="left"/>
      <w:pPr>
        <w:tabs>
          <w:tab w:val="num" w:pos="0"/>
        </w:tabs>
        <w:ind w:left="360" w:hanging="24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1"/>
    <w:lvlOverride w:ilvl="0">
      <w:startOverride w:val="1"/>
    </w:lvlOverride>
  </w:num>
  <w:num w:numId="5">
    <w:abstractNumId w:val="2"/>
    <w:lvlOverride w:ilvl="0">
      <w:startOverride w:val="1"/>
    </w:lvlOverride>
  </w:num>
</w:numbering>
</file>

<file path=word/settings.xml><?xml version="1.0" encoding="utf-8"?>
<w:settings xmlns:w="http://schemas.openxmlformats.org/wordprocessingml/2006/main">
  <w:zoom w:percent="17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color w:val="1A1A2E"/>
        <w:sz w:val="18"/>
        <w:szCs w:val="18"/>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Calibri"/>
      <w:color w:val="1A1A2E"/>
      <w:kern w:val="0"/>
      <w:sz w:val="18"/>
      <w:szCs w:val="18"/>
      <w:lang w:val="en-US" w:eastAsia="en-US" w:bidi="ar-SA"/>
    </w:rPr>
  </w:style>
  <w:style w:type="paragraph" w:styleId="Heading1">
    <w:name w:val="Heading 1"/>
    <w:uiPriority w:val="9"/>
    <w:qFormat/>
    <w:pPr>
      <w:widowControl/>
      <w:bidi w:val="0"/>
      <w:spacing w:before="0" w:after="0"/>
      <w:jc w:val="left"/>
      <w:outlineLvl w:val="0"/>
    </w:pPr>
    <w:rPr>
      <w:rFonts w:ascii="Calibri" w:hAnsi="Calibri" w:eastAsia="Calibri" w:cs="Calibri"/>
      <w:color w:val="2E74B5"/>
      <w:kern w:val="0"/>
      <w:sz w:val="32"/>
      <w:szCs w:val="32"/>
      <w:lang w:val="en-US" w:eastAsia="en-US" w:bidi="ar-SA"/>
    </w:rPr>
  </w:style>
  <w:style w:type="paragraph" w:styleId="Heading2">
    <w:name w:val="Heading 2"/>
    <w:uiPriority w:val="9"/>
    <w:semiHidden/>
    <w:unhideWhenUsed/>
    <w:qFormat/>
    <w:pPr>
      <w:widowControl/>
      <w:bidi w:val="0"/>
      <w:spacing w:before="0" w:after="0"/>
      <w:jc w:val="left"/>
      <w:outlineLvl w:val="1"/>
    </w:pPr>
    <w:rPr>
      <w:rFonts w:ascii="Calibri" w:hAnsi="Calibri" w:eastAsia="Calibri" w:cs="Calibri"/>
      <w:color w:val="2E74B5"/>
      <w:kern w:val="0"/>
      <w:sz w:val="26"/>
      <w:szCs w:val="26"/>
      <w:lang w:val="en-US" w:eastAsia="en-US" w:bidi="ar-SA"/>
    </w:rPr>
  </w:style>
  <w:style w:type="paragraph" w:styleId="Heading3">
    <w:name w:val="Heading 3"/>
    <w:uiPriority w:val="9"/>
    <w:semiHidden/>
    <w:unhideWhenUsed/>
    <w:qFormat/>
    <w:pPr>
      <w:widowControl/>
      <w:bidi w:val="0"/>
      <w:spacing w:before="0" w:after="0"/>
      <w:jc w:val="left"/>
      <w:outlineLvl w:val="2"/>
    </w:pPr>
    <w:rPr>
      <w:rFonts w:ascii="Calibri" w:hAnsi="Calibri" w:eastAsia="Calibri" w:cs="Calibri"/>
      <w:color w:val="1F4D78"/>
      <w:kern w:val="0"/>
      <w:sz w:val="24"/>
      <w:szCs w:val="24"/>
      <w:lang w:val="en-US" w:eastAsia="en-US" w:bidi="ar-SA"/>
    </w:rPr>
  </w:style>
  <w:style w:type="paragraph" w:styleId="Heading4">
    <w:name w:val="Heading 4"/>
    <w:uiPriority w:val="9"/>
    <w:semiHidden/>
    <w:unhideWhenUsed/>
    <w:qFormat/>
    <w:pPr>
      <w:widowControl/>
      <w:bidi w:val="0"/>
      <w:spacing w:before="0" w:after="0"/>
      <w:jc w:val="left"/>
      <w:outlineLvl w:val="3"/>
    </w:pPr>
    <w:rPr>
      <w:rFonts w:ascii="Calibri" w:hAnsi="Calibri" w:eastAsia="Calibri" w:cs="Calibri"/>
      <w:i/>
      <w:iCs/>
      <w:color w:val="2E74B5"/>
      <w:kern w:val="0"/>
      <w:sz w:val="18"/>
      <w:szCs w:val="18"/>
      <w:lang w:val="en-US" w:eastAsia="en-US" w:bidi="ar-SA"/>
    </w:rPr>
  </w:style>
  <w:style w:type="paragraph" w:styleId="Heading5">
    <w:name w:val="Heading 5"/>
    <w:uiPriority w:val="9"/>
    <w:semiHidden/>
    <w:unhideWhenUsed/>
    <w:qFormat/>
    <w:pPr>
      <w:widowControl/>
      <w:bidi w:val="0"/>
      <w:spacing w:before="0" w:after="0"/>
      <w:jc w:val="left"/>
      <w:outlineLvl w:val="4"/>
    </w:pPr>
    <w:rPr>
      <w:rFonts w:ascii="Calibri" w:hAnsi="Calibri" w:eastAsia="Calibri" w:cs="Calibri"/>
      <w:color w:val="2E74B5"/>
      <w:kern w:val="0"/>
      <w:sz w:val="18"/>
      <w:szCs w:val="18"/>
      <w:lang w:val="en-US" w:eastAsia="en-US" w:bidi="ar-SA"/>
    </w:rPr>
  </w:style>
  <w:style w:type="paragraph" w:styleId="Heading6">
    <w:name w:val="Heading 6"/>
    <w:uiPriority w:val="9"/>
    <w:semiHidden/>
    <w:unhideWhenUsed/>
    <w:qFormat/>
    <w:pPr>
      <w:widowControl/>
      <w:bidi w:val="0"/>
      <w:spacing w:before="0" w:after="0"/>
      <w:jc w:val="left"/>
      <w:outlineLvl w:val="5"/>
    </w:pPr>
    <w:rPr>
      <w:rFonts w:ascii="Calibri" w:hAnsi="Calibri" w:eastAsia="Calibri" w:cs="Calibri"/>
      <w:color w:val="1F4D78"/>
      <w:kern w:val="0"/>
      <w:sz w:val="18"/>
      <w:szCs w:val="18"/>
      <w:lang w:val="en-US" w:eastAsia="en-US" w:bidi="ar-SA"/>
    </w:rPr>
  </w:style>
  <w:style w:type="character" w:styleId="DefaultParagraphFont" w:default="1">
    <w:name w:val="Default Paragraph Font"/>
    <w:uiPriority w:val="1"/>
    <w:semiHidden/>
    <w:unhideWhenUsed/>
    <w:qFormat/>
    <w:rPr/>
  </w:style>
  <w:style w:type="character" w:styleId="Internet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Anchor">
    <w:name w:val="Footnote Anchor"/>
    <w:rPr>
      <w:vertAlign w:val="superscript"/>
    </w:rPr>
  </w:style>
  <w:style w:type="character" w:styleId="FootnoteTextChar" w:customStyle="1">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Anchor">
    <w:name w:val="Endnote Anchor"/>
    <w:rPr>
      <w:vertAlign w:val="superscript"/>
    </w:rPr>
  </w:style>
  <w:style w:type="character" w:styleId="EndnoteTextChar" w:customStyle="1">
    <w:name w:val="Endnote Text Char"/>
    <w:link w:val="EndnoteText"/>
    <w:uiPriority w:val="99"/>
    <w:semiHidden/>
    <w:unhideWhenUsed/>
    <w:qFormat/>
    <w:rPr>
      <w:sz w:val="20"/>
      <w:szCs w:val="20"/>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uiPriority w:val="10"/>
    <w:qFormat/>
    <w:pPr>
      <w:widowControl/>
      <w:bidi w:val="0"/>
      <w:spacing w:before="0" w:after="0"/>
      <w:jc w:val="left"/>
    </w:pPr>
    <w:rPr>
      <w:rFonts w:ascii="Calibri" w:hAnsi="Calibri" w:eastAsia="Calibri" w:cs="Calibri"/>
      <w:color w:val="1A1A2E"/>
      <w:kern w:val="0"/>
      <w:sz w:val="56"/>
      <w:szCs w:val="56"/>
      <w:lang w:val="en-US" w:eastAsia="en-US" w:bidi="ar-SA"/>
    </w:rPr>
  </w:style>
  <w:style w:type="paragraph" w:styleId="Strong1" w:customStyle="1">
    <w:name w:val="Strong1"/>
    <w:qFormat/>
    <w:pPr>
      <w:widowControl/>
      <w:bidi w:val="0"/>
      <w:spacing w:before="0" w:after="0"/>
      <w:jc w:val="left"/>
    </w:pPr>
    <w:rPr>
      <w:rFonts w:ascii="Calibri" w:hAnsi="Calibri" w:eastAsia="Calibri" w:cs="Calibri"/>
      <w:b/>
      <w:bCs/>
      <w:color w:val="1A1A2E"/>
      <w:kern w:val="0"/>
      <w:sz w:val="18"/>
      <w:szCs w:val="18"/>
      <w:lang w:val="en-US" w:eastAsia="en-US" w:bidi="ar-SA"/>
    </w:rPr>
  </w:style>
  <w:style w:type="paragraph" w:styleId="ListParagraph">
    <w:name w:val="List Paragraph"/>
    <w:qFormat/>
    <w:pPr>
      <w:widowControl/>
      <w:bidi w:val="0"/>
      <w:spacing w:before="0" w:after="0"/>
      <w:jc w:val="left"/>
    </w:pPr>
    <w:rPr>
      <w:rFonts w:ascii="Calibri" w:hAnsi="Calibri" w:eastAsia="Calibri" w:cs="Calibri"/>
      <w:color w:val="1A1A2E"/>
      <w:kern w:val="0"/>
      <w:sz w:val="18"/>
      <w:szCs w:val="18"/>
      <w:lang w:val="en-US" w:eastAsia="en-US" w:bidi="ar-SA"/>
    </w:rPr>
  </w:style>
  <w:style w:type="paragraph" w:styleId="Footnote">
    <w:name w:val="Footnote Text"/>
    <w:link w:val="FootnoteTextChar"/>
    <w:uiPriority w:val="99"/>
    <w:semiHidden/>
    <w:unhideWhenUsed/>
    <w:pPr>
      <w:widowControl/>
      <w:bidi w:val="0"/>
      <w:spacing w:before="0" w:after="0"/>
      <w:jc w:val="left"/>
    </w:pPr>
    <w:rPr>
      <w:rFonts w:ascii="Calibri" w:hAnsi="Calibri" w:eastAsia="Calibri" w:cs="Calibri"/>
      <w:color w:val="1A1A2E"/>
      <w:kern w:val="0"/>
      <w:sz w:val="20"/>
      <w:szCs w:val="20"/>
      <w:lang w:val="en-US" w:eastAsia="en-US" w:bidi="ar-SA"/>
    </w:rPr>
  </w:style>
  <w:style w:type="paragraph" w:styleId="Endnote">
    <w:name w:val="Endnote Text"/>
    <w:link w:val="EndnoteTextChar"/>
    <w:uiPriority w:val="99"/>
    <w:semiHidden/>
    <w:unhideWhenUsed/>
    <w:pPr>
      <w:widowControl/>
      <w:bidi w:val="0"/>
      <w:spacing w:before="0" w:after="0"/>
      <w:jc w:val="left"/>
    </w:pPr>
    <w:rPr>
      <w:rFonts w:ascii="Calibri" w:hAnsi="Calibri" w:eastAsia="Calibri" w:cs="Calibri"/>
      <w:color w:val="1A1A2E"/>
      <w:kern w:val="0"/>
      <w:sz w:val="20"/>
      <w:szCs w:val="20"/>
      <w:lang w:val="en-US" w:eastAsia="en-US" w:bidi="ar-SA"/>
    </w:rPr>
  </w:style>
  <w:style w:type="paragraph" w:styleId="HeaderandFooter">
    <w:name w:val="Header and Footer"/>
    <w:basedOn w:val="Normal"/>
    <w:qFormat/>
    <w:pPr/>
    <w:rPr/>
  </w:style>
  <w:style w:type="paragraph" w:styleId="Footer">
    <w:name w:val="Footer"/>
    <w:basedOn w:val="HeaderandFooter"/>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Application>LibreOffice/6.4.7.2$Linux_X86_64 LibreOffice_project/40$Build-2</Application>
  <Pages>1</Pages>
  <Words>492</Words>
  <Characters>2567</Characters>
  <CharactersWithSpaces>3022</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2026-04-03T02:22:00Z</dcterms:created>
  <dc:creator>Un-named</dc:creator>
  <dc:description/>
  <dc:language>en-US</dc:language>
  <cp:lastModifiedBy/>
  <dcterms:modified xsi:type="dcterms:W3CDTF">2026-04-09T22:20:45Z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