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0" w:before="2600"/>
        <w:jc w:val="center"/>
      </w:pPr>
      <w:r>
        <w:rPr>
          <w:b/>
          <w:bCs/>
          <w:color w:val="0D1117"/>
          <w:sz w:val="56"/>
          <w:szCs w:val="56"/>
        </w:rPr>
        <w:t xml:space="preserve">Context </w:t>
      </w:r>
      <w:r>
        <w:rPr>
          <w:color w:val="1F6FEB"/>
          <w:sz w:val="56"/>
          <w:szCs w:val="56"/>
        </w:rPr>
        <w:t xml:space="preserve">● </w:t>
      </w:r>
      <w:r>
        <w:rPr>
          <w:b/>
          <w:bCs/>
          <w:color w:val="0D1117"/>
          <w:sz w:val="56"/>
          <w:szCs w:val="56"/>
        </w:rPr>
        <w:t xml:space="preserve">Vault</w:t>
      </w:r>
    </w:p>
    <w:p>
      <w:pPr>
        <w:spacing w:after="120"/>
        <w:jc w:val="center"/>
      </w:pPr>
      <w:r>
        <w:rPr>
          <w:color w:val="6A737D"/>
          <w:sz w:val="28"/>
          <w:szCs w:val="28"/>
        </w:rPr>
        <w:t xml:space="preserve">A Temporal, Governed Memory Layer for Agentic AI</w:t>
      </w:r>
    </w:p>
    <w:p>
      <w:pPr>
        <w:spacing w:after="60"/>
        <w:jc w:val="center"/>
      </w:pPr>
      <w:r>
        <w:rPr>
          <w:b/>
          <w:bCs/>
          <w:color w:val="1F6FEB"/>
          <w:sz w:val="24"/>
          <w:szCs w:val="24"/>
        </w:rPr>
        <w:t xml:space="preserve">System Overview &amp; Architecture</w:t>
      </w:r>
    </w:p>
    <w:p>
      <w:pPr>
        <w:spacing w:after="600"/>
        <w:jc w:val="center"/>
      </w:pPr>
      <w:r>
        <w:rPr>
          <w:color w:val="6A737D"/>
          <w:sz w:val="20"/>
          <w:szCs w:val="20"/>
        </w:rPr>
        <w:t xml:space="preserve">Detailed reference — June 2026</w:t>
      </w:r>
    </w:p>
    <w:p>
      <w:pPr>
        <w:spacing w:before="200"/>
        <w:jc w:val="center"/>
      </w:pPr>
      <w:r>
        <w:rPr>
          <w:i/>
          <w:iCs/>
          <w:sz w:val="22"/>
          <w:szCs w:val="22"/>
        </w:rPr>
        <w:t xml:space="preserve">Every fact is a versioned, time-bound, permissioned, auditable Claim.</w:t>
      </w:r>
    </w:p>
    <w:p>
      <w:pPr>
        <w:spacing w:after="0"/>
        <w:jc w:val="center"/>
      </w:pPr>
      <w:r>
        <w:rPr>
          <w:i/>
          <w:iCs/>
          <w:sz w:val="22"/>
          <w:szCs w:val="22"/>
        </w:rPr>
        <w:t xml:space="preserve">Five operations: assert · resolve · reconcile · decay · audit.</w:t>
      </w:r>
    </w:p>
    <w:p>
      <w:r>
        <w:br w:type="page"/>
      </w:r>
    </w:p>
    <w:p>
      <w:pPr>
        <w:pStyle w:val="Heading1"/>
      </w:pPr>
      <w:r>
        <w:t xml:space="preserve">Contents</w:t>
      </w:r>
    </w:p>
    <w:sdt>
      <w:sdtPr>
        <w:alias w:val="Contents"/>
      </w:sdtPr>
      <w:sdtContent>
        <w:p>
          <w:r>
            <w:fldChar w:fldCharType="begin" w:dirty="true"/>
            <w:instrText xml:space="preserve">TOC \h \o "1-2"</w:instrText>
            <w:fldChar w:fldCharType="separate"/>
          </w:r>
        </w:p>
        <w:p>
          <w:r>
            <w:fldChar w:fldCharType="end"/>
          </w:r>
        </w:p>
      </w:sdtContent>
    </w:sdt>
    <w:p>
      <w:r>
        <w:br w:type="page"/>
      </w:r>
    </w:p>
    <w:p>
      <w:pPr>
        <w:pStyle w:val="Heading1"/>
      </w:pPr>
      <w:r>
        <w:t xml:space="preserve">1. Executive Summary</w:t>
      </w:r>
    </w:p>
    <w:p>
      <w:pPr>
        <w:spacing w:after="160"/>
      </w:pPr>
      <w:r>
        <w:rPr>
          <w:i/>
          <w:iCs/>
          <w:color w:val="6A737D"/>
          <w:sz w:val="22"/>
          <w:szCs w:val="22"/>
        </w:rPr>
        <w:t xml:space="preserve">Context Vault is the governed memory layer that gives agentic AI not just recall, but governed, provable truth over time.</w:t>
      </w:r>
    </w:p>
    <w:p>
      <w:pPr>
        <w:spacing w:after="120"/>
      </w:pPr>
      <w:r>
        <w:rPr>
          <w:b/>
          <w:bCs/>
        </w:rPr>
        <w:t xml:space="preserve">What it is. </w:t>
      </w:r>
      <w:r>
        <w:t xml:space="preserve">Agents fail not because they cannot recall, but because they recall the </w:t>
      </w:r>
      <w:r>
        <w:rPr>
          <w:i/>
          <w:iCs/>
        </w:rPr>
        <w:t xml:space="preserve">wrong</w:t>
      </w:r>
      <w:r>
        <w:t xml:space="preserve"> thing — a fact that changed, a fact someone else contradicted, or a fact the caller was not allowed to see. Context Vault stores every fact an agent learns as a </w:t>
      </w:r>
      <w:r>
        <w:rPr>
          <w:b/>
          <w:bCs/>
        </w:rPr>
        <w:t xml:space="preserve">Claim</w:t>
      </w:r>
      <w:r>
        <w:t xml:space="preserve">: a versioned (bitemporal), attributed (provenance), permissioned (deny-by-default ACL), cryptographically auditable edge </w:t>
      </w:r>
      <w:r>
        <w:rPr>
          <w:rFonts w:ascii="Consolas" w:cs="Consolas" w:eastAsia="Consolas" w:hAnsi="Consolas"/>
          <w:sz w:val="19"/>
          <w:szCs w:val="19"/>
        </w:rPr>
        <w:t xml:space="preserve">(subject)—[predicate]→(object)</w:t>
      </w:r>
      <w:r>
        <w:t xml:space="preserve">.</w:t>
      </w:r>
    </w:p>
    <w:p>
      <w:pPr>
        <w:spacing w:after="120"/>
      </w:pPr>
      <w:r>
        <w:rPr>
          <w:b/>
          <w:bCs/>
        </w:rPr>
        <w:t xml:space="preserve">The discipline. </w:t>
      </w:r>
      <w:r>
        <w:t xml:space="preserve">The entire surface is exactly five operations — </w:t>
      </w:r>
      <w:r>
        <w:rPr>
          <w:b/>
          <w:bCs/>
        </w:rPr>
        <w:t xml:space="preserve">assert · resolve · reconcile · decay · audit</w:t>
      </w:r>
      <w:r>
        <w:t xml:space="preserve"> — and the rule is that any capability which is not one of the five does not belong.</w:t>
      </w:r>
    </w:p>
    <w:p>
      <w:pPr>
        <w:spacing w:after="120"/>
      </w:pPr>
      <w:r>
        <w:rPr>
          <w:b/>
          <w:bCs/>
        </w:rPr>
        <w:t xml:space="preserve">The moat. </w:t>
      </w:r>
      <w:r>
        <w:t xml:space="preserve">The make-or-break property is conflict detection on Assert, measured by the </w:t>
      </w:r>
      <w:r>
        <w:rPr>
          <w:b/>
          <w:bCs/>
        </w:rPr>
        <w:t xml:space="preserve">silent-corruption rate</w:t>
      </w:r>
      <w:r>
        <w:t xml:space="preserve"> (a real contradiction or supersession misclassified as independent/duplicate). Current judge: </w:t>
      </w:r>
      <w:r>
        <w:rPr>
          <w:b/>
          <w:bCs/>
        </w:rPr>
        <w:t xml:space="preserve">93.1% accuracy / 0% silent-corruption</w:t>
      </w:r>
      <w:r>
        <w:t xml:space="preserve"> on the 29-case gold set; 88.9% / 9.1% on the 54-case adversarial set.</w:t>
      </w:r>
    </w:p>
    <w:p>
      <w:pPr>
        <w:spacing w:after="120"/>
      </w:pPr>
      <w:r>
        <w:rPr>
          <w:b/>
          <w:bCs/>
        </w:rPr>
        <w:t xml:space="preserve">Status. </w:t>
      </w:r>
      <w:r>
        <w:t xml:space="preserve">The five operations are built, validated, and usable through a real product web app. </w:t>
      </w:r>
      <w:r>
        <w:rPr>
          <w:b/>
          <w:bCs/>
        </w:rPr>
        <w:t xml:space="preserve">185 backend tests pass</w:t>
      </w:r>
      <w:r>
        <w:t xml:space="preserve">; a 10-page SPA builds clean; Neo4j + Postgres + Qdrant + API run with one </w:t>
      </w:r>
      <w:r>
        <w:rPr>
          <w:rFonts w:ascii="Consolas" w:cs="Consolas" w:eastAsia="Consolas" w:hAnsi="Consolas"/>
          <w:sz w:val="19"/>
          <w:szCs w:val="19"/>
        </w:rPr>
        <w:t xml:space="preserve">docker compose up</w:t>
      </w:r>
      <w:r>
        <w:t xml:space="preserve">. What remains is commercialization (publishing, live SSO/vendor wiring) and additive packs — not core capability.</w:t>
      </w:r>
    </w:p>
    <w:p>
      <w:pPr>
        <w:pStyle w:val="Heading1"/>
      </w:pPr>
      <w:r>
        <w:t xml:space="preserve">2. The Five Operations</w:t>
      </w:r>
    </w:p>
    <w:p>
      <w:pPr>
        <w:spacing w:after="160"/>
      </w:pPr>
      <w:r>
        <w:rPr>
          <w:i/>
          <w:iCs/>
          <w:color w:val="6A737D"/>
          <w:sz w:val="22"/>
          <w:szCs w:val="22"/>
        </w:rPr>
        <w:t xml:space="preserve">Assert writes; resolve reads; reconcile resolves conflicts; decay forgets; audit proves. Nothing else is in the system.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500"/>
        <w:gridCol w:w="7860"/>
      </w:tblGrid>
      <w:tr>
        <w:trPr>
          <w:tblHeader/>
        </w:trPr>
        <w:tc>
          <w:tcPr>
            <w:tcW w:type="dxa" w:w="15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1F6FEB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/>
                <w:bCs/>
                <w:color w:val="FFFFFF"/>
                <w:sz w:val="19"/>
                <w:szCs w:val="19"/>
              </w:rPr>
              <w:t xml:space="preserve">Operation</w:t>
            </w:r>
          </w:p>
        </w:tc>
        <w:tc>
          <w:tcPr>
            <w:tcW w:type="dxa" w:w="786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1F6FEB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/>
                <w:bCs/>
                <w:color w:val="FFFFFF"/>
                <w:sz w:val="19"/>
                <w:szCs w:val="19"/>
              </w:rPr>
              <w:t xml:space="preserve">What it does</w:t>
            </w:r>
          </w:p>
        </w:tc>
      </w:tr>
      <w:tr>
        <w:trPr>
          <w:tblHeader w:val="false"/>
        </w:trPr>
        <w:tc>
          <w:tcPr>
            <w:tcW w:type="dxa" w:w="15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assert</w:t>
            </w:r>
          </w:p>
        </w:tc>
        <w:tc>
          <w:tcPr>
            <w:tcW w:type="dxa" w:w="786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Add a fact; detect conflict against existing knowledge and act (store / supersede / branch / merge / flag); always audit.</w:t>
            </w:r>
          </w:p>
        </w:tc>
      </w:tr>
      <w:tr>
        <w:trPr>
          <w:tblHeader w:val="false"/>
        </w:trPr>
        <w:tc>
          <w:tcPr>
            <w:tcW w:type="dxa" w:w="15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resolve</w:t>
            </w:r>
          </w:p>
        </w:tc>
        <w:tc>
          <w:tcPr>
            <w:tcW w:type="dxa" w:w="786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Return the facts true at an event-time T, as known at transaction-time K, filtered by the caller's permissions. Cached.</w:t>
            </w:r>
          </w:p>
        </w:tc>
      </w:tr>
      <w:tr>
        <w:trPr>
          <w:tblHeader w:val="false"/>
        </w:trPr>
        <w:tc>
          <w:tcPr>
            <w:tcW w:type="dxa" w:w="15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reconcile</w:t>
            </w:r>
          </w:p>
        </w:tc>
        <w:tc>
          <w:tcPr>
            <w:tcW w:type="dxa" w:w="786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Resolve a flagged conflict — automatically on a clear policy margin, else defer to a human via an SLA review queue.</w:t>
            </w:r>
          </w:p>
        </w:tc>
      </w:tr>
      <w:tr>
        <w:trPr>
          <w:tblHeader w:val="false"/>
        </w:trPr>
        <w:tc>
          <w:tcPr>
            <w:tcW w:type="dxa" w:w="15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decay</w:t>
            </w:r>
          </w:p>
        </w:tc>
        <w:tc>
          <w:tcPr>
            <w:tcW w:type="dxa" w:w="786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Age out / compress stale knowledge by per-Claim-type policy, plus GDPR export &amp; erasure. Never hard-deletes.</w:t>
            </w:r>
          </w:p>
        </w:tc>
      </w:tr>
      <w:tr>
        <w:trPr>
          <w:tblHeader w:val="false"/>
        </w:trPr>
        <w:tc>
          <w:tcPr>
            <w:tcW w:type="dxa" w:w="15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audit</w:t>
            </w:r>
          </w:p>
        </w:tc>
        <w:tc>
          <w:tcPr>
            <w:tcW w:type="dxa" w:w="786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Replay history; prove any event is genuine (Merkle), existed at time T (RFC 3161), packaged offline (signed bundle), and was not rewritten (transparency log).</w:t>
            </w:r>
          </w:p>
        </w:tc>
      </w:tr>
    </w:tbl>
    <w:p>
      <w:pPr>
        <w:pStyle w:val="Heading1"/>
      </w:pPr>
      <w:r>
        <w:t xml:space="preserve">3. System Architecture</w:t>
      </w:r>
    </w:p>
    <w:p>
      <w:pPr>
        <w:spacing w:after="160"/>
      </w:pPr>
      <w:r>
        <w:rPr>
          <w:i/>
          <w:iCs/>
          <w:color w:val="6A737D"/>
          <w:sz w:val="22"/>
          <w:szCs w:val="22"/>
        </w:rPr>
        <w:t xml:space="preserve">Pure core, thin shell: crypto/metric/verifier logic lives in dependency-free functions; storage, HTTP, CLI, MCP, and the web app are thin wrappers.</w:t>
      </w:r>
    </w:p>
    <w:p>
      <w:pPr>
        <w:spacing w:after="120"/>
      </w:pPr>
      <w:r>
        <w:t xml:space="preserve">Interfaces call a single orchestrator (</w:t>
      </w:r>
      <w:r>
        <w:rPr>
          <w:rFonts w:ascii="Consolas" w:cs="Consolas" w:eastAsia="Consolas" w:hAnsi="Consolas"/>
          <w:sz w:val="19"/>
          <w:szCs w:val="19"/>
        </w:rPr>
        <w:t xml:space="preserve">context_vault/vault.py</w:t>
      </w:r>
      <w:r>
        <w:t xml:space="preserve">), the only home of the five operations. The orchestrator drives the conflict engine, policy/ACL, reconciliation, decay, embedding, extraction, and federation, over two systems of record — Neo4j (the knowledge graph + native vector index) and Postgres (the append-only hash-chained audit) — with Qdrant as an optional external/dedicated vector store and a layered tamper-evident audit subsystem on top.</w:t>
      </w:r>
    </w:p>
    <w:p>
      <w:pPr>
        <w:spacing w:after="40" w:before="120"/>
        <w:jc w:val="center"/>
      </w:pPr>
      <w:r>
        <w:drawing>
          <wp:inline distT="0" distB="0" distL="0" distR="0">
            <wp:extent cx="5829300" cy="4229100"/>
            <wp:effectExtent t="0" r="0" b="0" l="0"/>
            <wp:docPr id="1" name="Component architecture" descr="Component architecture" title="Component archite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9300" cy="4229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220"/>
        <w:jc w:val="center"/>
      </w:pPr>
      <w:r>
        <w:rPr>
          <w:i/>
          <w:iCs/>
          <w:color w:val="6A737D"/>
          <w:sz w:val="18"/>
          <w:szCs w:val="18"/>
        </w:rPr>
        <w:t xml:space="preserve">Figure — Component architecture — interfaces → orchestrator → engines → stores → tamper-evident audit (D1–D4).</w:t>
      </w:r>
    </w:p>
    <w:p>
      <w:pPr>
        <w:pStyle w:val="Heading1"/>
      </w:pPr>
      <w:r>
        <w:t xml:space="preserve">4. Data Model — the Claim</w:t>
      </w:r>
    </w:p>
    <w:p>
      <w:pPr>
        <w:spacing w:after="160"/>
      </w:pPr>
      <w:r>
        <w:rPr>
          <w:i/>
          <w:iCs/>
          <w:color w:val="6A737D"/>
          <w:sz w:val="22"/>
          <w:szCs w:val="22"/>
        </w:rPr>
        <w:t xml:space="preserve">A Claim is a reified graph node carrying two time axes, provenance, permission, status, and an embedding.</w:t>
      </w:r>
    </w:p>
    <w:p>
      <w:pPr>
        <w:spacing w:after="120"/>
      </w:pPr>
      <w:r>
        <w:t xml:space="preserve">The two time axes are the crux. </w:t>
      </w:r>
      <w:r>
        <w:rPr>
          <w:b/>
          <w:bCs/>
        </w:rPr>
        <w:t xml:space="preserve">Event time</w:t>
      </w:r>
      <w:r>
        <w:t xml:space="preserve"> (</w:t>
      </w:r>
      <w:r>
        <w:rPr>
          <w:rFonts w:ascii="Consolas" w:cs="Consolas" w:eastAsia="Consolas" w:hAnsi="Consolas"/>
          <w:sz w:val="19"/>
          <w:szCs w:val="19"/>
        </w:rPr>
        <w:t xml:space="preserve">valid_from / valid_to</w:t>
      </w:r>
      <w:r>
        <w:t xml:space="preserve">) is when the fact is true; </w:t>
      </w:r>
      <w:r>
        <w:rPr>
          <w:b/>
          <w:bCs/>
        </w:rPr>
        <w:t xml:space="preserve">transaction time</w:t>
      </w:r>
      <w:r>
        <w:t xml:space="preserve"> (</w:t>
      </w:r>
      <w:r>
        <w:rPr>
          <w:rFonts w:ascii="Consolas" w:cs="Consolas" w:eastAsia="Consolas" w:hAnsi="Consolas"/>
          <w:sz w:val="19"/>
          <w:szCs w:val="19"/>
        </w:rPr>
        <w:t xml:space="preserve">asserted_at / superseded_at</w:t>
      </w:r>
      <w:r>
        <w:t xml:space="preserve">) is when the Vault learned it. The pair </w:t>
      </w:r>
      <w:r>
        <w:rPr>
          <w:rFonts w:ascii="Consolas" w:cs="Consolas" w:eastAsia="Consolas" w:hAnsi="Consolas"/>
          <w:sz w:val="19"/>
          <w:szCs w:val="19"/>
        </w:rPr>
        <w:t xml:space="preserve">valid_to_initial / valid_to_set_at</w:t>
      </w:r>
      <w:r>
        <w:t xml:space="preserve"> make </w:t>
      </w:r>
      <w:r>
        <w:rPr>
          <w:rFonts w:ascii="Consolas" w:cs="Consolas" w:eastAsia="Consolas" w:hAnsi="Consolas"/>
          <w:sz w:val="19"/>
          <w:szCs w:val="19"/>
        </w:rPr>
        <w:t xml:space="preserve">valid_to</w:t>
      </w:r>
      <w:r>
        <w:t xml:space="preserve"> a versioned fact rather than a destructive overwrite — enabling </w:t>
      </w:r>
      <w:r>
        <w:rPr>
          <w:b/>
          <w:bCs/>
        </w:rPr>
        <w:t xml:space="preserve">Resolve@(T, K)</w:t>
      </w:r>
      <w:r>
        <w:t xml:space="preserve">: “what was true at T, as we believed it at K.”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400"/>
        <w:gridCol w:w="6960"/>
      </w:tblGrid>
      <w:tr>
        <w:trPr>
          <w:tblHeader/>
        </w:trPr>
        <w:tc>
          <w:tcPr>
            <w:tcW w:type="dxa" w:w="24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1F6FEB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/>
                <w:bCs/>
                <w:color w:val="FFFFFF"/>
                <w:sz w:val="19"/>
                <w:szCs w:val="19"/>
              </w:rPr>
              <w:t xml:space="preserve">Facet</w:t>
            </w:r>
          </w:p>
        </w:tc>
        <w:tc>
          <w:tcPr>
            <w:tcW w:type="dxa" w:w="696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1F6FEB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/>
                <w:bCs/>
                <w:color w:val="FFFFFF"/>
                <w:sz w:val="19"/>
                <w:szCs w:val="19"/>
              </w:rPr>
              <w:t xml:space="preserve">Fields</w:t>
            </w:r>
          </w:p>
        </w:tc>
      </w:tr>
      <w:tr>
        <w:trPr>
          <w:tblHeader w:val="false"/>
        </w:trPr>
        <w:tc>
          <w:tcPr>
            <w:tcW w:type="dxa" w:w="24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Identity / edge</w:t>
            </w:r>
          </w:p>
        </w:tc>
        <w:tc>
          <w:tcPr>
            <w:tcW w:type="dxa" w:w="696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id · subject · predicate · object · subject_id / predicate_key (canonicalized)</w:t>
            </w:r>
          </w:p>
        </w:tc>
      </w:tr>
      <w:tr>
        <w:trPr>
          <w:tblHeader w:val="false"/>
        </w:trPr>
        <w:tc>
          <w:tcPr>
            <w:tcW w:type="dxa" w:w="24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Event time</w:t>
            </w:r>
          </w:p>
        </w:tc>
        <w:tc>
          <w:tcPr>
            <w:tcW w:type="dxa" w:w="696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valid_from · valid_to · valid_to_initial · valid_to_set_at</w:t>
            </w:r>
          </w:p>
        </w:tc>
      </w:tr>
      <w:tr>
        <w:trPr>
          <w:tblHeader w:val="false"/>
        </w:trPr>
        <w:tc>
          <w:tcPr>
            <w:tcW w:type="dxa" w:w="24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Transaction time</w:t>
            </w:r>
          </w:p>
        </w:tc>
        <w:tc>
          <w:tcPr>
            <w:tcW w:type="dxa" w:w="696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asserted_at · observed_at · superseded_at</w:t>
            </w:r>
          </w:p>
        </w:tc>
      </w:tr>
      <w:tr>
        <w:trPr>
          <w:tblHeader w:val="false"/>
        </w:trPr>
        <w:tc>
          <w:tcPr>
            <w:tcW w:type="dxa" w:w="24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Governance</w:t>
            </w:r>
          </w:p>
        </w:tc>
        <w:tc>
          <w:tcPr>
            <w:tcW w:type="dxa" w:w="696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provenance{source_type,id,doc} · visibility[] · workspace (=tenant) · confidence · status · assigned_to</w:t>
            </w:r>
          </w:p>
        </w:tc>
      </w:tr>
      <w:tr>
        <w:trPr>
          <w:tblHeader w:val="false"/>
        </w:trPr>
        <w:tc>
          <w:tcPr>
            <w:tcW w:type="dxa" w:w="24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Versioning</w:t>
            </w:r>
          </w:p>
        </w:tc>
        <w:tc>
          <w:tcPr>
            <w:tcW w:type="dxa" w:w="696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supersedes · superseded_by · (:Claim)-[:SUPERSEDES]-&gt;(:Claim) · embedding</w:t>
            </w:r>
          </w:p>
        </w:tc>
      </w:tr>
    </w:tbl>
    <w:p>
      <w:pPr>
        <w:spacing w:after="120"/>
      </w:pPr>
      <w:r>
        <w:t xml:space="preserve">Status lifecycle: </w:t>
      </w:r>
      <w:r>
        <w:rPr>
          <w:rFonts w:ascii="Consolas" w:cs="Consolas" w:eastAsia="Consolas" w:hAnsi="Consolas"/>
          <w:sz w:val="19"/>
          <w:szCs w:val="19"/>
        </w:rPr>
        <w:t xml:space="preserve">active → superseded | flagged | archived | compressed | rejected</w:t>
      </w:r>
      <w:r>
        <w:t xml:space="preserve">. Claims are </w:t>
      </w:r>
      <w:r>
        <w:rPr>
          <w:b/>
          <w:bCs/>
        </w:rPr>
        <w:t xml:space="preserve">never hard-deleted</w:t>
      </w:r>
      <w:r>
        <w:t xml:space="preserve"> — supersede / archive / compress only — which is what keeps Resolve@past and the audit trail intact.</w:t>
      </w:r>
    </w:p>
    <w:p>
      <w:pPr>
        <w:pStyle w:val="Heading1"/>
      </w:pPr>
      <w:r>
        <w:t xml:space="preserve">5. Conflict Detection — the Moat</w:t>
      </w:r>
    </w:p>
    <w:p>
      <w:pPr>
        <w:spacing w:after="160"/>
      </w:pPr>
      <w:r>
        <w:rPr>
          <w:i/>
          <w:iCs/>
          <w:color w:val="6A737D"/>
          <w:sz w:val="22"/>
          <w:szCs w:val="22"/>
        </w:rPr>
        <w:t xml:space="preserve">On every write: normalize → prefilter → tiered judge (+ LRU cache) → decide, into a six-way taxonomy.</w:t>
      </w:r>
    </w:p>
    <w:p>
      <w:pPr>
        <w:spacing w:after="120"/>
      </w:pPr>
      <w:r>
        <w:t xml:space="preserve">The pipeline canonicalizes the subject and predicate (alias / format / paraphrase), cheaply prefilters to comparable pairs (same subject AND same-predicate-or-functional), then a tiered judge classifies into </w:t>
      </w:r>
      <w:r>
        <w:rPr>
          <w:b/>
          <w:bCs/>
        </w:rPr>
        <w:t xml:space="preserve">CONTRADICTION · TEMPORAL_SUPERSESSION · REFINEMENT · DUPLICATE · INDEPENDENT · UNSURE</w:t>
      </w:r>
      <w:r>
        <w:t xml:space="preserve">. The headline (most-severe) verdict maps to an action; low-confidence calls floor to UNSURE → human. Judges are pluggable and conformance-tested: </w:t>
      </w:r>
      <w:r>
        <w:rPr>
          <w:b/>
          <w:bCs/>
        </w:rPr>
        <w:t xml:space="preserve">Claude · OpenAI (GPT) · Gemini · Heuristic</w:t>
      </w:r>
      <w:r>
        <w:t xml:space="preserve"> — cross-LLM neutrality only an independent vendor can offer.</w:t>
      </w:r>
    </w:p>
    <w:p>
      <w:pPr>
        <w:spacing w:after="40" w:before="120"/>
        <w:jc w:val="center"/>
      </w:pPr>
      <w:r>
        <w:drawing>
          <wp:inline distT="0" distB="0" distL="0" distR="0">
            <wp:extent cx="2857500" cy="5457825"/>
            <wp:effectExtent t="0" r="0" b="0" l="0"/>
            <wp:docPr id="1" name="Conflict-detection flow" descr="Conflict-detection flow" title="Conflict-detection flo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5457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220"/>
        <w:jc w:val="center"/>
      </w:pPr>
      <w:r>
        <w:rPr>
          <w:i/>
          <w:iCs/>
          <w:color w:val="6A737D"/>
          <w:sz w:val="18"/>
          <w:szCs w:val="18"/>
        </w:rPr>
        <w:t xml:space="preserve">Figure — Conflict-detection flow — the functional-predicate prefilter catches the negations/rewordings most likely to silently corrupt.</w:t>
      </w:r>
    </w:p>
    <w:p>
      <w:pPr>
        <w:pStyle w:val="Heading1"/>
      </w:pPr>
      <w:r>
        <w:t xml:space="preserve">6. Assert Pipeline</w:t>
      </w:r>
    </w:p>
    <w:p>
      <w:pPr>
        <w:spacing w:after="160"/>
      </w:pPr>
      <w:r>
        <w:rPr>
          <w:i/>
          <w:iCs/>
          <w:color w:val="6A737D"/>
          <w:sz w:val="22"/>
          <w:szCs w:val="22"/>
        </w:rPr>
        <w:t xml:space="preserve">The write path, where the silent-corruption metric is protected.</w:t>
      </w:r>
    </w:p>
    <w:p>
      <w:pPr>
        <w:spacing w:after="120"/>
      </w:pPr>
      <w:r>
        <w:t xml:space="preserve">ACL-stamp → embed → fetch candidates (synchronous validity MATCH) → detect → act on the verdict (supersede / branch / merge / store / flag-for-review) → append a hash-chained audit row → notify on flag. A contradiction is flagged for a human, never silently overwritten; a temporal supersession closes the old claim and links it; duplicates reinforce; refinements branch.</w:t>
      </w:r>
    </w:p>
    <w:p>
      <w:pPr>
        <w:spacing w:after="40" w:before="120"/>
        <w:jc w:val="center"/>
      </w:pPr>
      <w:r>
        <w:drawing>
          <wp:inline distT="0" distB="0" distL="0" distR="0">
            <wp:extent cx="5829300" cy="3181350"/>
            <wp:effectExtent t="0" r="0" b="0" l="0"/>
            <wp:docPr id="1" name="Assert pipeline sequence" descr="Assert pipeline sequence" title="Assert pipeline sequ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10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9300" cy="3181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220"/>
        <w:jc w:val="center"/>
      </w:pPr>
      <w:r>
        <w:rPr>
          <w:i/>
          <w:iCs/>
          <w:color w:val="6A737D"/>
          <w:sz w:val="18"/>
          <w:szCs w:val="18"/>
        </w:rPr>
        <w:t xml:space="preserve">Figure — Assert pipeline — verdict-driven branching; every write produces an audit row.</w:t>
      </w:r>
    </w:p>
    <w:p>
      <w:pPr>
        <w:pStyle w:val="Heading1"/>
      </w:pPr>
      <w:r>
        <w:t xml:space="preserve">7. Resolve — the Time Machine</w:t>
      </w:r>
    </w:p>
    <w:p>
      <w:pPr>
        <w:spacing w:after="160"/>
      </w:pPr>
      <w:r>
        <w:rPr>
          <w:i/>
          <w:iCs/>
          <w:color w:val="6A737D"/>
          <w:sz w:val="22"/>
          <w:szCs w:val="22"/>
        </w:rPr>
        <w:t xml:space="preserve">Time- and permission-aware retrieval; the payoff for everything Assert set up.</w:t>
      </w:r>
    </w:p>
    <w:p>
      <w:pPr>
        <w:spacing w:after="120"/>
      </w:pPr>
      <w:r>
        <w:t xml:space="preserve">Resolve embeds the query, MATCHes claims whose event-time window contains </w:t>
      </w:r>
      <w:r>
        <w:rPr>
          <w:rFonts w:ascii="Consolas" w:cs="Consolas" w:eastAsia="Consolas" w:hAnsi="Consolas"/>
          <w:sz w:val="19"/>
          <w:szCs w:val="19"/>
        </w:rPr>
        <w:t xml:space="preserve">as_of</w:t>
      </w:r>
      <w:r>
        <w:t xml:space="preserve"> (filtering on the validity window, </w:t>
      </w:r>
      <w:r>
        <w:rPr>
          <w:b/>
          <w:bCs/>
        </w:rPr>
        <w:t xml:space="preserve">never</w:t>
      </w:r>
      <w:r>
        <w:t xml:space="preserve"> on </w:t>
      </w:r>
      <w:r>
        <w:rPr>
          <w:rFonts w:ascii="Consolas" w:cs="Consolas" w:eastAsia="Consolas" w:hAnsi="Consolas"/>
          <w:sz w:val="19"/>
          <w:szCs w:val="19"/>
        </w:rPr>
        <w:t xml:space="preserve">superseded_at</w:t>
      </w:r>
      <w:r>
        <w:t xml:space="preserve">), ranks by cosine, then applies the deny-by-default ACL per principal and audits exactly what was served. With </w:t>
      </w:r>
      <w:r>
        <w:rPr>
          <w:rFonts w:ascii="Consolas" w:cs="Consolas" w:eastAsia="Consolas" w:hAnsi="Consolas"/>
          <w:sz w:val="19"/>
          <w:szCs w:val="19"/>
        </w:rPr>
        <w:t xml:space="preserve">known_as_of</w:t>
      </w:r>
      <w:r>
        <w:t xml:space="preserve"> it reconstructs the belief state at both axes — the same event-time question can yield a different answer because knowledge evolved. Results are cached (a cache hit still writes the audit record).</w:t>
      </w:r>
    </w:p>
    <w:p>
      <w:pPr>
        <w:spacing w:after="40" w:before="120"/>
        <w:jc w:val="center"/>
      </w:pPr>
      <w:r>
        <w:drawing>
          <wp:inline distT="0" distB="0" distL="0" distR="0">
            <wp:extent cx="5829300" cy="2571750"/>
            <wp:effectExtent t="0" r="0" b="0" l="0"/>
            <wp:docPr id="1" name="Resolve sequence" descr="Resolve sequence" title="Resolve sequ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11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9300" cy="2571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220"/>
        <w:jc w:val="center"/>
      </w:pPr>
      <w:r>
        <w:rPr>
          <w:i/>
          <w:iCs/>
          <w:color w:val="6A737D"/>
          <w:sz w:val="18"/>
          <w:szCs w:val="18"/>
        </w:rPr>
        <w:t xml:space="preserve">Figure — Resolve@(T, K) — event-time validity × knowledge-time visibility, then ACL filter, then audit.</w:t>
      </w:r>
    </w:p>
    <w:p>
      <w:pPr>
        <w:spacing w:after="40" w:before="120"/>
        <w:jc w:val="center"/>
      </w:pPr>
      <w:r>
        <w:drawing>
          <wp:inline distT="0" distB="0" distL="0" distR="0">
            <wp:extent cx="4476750" cy="3057525"/>
            <wp:effectExtent t="0" r="0" b="0" l="0"/>
            <wp:docPr id="1" name="Claim status lifecycle" descr="Claim status lifecycle" title="Claim status lifecyc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12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0" cy="3057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220"/>
        <w:jc w:val="center"/>
      </w:pPr>
      <w:r>
        <w:rPr>
          <w:i/>
          <w:iCs/>
          <w:color w:val="6A737D"/>
          <w:sz w:val="18"/>
          <w:szCs w:val="18"/>
        </w:rPr>
        <w:t xml:space="preserve">Figure — Claim status lifecycle — superseded/archived claims are withheld from current reads but remain queryable via Resolve@past.</w:t>
      </w:r>
    </w:p>
    <w:p>
      <w:pPr>
        <w:pStyle w:val="Heading1"/>
      </w:pPr>
      <w:r>
        <w:t xml:space="preserve">8. Reconciliation v2 (SLA Review Queue)</w:t>
      </w:r>
    </w:p>
    <w:p>
      <w:pPr>
        <w:spacing w:after="160"/>
      </w:pPr>
      <w:r>
        <w:rPr>
          <w:i/>
          <w:iCs/>
          <w:color w:val="6A737D"/>
          <w:sz w:val="22"/>
          <w:szCs w:val="22"/>
        </w:rPr>
        <w:t xml:space="preserve">Auto-resolve on a clear margin; otherwise an operational human-in-the-loop workflow.</w:t>
      </w:r>
    </w:p>
    <w:p>
      <w:pPr>
        <w:spacing w:after="120"/>
      </w:pPr>
      <w:r>
        <w:t xml:space="preserve">The reconciliation policy chain — </w:t>
      </w:r>
      <w:r>
        <w:rPr>
          <w:b/>
          <w:bCs/>
        </w:rPr>
        <w:t xml:space="preserve">source-trust → confidence → recency → human</w:t>
      </w:r>
      <w:r>
        <w:t xml:space="preserve"> — auto-resolves only when one signal wins by its margin; near-ties defer. The v2 review queue ranks flagged conflicts by SLA time-remaining with a conflict-type chip, both claims side-by-side with provenance, </w:t>
      </w:r>
      <w:r>
        <w:rPr>
          <w:b/>
          <w:bCs/>
        </w:rPr>
        <w:t xml:space="preserve">escalation</w:t>
      </w:r>
      <w:r>
        <w:t xml:space="preserve"> levels (ok / breached / escalated past 2× SLA), </w:t>
      </w:r>
      <w:r>
        <w:rPr>
          <w:b/>
          <w:bCs/>
        </w:rPr>
        <w:t xml:space="preserve">reviewer assignment</w:t>
      </w:r>
      <w:r>
        <w:t xml:space="preserve">, and </w:t>
      </w:r>
      <w:r>
        <w:rPr>
          <w:b/>
          <w:bCs/>
        </w:rPr>
        <w:t xml:space="preserve">notifications</w:t>
      </w:r>
      <w:r>
        <w:t xml:space="preserve"> (webhook / Slack, opt-in). Every reviewer decision is itself an audited event.</w:t>
      </w:r>
    </w:p>
    <w:p>
      <w:pPr>
        <w:pStyle w:val="Heading1"/>
      </w:pPr>
      <w:r>
        <w:t xml:space="preserve">9. Decay-as-Policy &amp; GDPR</w:t>
      </w:r>
    </w:p>
    <w:p>
      <w:pPr>
        <w:spacing w:after="160"/>
      </w:pPr>
      <w:r>
        <w:rPr>
          <w:i/>
          <w:iCs/>
          <w:color w:val="6A737D"/>
          <w:sz w:val="22"/>
          <w:szCs w:val="22"/>
        </w:rPr>
        <w:t xml:space="preserve">Per-type forgetting and data-subject rights, without ever destroying the record.</w:t>
      </w:r>
    </w:p>
    <w:p>
      <w:pPr>
        <w:spacing w:after="120"/>
      </w:pPr>
      <w:r>
        <w:t xml:space="preserve">A </w:t>
      </w:r>
      <w:r>
        <w:rPr>
          <w:rFonts w:ascii="Consolas" w:cs="Consolas" w:eastAsia="Consolas" w:hAnsi="Consolas"/>
          <w:sz w:val="19"/>
          <w:szCs w:val="19"/>
        </w:rPr>
        <w:t xml:space="preserve">DecayPolicy</w:t>
      </w:r>
      <w:r>
        <w:t xml:space="preserve"> maps each </w:t>
      </w:r>
      <w:r>
        <w:rPr>
          <w:rFonts w:ascii="Consolas" w:cs="Consolas" w:eastAsia="Consolas" w:hAnsi="Consolas"/>
          <w:sz w:val="19"/>
          <w:szCs w:val="19"/>
        </w:rPr>
        <w:t xml:space="preserve">predicate_key</w:t>
      </w:r>
      <w:r>
        <w:t xml:space="preserve"> to a rule (half-life + confidence floor + optional hard TTL), with a default fallback: a phone number can outlive a transient status; regulated records get a hard retention limit. GDPR data-subject rights are first-class — </w:t>
      </w:r>
      <w:r>
        <w:rPr>
          <w:b/>
          <w:bCs/>
        </w:rPr>
        <w:t xml:space="preserve">subject_export</w:t>
      </w:r>
      <w:r>
        <w:t xml:space="preserve"> (Art. 15/20 portable export) and </w:t>
      </w:r>
      <w:r>
        <w:rPr>
          <w:b/>
          <w:bCs/>
        </w:rPr>
        <w:t xml:space="preserve">subject_erase</w:t>
      </w:r>
      <w:r>
        <w:t xml:space="preserve"> (Art. 17 redact-and-archive, audited). Archived claims drop from Resolve but remain for Audit.</w:t>
      </w:r>
    </w:p>
    <w:p>
      <w:pPr>
        <w:pStyle w:val="Heading1"/>
      </w:pPr>
      <w:r>
        <w:t xml:space="preserve">10. Tamper-Evident Audit (D1–D4)</w:t>
      </w:r>
    </w:p>
    <w:p>
      <w:pPr>
        <w:spacing w:after="160"/>
      </w:pPr>
      <w:r>
        <w:rPr>
          <w:i/>
          <w:iCs/>
          <w:color w:val="6A737D"/>
          <w:sz w:val="22"/>
          <w:szCs w:val="22"/>
        </w:rPr>
        <w:t xml:space="preserve">A layered guarantee: what → when → packaged-offline → cannot-be-rewritten.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100"/>
        <w:gridCol w:w="8260"/>
      </w:tblGrid>
      <w:tr>
        <w:trPr>
          <w:tblHeader/>
        </w:trPr>
        <w:tc>
          <w:tcPr>
            <w:tcW w:type="dxa" w:w="11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1F6FEB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/>
                <w:bCs/>
                <w:color w:val="FFFFFF"/>
                <w:sz w:val="19"/>
                <w:szCs w:val="19"/>
              </w:rPr>
              <w:t xml:space="preserve">Layer</w:t>
            </w:r>
          </w:p>
        </w:tc>
        <w:tc>
          <w:tcPr>
            <w:tcW w:type="dxa" w:w="826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1F6FEB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/>
                <w:bCs/>
                <w:color w:val="FFFFFF"/>
                <w:sz w:val="19"/>
                <w:szCs w:val="19"/>
              </w:rPr>
              <w:t xml:space="preserve">Guarantee</w:t>
            </w:r>
          </w:p>
        </w:tc>
      </w:tr>
      <w:tr>
        <w:trPr>
          <w:tblHeader w:val="false"/>
        </w:trPr>
        <w:tc>
          <w:tcPr>
            <w:tcW w:type="dxa" w:w="11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Hash chain</w:t>
            </w:r>
          </w:p>
        </w:tc>
        <w:tc>
          <w:tcPr>
            <w:tcW w:type="dxa" w:w="826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Always on. Each row's entry_hash = SHA256(prev_hash ‖ canonical body); any edit/reorder breaks the chain.</w:t>
            </w:r>
          </w:p>
        </w:tc>
      </w:tr>
      <w:tr>
        <w:trPr>
          <w:tblHeader w:val="false"/>
        </w:trPr>
        <w:tc>
          <w:tcPr>
            <w:tcW w:type="dxa" w:w="11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D1 Merkle</w:t>
            </w:r>
          </w:p>
        </w:tc>
        <w:tc>
          <w:tcPr>
            <w:tcW w:type="dxa" w:w="826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RFC 6962 inclusion proofs — prove one historical event offline, without replaying the chain.</w:t>
            </w:r>
          </w:p>
        </w:tc>
      </w:tr>
      <w:tr>
        <w:trPr>
          <w:tblHeader w:val="false"/>
        </w:trPr>
        <w:tc>
          <w:tcPr>
            <w:tcW w:type="dxa" w:w="11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D2 RFC 3161</w:t>
            </w:r>
          </w:p>
        </w:tc>
        <w:tc>
          <w:tcPr>
            <w:tcW w:type="dxa" w:w="826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A Time Stamp Authority signs each checkpoint's Merkle root — prove it existed at time T.</w:t>
            </w:r>
          </w:p>
        </w:tc>
      </w:tr>
      <w:tr>
        <w:trPr>
          <w:tblHeader w:val="false"/>
        </w:trPr>
        <w:tc>
          <w:tcPr>
            <w:tcW w:type="dxa" w:w="11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D3 Bundle</w:t>
            </w:r>
          </w:p>
        </w:tc>
        <w:tc>
          <w:tcPr>
            <w:tcW w:type="dxa" w:w="826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A signed, self-contained evidence zip that embeds verify.py — an auditor verifies offline, stdlib-only.</w:t>
            </w:r>
          </w:p>
        </w:tc>
      </w:tr>
      <w:tr>
        <w:trPr>
          <w:tblHeader w:val="false"/>
        </w:trPr>
        <w:tc>
          <w:tcPr>
            <w:tcW w:type="dxa" w:w="11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D4 Transparency log</w:t>
            </w:r>
          </w:p>
        </w:tc>
        <w:tc>
          <w:tcPr>
            <w:tcW w:type="dxa" w:w="826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Each root published to an append-only log (Local Ed25519 STH / Sigstore Rekor) — even the operator cannot quietly rewrite history.</w:t>
            </w:r>
          </w:p>
        </w:tc>
      </w:tr>
    </w:tbl>
    <w:p>
      <w:pPr>
        <w:spacing w:after="40" w:before="120"/>
        <w:jc w:val="center"/>
      </w:pPr>
      <w:r>
        <w:drawing>
          <wp:inline distT="0" distB="0" distL="0" distR="0">
            <wp:extent cx="5829300" cy="2514600"/>
            <wp:effectExtent t="0" r="0" b="0" l="0"/>
            <wp:docPr id="1" name="Audit checkpoint and verification" descr="Audit checkpoint and verification" title="Audit checkpoint and verifica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13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9300" cy="2514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220"/>
        <w:jc w:val="center"/>
      </w:pPr>
      <w:r>
        <w:rPr>
          <w:i/>
          <w:iCs/>
          <w:color w:val="6A737D"/>
          <w:sz w:val="18"/>
          <w:szCs w:val="18"/>
        </w:rPr>
        <w:t xml:space="preserve">Figure — Audit — checkpoint seals a Merkle root, anchors it (TSA + transparency log), and exports an offline-verifiable bundle.</w:t>
      </w:r>
    </w:p>
    <w:p>
      <w:pPr>
        <w:pStyle w:val="Heading1"/>
      </w:pPr>
      <w:r>
        <w:t xml:space="preserve">11. Multi-Tenancy</w:t>
      </w:r>
    </w:p>
    <w:p>
      <w:pPr>
        <w:spacing w:after="160"/>
      </w:pPr>
      <w:r>
        <w:rPr>
          <w:i/>
          <w:iCs/>
          <w:color w:val="6A737D"/>
          <w:sz w:val="22"/>
          <w:szCs w:val="22"/>
        </w:rPr>
        <w:t xml:space="preserve">A tenant is a workspace; isolation is enforced by the engine, not bolted on.</w:t>
      </w:r>
    </w:p>
    <w:p>
      <w:pPr>
        <w:spacing w:after="120"/>
      </w:pPr>
      <w:r>
        <w:t xml:space="preserve">Resolve and Assert scope to </w:t>
      </w:r>
      <w:r>
        <w:rPr>
          <w:rFonts w:ascii="Consolas" w:cs="Consolas" w:eastAsia="Consolas" w:hAnsi="Consolas"/>
          <w:sz w:val="19"/>
          <w:szCs w:val="19"/>
        </w:rPr>
        <w:t xml:space="preserve">principal.workspace_scope()</w:t>
      </w:r>
      <w:r>
        <w:t xml:space="preserve"> (the tenant's workspaces plus a shared global space), so a principal in tenant </w:t>
      </w:r>
      <w:r>
        <w:rPr>
          <w:i/>
          <w:iCs/>
        </w:rPr>
        <w:t xml:space="preserve">acme</w:t>
      </w:r>
      <w:r>
        <w:t xml:space="preserve"> never sees tenant </w:t>
      </w:r>
      <w:r>
        <w:rPr>
          <w:i/>
          <w:iCs/>
        </w:rPr>
        <w:t xml:space="preserve">globex</w:t>
      </w:r>
      <w:r>
        <w:t xml:space="preserve">'s claims — verified by an isolation test. On top sits provisioning: </w:t>
      </w:r>
      <w:r>
        <w:rPr>
          <w:rFonts w:ascii="Consolas" w:cs="Consolas" w:eastAsia="Consolas" w:hAnsi="Consolas"/>
          <w:sz w:val="19"/>
          <w:szCs w:val="19"/>
        </w:rPr>
        <w:t xml:space="preserve">POST /signup</w:t>
      </w:r>
      <w:r>
        <w:t xml:space="preserve"> (org → workspace + admin + session) and tenant-scoped member management, surfaced in a signup flow and an Organization page in the web app.</w:t>
      </w:r>
    </w:p>
    <w:p>
      <w:pPr>
        <w:pStyle w:val="Heading1"/>
      </w:pPr>
      <w:r>
        <w:t xml:space="preserve">12. Federation — Front an Existing Store</w:t>
      </w:r>
    </w:p>
    <w:p>
      <w:pPr>
        <w:spacing w:after="160"/>
      </w:pPr>
      <w:r>
        <w:rPr>
          <w:i/>
          <w:iCs/>
          <w:color w:val="6A737D"/>
          <w:sz w:val="22"/>
          <w:szCs w:val="22"/>
        </w:rPr>
        <w:t xml:space="preserve">Adopt governance without migrating your vectors.</w:t>
      </w:r>
    </w:p>
    <w:p>
      <w:pPr>
        <w:spacing w:after="120"/>
      </w:pPr>
      <w:r>
        <w:t xml:space="preserve">A team that already has embeddings in Pinecone / Qdrant / Weaviate should not have to migrate. The </w:t>
      </w:r>
      <w:r>
        <w:rPr>
          <w:rFonts w:ascii="Consolas" w:cs="Consolas" w:eastAsia="Consolas" w:hAnsi="Consolas"/>
          <w:sz w:val="19"/>
          <w:szCs w:val="19"/>
        </w:rPr>
        <w:t xml:space="preserve">FederationAdapter</w:t>
      </w:r>
      <w:r>
        <w:t xml:space="preserve"> leaves those vectors in place and overlays the Vault's validity + ACL + audit on retrieval. A concrete </w:t>
      </w:r>
      <w:r>
        <w:rPr>
          <w:b/>
          <w:bCs/>
        </w:rPr>
        <w:t xml:space="preserve">Qdrant adapter</w:t>
      </w:r>
      <w:r>
        <w:t xml:space="preserve"> ships (runs locally, no account) and is verified end-to-end: vectors live in Qdrant while the Neo4j governance graph still denies an unauthorized reader the document Qdrant ranked. Pinecone/Weaviate/pgvector follow the same three-method protocol.</w:t>
      </w:r>
    </w:p>
    <w:p>
      <w:pPr>
        <w:pStyle w:val="Heading1"/>
      </w:pPr>
      <w:r>
        <w:t xml:space="preserve">13. Scale Tier</w:t>
      </w:r>
    </w:p>
    <w:p>
      <w:pPr>
        <w:spacing w:after="160"/>
      </w:pPr>
      <w:r>
        <w:rPr>
          <w:i/>
          <w:iCs/>
          <w:color w:val="6A737D"/>
          <w:sz w:val="22"/>
          <w:szCs w:val="22"/>
        </w:rPr>
        <w:t xml:space="preserve">Resolve caching and an optional dedicated vector backend — correctness preserved.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b/>
          <w:bCs/>
        </w:rPr>
        <w:t xml:space="preserve">Resolve caching. </w:t>
      </w:r>
      <w:r>
        <w:t xml:space="preserve">An LRU + TTL cache over the retrieval, keyed by the full request shape including workspace scope, </w:t>
      </w:r>
      <w:r>
        <w:rPr>
          <w:b/>
          <w:bCs/>
        </w:rPr>
        <w:t xml:space="preserve">cleared on every write</w:t>
      </w:r>
      <w:r>
        <w:t xml:space="preserve"> so it can never serve a stale governed answer. A cache hit still writes the audit record.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b/>
          <w:bCs/>
        </w:rPr>
        <w:t xml:space="preserve">Dedicated vector backend. </w:t>
      </w:r>
      <w:r>
        <w:t xml:space="preserve">The ANN search can be offloaded to Qdrant while </w:t>
      </w:r>
      <w:r>
        <w:rPr>
          <w:b/>
          <w:bCs/>
        </w:rPr>
        <w:t xml:space="preserve">Neo4j stays authoritative</w:t>
      </w:r>
      <w:r>
        <w:t xml:space="preserve">: the ANN proposes candidates; Neo4j re-applies the validity + workspace + status filter. A stale ANN can only over-fetch, never leak an expired/wrong-tenant/flagged claim — proven by an isolation test where a worst-case ANN returns everything and only the valid, authorized, active claim survives.</w:t>
      </w:r>
    </w:p>
    <w:p>
      <w:pPr>
        <w:pStyle w:val="Heading1"/>
      </w:pPr>
      <w:r>
        <w:t xml:space="preserve">14. Evaluation — vault-bench</w:t>
      </w:r>
    </w:p>
    <w:p>
      <w:pPr>
        <w:spacing w:after="160"/>
      </w:pPr>
      <w:r>
        <w:rPr>
          <w:i/>
          <w:iCs/>
          <w:color w:val="6A737D"/>
          <w:sz w:val="22"/>
          <w:szCs w:val="22"/>
        </w:rPr>
        <w:t xml:space="preserve">Own the metric that matters: the silent-corruption rate.</w:t>
      </w:r>
    </w:p>
    <w:p>
      <w:pPr>
        <w:spacing w:after="120"/>
      </w:pPr>
      <w:r>
        <w:t xml:space="preserve">vault-bench scores any conflict-detection subject (Vault, heuristic, or a competitor) on the six-way taxonomy with per-class and per-domain metrics and a </w:t>
      </w:r>
      <w:r>
        <w:rPr>
          <w:b/>
          <w:bCs/>
        </w:rPr>
        <w:t xml:space="preserve">CI gate</w:t>
      </w:r>
      <w:r>
        <w:t xml:space="preserve"> on the silent-corruption rate. The gold set is </w:t>
      </w:r>
      <w:r>
        <w:rPr>
          <w:b/>
          <w:bCs/>
        </w:rPr>
        <w:t xml:space="preserve">1,032 cases across 16 domains</w:t>
      </w:r>
      <w:r>
        <w:t xml:space="preserve">, generated correct-by-construction (rules encode the taxonomy) with adversarial categories — paraphrase, alias, negation, temporal-edge, near-duplicate, cross-predicate. Mem0 and Zep slot in as behavioural-probe adapters; a static leaderboard site renders the results.</w:t>
      </w:r>
    </w:p>
    <w:p>
      <w:pPr>
        <w:pStyle w:val="Heading1"/>
      </w:pPr>
      <w:r>
        <w:t xml:space="preserve">15. Interfaces &amp; the Product Web App</w:t>
      </w:r>
    </w:p>
    <w:p>
      <w:pPr>
        <w:spacing w:after="160"/>
      </w:pPr>
      <w:r>
        <w:rPr>
          <w:i/>
          <w:iCs/>
          <w:color w:val="6A737D"/>
          <w:sz w:val="22"/>
          <w:szCs w:val="22"/>
        </w:rPr>
        <w:t xml:space="preserve">Used as a service an agent calls (MCP/SDK/API) and as a product humans log into.</w:t>
      </w:r>
    </w:p>
    <w:p>
      <w:pPr>
        <w:spacing w:after="120"/>
      </w:pPr>
      <w:r>
        <w:t xml:space="preserve">Interfaces: </w:t>
      </w:r>
      <w:r>
        <w:rPr>
          <w:b/>
          <w:bCs/>
        </w:rPr>
        <w:t xml:space="preserve">MCP server</w:t>
      </w:r>
      <w:r>
        <w:t xml:space="preserve"> (the agent wedge), </w:t>
      </w:r>
      <w:r>
        <w:rPr>
          <w:b/>
          <w:bCs/>
        </w:rPr>
        <w:t xml:space="preserve">Python SDK</w:t>
      </w:r>
      <w:r>
        <w:t xml:space="preserve">, zero-dependency </w:t>
      </w:r>
      <w:r>
        <w:rPr>
          <w:b/>
          <w:bCs/>
        </w:rPr>
        <w:t xml:space="preserve">TypeScript SDK</w:t>
      </w:r>
      <w:r>
        <w:t xml:space="preserve">, </w:t>
      </w:r>
      <w:r>
        <w:rPr>
          <w:b/>
          <w:bCs/>
        </w:rPr>
        <w:t xml:space="preserve">HTTP API</w:t>
      </w:r>
      <w:r>
        <w:t xml:space="preserve"> (FastAPI), the </w:t>
      </w:r>
      <w:r>
        <w:rPr>
          <w:rFonts w:ascii="Consolas" w:cs="Consolas" w:eastAsia="Consolas" w:hAnsi="Consolas"/>
          <w:sz w:val="19"/>
          <w:szCs w:val="19"/>
        </w:rPr>
        <w:t xml:space="preserve">/admin</w:t>
      </w:r>
      <w:r>
        <w:t xml:space="preserve"> and </w:t>
      </w:r>
      <w:r>
        <w:rPr>
          <w:rFonts w:ascii="Consolas" w:cs="Consolas" w:eastAsia="Consolas" w:hAnsi="Consolas"/>
          <w:sz w:val="19"/>
          <w:szCs w:val="19"/>
        </w:rPr>
        <w:t xml:space="preserve">/ask</w:t>
      </w:r>
      <w:r>
        <w:t xml:space="preserve"> consoles, and a </w:t>
      </w:r>
      <w:r>
        <w:rPr>
          <w:b/>
          <w:bCs/>
        </w:rPr>
        <w:t xml:space="preserve">CLI</w:t>
      </w:r>
      <w:r>
        <w:t xml:space="preserve">. The product web app (Vite + React + TypeScript) turns the engine into something non-developers log into: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700"/>
        <w:gridCol w:w="6660"/>
      </w:tblGrid>
      <w:tr>
        <w:trPr>
          <w:tblHeader/>
        </w:trPr>
        <w:tc>
          <w:tcPr>
            <w:tcW w:type="dxa" w:w="27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1F6FEB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/>
                <w:bCs/>
                <w:color w:val="FFFFFF"/>
                <w:sz w:val="19"/>
                <w:szCs w:val="19"/>
              </w:rPr>
              <w:t xml:space="preserve">Page</w:t>
            </w:r>
          </w:p>
        </w:tc>
        <w:tc>
          <w:tcPr>
            <w:tcW w:type="dxa" w:w="666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1F6FEB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/>
                <w:bCs/>
                <w:color w:val="FFFFFF"/>
                <w:sz w:val="19"/>
                <w:szCs w:val="19"/>
              </w:rPr>
              <w:t xml:space="preserve">Purpose</w:t>
            </w:r>
          </w:p>
        </w:tc>
      </w:tr>
      <w:tr>
        <w:trPr>
          <w:tblHeader w:val="false"/>
        </w:trPr>
        <w:tc>
          <w:tcPr>
            <w:tcW w:type="dxa" w:w="27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Login / signup</w:t>
            </w:r>
          </w:p>
        </w:tc>
        <w:tc>
          <w:tcPr>
            <w:tcW w:type="dxa" w:w="666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Password + OIDC SSO + “create an organization” (tenant provisioning).</w:t>
            </w:r>
          </w:p>
        </w:tc>
      </w:tr>
      <w:tr>
        <w:trPr>
          <w:tblHeader w:val="false"/>
        </w:trPr>
        <w:tc>
          <w:tcPr>
            <w:tcW w:type="dxa" w:w="27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Dashboard</w:t>
            </w:r>
          </w:p>
        </w:tc>
        <w:tc>
          <w:tcPr>
            <w:tcW w:type="dxa" w:w="666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Tenant-scoped counts (claims, awaiting review, breached) + audit-chain status.</w:t>
            </w:r>
          </w:p>
        </w:tc>
      </w:tr>
      <w:tr>
        <w:trPr>
          <w:tblHeader w:val="false"/>
        </w:trPr>
        <w:tc>
          <w:tcPr>
            <w:tcW w:type="dxa" w:w="27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Resolve</w:t>
            </w:r>
          </w:p>
        </w:tc>
        <w:tc>
          <w:tcPr>
            <w:tcW w:type="dxa" w:w="666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The time machine: query + event-time + knowledge-time, permission-aware.</w:t>
            </w:r>
          </w:p>
        </w:tc>
      </w:tr>
      <w:tr>
        <w:trPr>
          <w:tblHeader w:val="false"/>
        </w:trPr>
        <w:tc>
          <w:tcPr>
            <w:tcW w:type="dxa" w:w="27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Review queue</w:t>
            </w:r>
          </w:p>
        </w:tc>
        <w:tc>
          <w:tcPr>
            <w:tcW w:type="dxa" w:w="666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SLA-ranked conflicts with escalation, assignment, and breach notifications.</w:t>
            </w:r>
          </w:p>
        </w:tc>
      </w:tr>
      <w:tr>
        <w:trPr>
          <w:tblHeader w:val="false"/>
        </w:trPr>
        <w:tc>
          <w:tcPr>
            <w:tcW w:type="dxa" w:w="27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Claims / Provenance</w:t>
            </w:r>
          </w:p>
        </w:tc>
        <w:tc>
          <w:tcPr>
            <w:tcW w:type="dxa" w:w="666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Browse + assert; an SVG supersession-lineage graph of any fact.</w:t>
            </w:r>
          </w:p>
        </w:tc>
      </w:tr>
      <w:tr>
        <w:trPr>
          <w:tblHeader w:val="false"/>
        </w:trPr>
        <w:tc>
          <w:tcPr>
            <w:tcW w:type="dxa" w:w="27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Audit &amp; GDPR</w:t>
            </w:r>
          </w:p>
        </w:tc>
        <w:tc>
          <w:tcPr>
            <w:tcW w:type="dxa" w:w="666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Merkle checkpoint + chain status; Art. 15/20 export and Art. 17 erase.</w:t>
            </w:r>
          </w:p>
        </w:tc>
      </w:tr>
      <w:tr>
        <w:trPr>
          <w:tblHeader w:val="false"/>
        </w:trPr>
        <w:tc>
          <w:tcPr>
            <w:tcW w:type="dxa" w:w="27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Lifecycle / Compliance / Organization</w:t>
            </w:r>
          </w:p>
        </w:tc>
        <w:tc>
          <w:tcPr>
            <w:tcW w:type="dxa" w:w="666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Per-type decay rules; run packs + export evidence; tenant + members.</w:t>
            </w:r>
          </w:p>
        </w:tc>
      </w:tr>
    </w:tbl>
    <w:p>
      <w:pPr>
        <w:pStyle w:val="Heading1"/>
      </w:pPr>
      <w:r>
        <w:t xml:space="preserve">16. Technology &amp; Repository</w:t>
      </w:r>
    </w:p>
    <w:p>
      <w:pPr>
        <w:spacing w:after="160"/>
      </w:pPr>
      <w:r>
        <w:rPr>
          <w:i/>
          <w:iCs/>
          <w:color w:val="6A737D"/>
          <w:sz w:val="22"/>
          <w:szCs w:val="22"/>
        </w:rPr>
        <w:t xml:space="preserve">Python 3.11 + uv; FastAPI; Neo4j 5.26; Postgres 16; Qdrant 1.12; sentence-transformers (hash fallback).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400"/>
        <w:gridCol w:w="6960"/>
      </w:tblGrid>
      <w:tr>
        <w:trPr>
          <w:tblHeader/>
        </w:trPr>
        <w:tc>
          <w:tcPr>
            <w:tcW w:type="dxa" w:w="24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1F6FEB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/>
                <w:bCs/>
                <w:color w:val="FFFFFF"/>
                <w:sz w:val="19"/>
                <w:szCs w:val="19"/>
              </w:rPr>
              <w:t xml:space="preserve">Path</w:t>
            </w:r>
          </w:p>
        </w:tc>
        <w:tc>
          <w:tcPr>
            <w:tcW w:type="dxa" w:w="696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1F6FEB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/>
                <w:bCs/>
                <w:color w:val="FFFFFF"/>
                <w:sz w:val="19"/>
                <w:szCs w:val="19"/>
              </w:rPr>
              <w:t xml:space="preserve">Contents</w:t>
            </w:r>
          </w:p>
        </w:tc>
      </w:tr>
      <w:tr>
        <w:trPr>
          <w:tblHeader w:val="false"/>
        </w:trPr>
        <w:tc>
          <w:tcPr>
            <w:tcW w:type="dxa" w:w="24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context_vault/</w:t>
            </w:r>
          </w:p>
        </w:tc>
        <w:tc>
          <w:tcPr>
            <w:tcW w:type="dxa" w:w="696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58 modules — vault, conflict/, store/neo4j_store, audit/{merkle,timestamp,bundle,transparency,log}, federation/{adapter,external,qdrant_store}, reconcile/{policy,queue}, decay/policy, notify, tenancy, resolve_cache, auth/oidc, compliance/, policy/, embed/, models/, http_api, mcp_server, cli, sdk</w:t>
            </w:r>
          </w:p>
        </w:tc>
      </w:tr>
      <w:tr>
        <w:trPr>
          <w:tblHeader w:val="false"/>
        </w:trPr>
        <w:tc>
          <w:tcPr>
            <w:tcW w:type="dxa" w:w="24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frontend/ · sdk-ts/</w:t>
            </w:r>
          </w:p>
        </w:tc>
        <w:tc>
          <w:tcPr>
            <w:tcW w:type="dxa" w:w="696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The 10-page product SPA; the zero-dependency TypeScript client.</w:t>
            </w:r>
          </w:p>
        </w:tc>
      </w:tr>
      <w:tr>
        <w:trPr>
          <w:tblHeader w:val="false"/>
        </w:trPr>
        <w:tc>
          <w:tcPr>
            <w:tcW w:type="dxa" w:w="24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eval/ · bench-site/</w:t>
            </w:r>
          </w:p>
        </w:tc>
        <w:tc>
          <w:tcPr>
            <w:tcW w:type="dxa" w:w="696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vault-bench harness, 1,032-case gold set + generator, competitor adapters, flagship demo; the static leaderboard.</w:t>
            </w:r>
          </w:p>
        </w:tc>
      </w:tr>
      <w:tr>
        <w:trPr>
          <w:tblHeader w:val="false"/>
        </w:trPr>
        <w:tc>
          <w:tcPr>
            <w:tcW w:type="dxa" w:w="24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docs/ (20) · scripts/</w:t>
            </w:r>
          </w:p>
        </w:tc>
        <w:tc>
          <w:tcPr>
            <w:tcW w:type="dxa" w:w="696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SPEC, SYSTEM_DESIGN, STATUS, ARCHITECTURE, ROADMAP, DEMO, FEDERATION, SCALING, VAULT_BENCH …; committed git hooks.</w:t>
            </w:r>
          </w:p>
        </w:tc>
      </w:tr>
    </w:tbl>
    <w:p>
      <w:pPr>
        <w:spacing w:after="120"/>
      </w:pPr>
      <w:r>
        <w:t xml:space="preserve">Opt-in extras keep the core dependency-light and offline-capable: </w:t>
      </w:r>
      <w:r>
        <w:rPr>
          <w:rFonts w:ascii="Consolas" w:cs="Consolas" w:eastAsia="Consolas" w:hAnsi="Consolas"/>
          <w:sz w:val="19"/>
          <w:szCs w:val="19"/>
        </w:rPr>
        <w:t xml:space="preserve">embeddings · tsa · oidc · federation · dev</w:t>
      </w:r>
      <w:r>
        <w:t xml:space="preserve">. The whole stack starts with </w:t>
      </w:r>
      <w:r>
        <w:rPr>
          <w:rFonts w:ascii="Consolas" w:cs="Consolas" w:eastAsia="Consolas" w:hAnsi="Consolas"/>
          <w:sz w:val="19"/>
          <w:szCs w:val="19"/>
        </w:rPr>
        <w:t xml:space="preserve">docker compose up</w:t>
      </w:r>
      <w:r>
        <w:t xml:space="preserve"> (Neo4j + Postgres + Qdrant + API).</w:t>
      </w:r>
    </w:p>
    <w:p>
      <w:pPr>
        <w:pStyle w:val="Heading1"/>
      </w:pPr>
      <w:r>
        <w:t xml:space="preserve">17. Status, Tests &amp; Verification</w:t>
      </w:r>
    </w:p>
    <w:p>
      <w:pPr>
        <w:spacing w:after="160"/>
      </w:pPr>
      <w:r>
        <w:rPr>
          <w:i/>
          <w:iCs/>
          <w:color w:val="6A737D"/>
          <w:sz w:val="22"/>
          <w:szCs w:val="22"/>
        </w:rPr>
        <w:t xml:space="preserve">Built and verified — 185 backend tests green; the web app builds clean and was driven in a browser.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200"/>
        <w:gridCol w:w="6160"/>
      </w:tblGrid>
      <w:tr>
        <w:trPr>
          <w:tblHeader/>
        </w:trPr>
        <w:tc>
          <w:tcPr>
            <w:tcW w:type="dxa" w:w="32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1F6FEB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/>
                <w:bCs/>
                <w:color w:val="FFFFFF"/>
                <w:sz w:val="19"/>
                <w:szCs w:val="19"/>
              </w:rPr>
              <w:t xml:space="preserve">Dimension</w:t>
            </w:r>
          </w:p>
        </w:tc>
        <w:tc>
          <w:tcPr>
            <w:tcW w:type="dxa" w:w="616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1F6FEB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/>
                <w:bCs/>
                <w:color w:val="FFFFFF"/>
                <w:sz w:val="19"/>
                <w:szCs w:val="19"/>
              </w:rPr>
              <w:t xml:space="preserve">Current</w:t>
            </w:r>
          </w:p>
        </w:tc>
      </w:tr>
      <w:tr>
        <w:trPr>
          <w:tblHeader w:val="false"/>
        </w:trPr>
        <w:tc>
          <w:tcPr>
            <w:tcW w:type="dxa" w:w="32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Backend tests</w:t>
            </w:r>
          </w:p>
        </w:tc>
        <w:tc>
          <w:tcPr>
            <w:tcW w:type="dxa" w:w="616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185 green (29 files; unit = deterministic/mocked, integration = live DB, skip if down)</w:t>
            </w:r>
          </w:p>
        </w:tc>
      </w:tr>
      <w:tr>
        <w:trPr>
          <w:tblHeader w:val="false"/>
        </w:trPr>
        <w:tc>
          <w:tcPr>
            <w:tcW w:type="dxa" w:w="32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Frontend</w:t>
            </w:r>
          </w:p>
        </w:tc>
        <w:tc>
          <w:tcPr>
            <w:tcW w:type="dxa" w:w="616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10-page SPA, builds clean (tsc + vite); browser-verified flows</w:t>
            </w:r>
          </w:p>
        </w:tc>
      </w:tr>
      <w:tr>
        <w:trPr>
          <w:tblHeader w:val="false"/>
        </w:trPr>
        <w:tc>
          <w:tcPr>
            <w:tcW w:type="dxa" w:w="32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Conflict judge</w:t>
            </w:r>
          </w:p>
        </w:tc>
        <w:tc>
          <w:tcPr>
            <w:tcW w:type="dxa" w:w="616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Claude 93.1% acc / 0% silent-corruption (29-case); 88.9% / 9.1% (54-case adversarial)</w:t>
            </w:r>
          </w:p>
        </w:tc>
      </w:tr>
      <w:tr>
        <w:trPr>
          <w:tblHeader w:val="false"/>
        </w:trPr>
        <w:tc>
          <w:tcPr>
            <w:tcW w:type="dxa" w:w="32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Services</w:t>
            </w:r>
          </w:p>
        </w:tc>
        <w:tc>
          <w:tcPr>
            <w:tcW w:type="dxa" w:w="616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Neo4j + Postgres + Qdrant + FastAPI via docker compose</w:t>
            </w:r>
          </w:p>
        </w:tc>
      </w:tr>
      <w:tr>
        <w:trPr>
          <w:tblHeader w:val="false"/>
        </w:trPr>
        <w:tc>
          <w:tcPr>
            <w:tcW w:type="dxa" w:w="32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Verified live this arc</w:t>
            </w:r>
          </w:p>
        </w:tc>
        <w:tc>
          <w:tcPr>
            <w:tcW w:type="dxa" w:w="616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Qdrant federation ACL-overlay; multi-tenant isolation; F2 escalate/assign/notify; dedicated-vector-backend isolation; Resolve cache hit + invalidation</w:t>
            </w:r>
          </w:p>
        </w:tc>
      </w:tr>
    </w:tbl>
    <w:p>
      <w:pPr>
        <w:pStyle w:val="Heading2"/>
      </w:pPr>
      <w:r>
        <w:t xml:space="preserve">Feature inventory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6000"/>
        <w:gridCol w:w="3360"/>
      </w:tblGrid>
      <w:tr>
        <w:trPr>
          <w:tblHeader/>
        </w:trPr>
        <w:tc>
          <w:tcPr>
            <w:tcW w:type="dxa" w:w="60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1F6FEB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/>
                <w:bCs/>
                <w:color w:val="FFFFFF"/>
                <w:sz w:val="19"/>
                <w:szCs w:val="19"/>
              </w:rPr>
              <w:t xml:space="preserve">Capability</w:t>
            </w:r>
          </w:p>
        </w:tc>
        <w:tc>
          <w:tcPr>
            <w:tcW w:type="dxa" w:w="336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1F6FEB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/>
                <w:bCs/>
                <w:color w:val="FFFFFF"/>
                <w:sz w:val="19"/>
                <w:szCs w:val="19"/>
              </w:rPr>
              <w:t xml:space="preserve">State</w:t>
            </w:r>
          </w:p>
        </w:tc>
      </w:tr>
      <w:tr>
        <w:trPr>
          <w:tblHeader w:val="false"/>
        </w:trPr>
        <w:tc>
          <w:tcPr>
            <w:tcW w:type="dxa" w:w="60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Five operations · Claim · bitemporal Resolve@(T,K)</w:t>
            </w:r>
          </w:p>
        </w:tc>
        <w:tc>
          <w:tcPr>
            <w:tcW w:type="dxa" w:w="336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Shipped</w:t>
            </w:r>
          </w:p>
        </w:tc>
      </w:tr>
      <w:tr>
        <w:trPr>
          <w:tblHeader w:val="false"/>
        </w:trPr>
        <w:tc>
          <w:tcPr>
            <w:tcW w:type="dxa" w:w="60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Conflict detection (six-way, tiered judge, LRU cache)</w:t>
            </w:r>
          </w:p>
        </w:tc>
        <w:tc>
          <w:tcPr>
            <w:tcW w:type="dxa" w:w="336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Shipped</w:t>
            </w:r>
          </w:p>
        </w:tc>
      </w:tr>
      <w:tr>
        <w:trPr>
          <w:tblHeader w:val="false"/>
        </w:trPr>
        <w:tc>
          <w:tcPr>
            <w:tcW w:type="dxa" w:w="60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Cross-LLM judges (Claude/GPT/Gemini/Heuristic + conformance suite)</w:t>
            </w:r>
          </w:p>
        </w:tc>
        <w:tc>
          <w:tcPr>
            <w:tcW w:type="dxa" w:w="336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Shipped (live needs provider keys)</w:t>
            </w:r>
          </w:p>
        </w:tc>
      </w:tr>
      <w:tr>
        <w:trPr>
          <w:tblHeader w:val="false"/>
        </w:trPr>
        <w:tc>
          <w:tcPr>
            <w:tcW w:type="dxa" w:w="60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Tamper-evident audit D1–D4</w:t>
            </w:r>
          </w:p>
        </w:tc>
        <w:tc>
          <w:tcPr>
            <w:tcW w:type="dxa" w:w="336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Shipped</w:t>
            </w:r>
          </w:p>
        </w:tc>
      </w:tr>
      <w:tr>
        <w:trPr>
          <w:tblHeader w:val="false"/>
        </w:trPr>
        <w:tc>
          <w:tcPr>
            <w:tcW w:type="dxa" w:w="60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vault-bench (1,032-case gold set, CI gate) + leaderboard</w:t>
            </w:r>
          </w:p>
        </w:tc>
        <w:tc>
          <w:tcPr>
            <w:tcW w:type="dxa" w:w="336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Shipped</w:t>
            </w:r>
          </w:p>
        </w:tc>
      </w:tr>
      <w:tr>
        <w:trPr>
          <w:tblHeader w:val="false"/>
        </w:trPr>
        <w:tc>
          <w:tcPr>
            <w:tcW w:type="dxa" w:w="60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Compliance packs + EU AI Act v1 + sealed bundle</w:t>
            </w:r>
          </w:p>
        </w:tc>
        <w:tc>
          <w:tcPr>
            <w:tcW w:type="dxa" w:w="336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Shipped</w:t>
            </w:r>
          </w:p>
        </w:tc>
      </w:tr>
      <w:tr>
        <w:trPr>
          <w:tblHeader w:val="false"/>
        </w:trPr>
        <w:tc>
          <w:tcPr>
            <w:tcW w:type="dxa" w:w="60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Reconciliation v2 (SLA, escalation, assignment, notifications)</w:t>
            </w:r>
          </w:p>
        </w:tc>
        <w:tc>
          <w:tcPr>
            <w:tcW w:type="dxa" w:w="336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Shipped (notify live needs webhook/SMTP)</w:t>
            </w:r>
          </w:p>
        </w:tc>
      </w:tr>
      <w:tr>
        <w:trPr>
          <w:tblHeader w:val="false"/>
        </w:trPr>
        <w:tc>
          <w:tcPr>
            <w:tcW w:type="dxa" w:w="60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Decay-as-policy + GDPR export/erase</w:t>
            </w:r>
          </w:p>
        </w:tc>
        <w:tc>
          <w:tcPr>
            <w:tcW w:type="dxa" w:w="336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Shipped</w:t>
            </w:r>
          </w:p>
        </w:tc>
      </w:tr>
      <w:tr>
        <w:trPr>
          <w:tblHeader w:val="false"/>
        </w:trPr>
        <w:tc>
          <w:tcPr>
            <w:tcW w:type="dxa" w:w="60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Multi-tenancy (org→workspace, signup, members)</w:t>
            </w:r>
          </w:p>
        </w:tc>
        <w:tc>
          <w:tcPr>
            <w:tcW w:type="dxa" w:w="336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Shipped (isolation-tested)</w:t>
            </w:r>
          </w:p>
        </w:tc>
      </w:tr>
      <w:tr>
        <w:trPr>
          <w:tblHeader w:val="false"/>
        </w:trPr>
        <w:tc>
          <w:tcPr>
            <w:tcW w:type="dxa" w:w="60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Federation — protocol + Qdrant adapter</w:t>
            </w:r>
          </w:p>
        </w:tc>
        <w:tc>
          <w:tcPr>
            <w:tcW w:type="dxa" w:w="336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Shipped</w:t>
            </w:r>
          </w:p>
        </w:tc>
      </w:tr>
      <w:tr>
        <w:trPr>
          <w:tblHeader w:val="false"/>
        </w:trPr>
        <w:tc>
          <w:tcPr>
            <w:tcW w:type="dxa" w:w="60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Scale — Resolve caching + dedicated vector backend</w:t>
            </w:r>
          </w:p>
        </w:tc>
        <w:tc>
          <w:tcPr>
            <w:tcW w:type="dxa" w:w="336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Shipped</w:t>
            </w:r>
          </w:p>
        </w:tc>
      </w:tr>
      <w:tr>
        <w:trPr>
          <w:tblHeader w:val="false"/>
        </w:trPr>
        <w:tc>
          <w:tcPr>
            <w:tcW w:type="dxa" w:w="60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SSO / OIDC (RS256/JWKS, groups→labels)</w:t>
            </w:r>
          </w:p>
        </w:tc>
        <w:tc>
          <w:tcPr>
            <w:tcW w:type="dxa" w:w="336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Shipped (live needs IdP)</w:t>
            </w:r>
          </w:p>
        </w:tc>
      </w:tr>
      <w:tr>
        <w:trPr>
          <w:tblHeader w:val="false"/>
        </w:trPr>
        <w:tc>
          <w:tcPr>
            <w:tcW w:type="dxa" w:w="600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Product web app (10 pages) · MCP · SDKs · CLI</w:t>
            </w:r>
          </w:p>
        </w:tc>
        <w:tc>
          <w:tcPr>
            <w:tcW w:type="dxa" w:w="3360"/>
            <w:tcBorders>
              <w:top w:val="single" w:color="D0D7DE" w:sz="1"/>
              <w:left w:val="single" w:color="D0D7DE" w:sz="1"/>
              <w:bottom w:val="single" w:color="D0D7DE" w:sz="1"/>
              <w:right w:val="single" w:color="D0D7DE" w:sz="1"/>
            </w:tcBorders>
            <w:shd w:fill="FFFFFF" w:val="clear"/>
            <w:tcMar>
              <w:top w:type="dxa" w:w="60"/>
              <w:left w:type="dxa" w:w="110"/>
              <w:bottom w:type="dxa" w:w="60"/>
              <w:right w:type="dxa" w:w="110"/>
            </w:tcMar>
          </w:tcPr>
          <w:p>
            <w:r>
              <w:rPr>
                <w:b w:val="false"/>
                <w:bCs w:val="false"/>
                <w:sz w:val="19"/>
                <w:szCs w:val="19"/>
              </w:rPr>
              <w:t xml:space="preserve">Shipped</w:t>
            </w:r>
          </w:p>
        </w:tc>
      </w:tr>
    </w:tbl>
    <w:p>
      <w:pPr>
        <w:pStyle w:val="Heading1"/>
      </w:pPr>
      <w:r>
        <w:t xml:space="preserve">18. What's Account-Gated &amp; Remaining</w:t>
      </w:r>
    </w:p>
    <w:p>
      <w:pPr>
        <w:spacing w:after="160"/>
      </w:pPr>
      <w:r>
        <w:rPr>
          <w:i/>
          <w:iCs/>
          <w:color w:val="6A737D"/>
          <w:sz w:val="22"/>
          <w:szCs w:val="22"/>
        </w:rPr>
        <w:t xml:space="preserve">The gap to paying customers is commercialization, not capability.</w:t>
      </w:r>
    </w:p>
    <w:p>
      <w:pPr>
        <w:pStyle w:val="Heading2"/>
      </w:pPr>
      <w:r>
        <w:t xml:space="preserve">Account-gated (code done; needs credentials)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b/>
          <w:bCs/>
        </w:rPr>
        <w:t xml:space="preserve">Publish</w:t>
      </w:r>
      <w:r>
        <w:t xml:space="preserve"> to PyPI / npm + MCP-registry listings — the #1 adoption friction.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b/>
          <w:bCs/>
        </w:rPr>
        <w:t xml:space="preserve">Live SSO</w:t>
      </w:r>
      <w:r>
        <w:t xml:space="preserve"> to a real IdP (Auth0/Okta/Azure AD/Google).</w:t>
      </w:r>
    </w:p>
    <w:p>
      <w:pPr>
        <w:pStyle w:val="ListParagraph"/>
        <w:numPr>
          <w:ilvl w:val="0"/>
          <w:numId w:val="2"/>
        </w:numPr>
        <w:spacing w:after="60"/>
      </w:pPr>
      <w:r>
        <w:rPr>
          <w:b/>
          <w:bCs/>
        </w:rPr>
        <w:t xml:space="preserve">Live cross-LLM eval</w:t>
      </w:r>
      <w:r>
        <w:t xml:space="preserve"> (OpenAI/Google keys), </w:t>
      </w:r>
      <w:r>
        <w:rPr>
          <w:b/>
          <w:bCs/>
        </w:rPr>
        <w:t xml:space="preserve">notifications</w:t>
      </w:r>
      <w:r>
        <w:t xml:space="preserve"> (Slack/SMTP), and </w:t>
      </w:r>
      <w:r>
        <w:rPr>
          <w:b/>
          <w:bCs/>
        </w:rPr>
        <w:t xml:space="preserve">vendor federation</w:t>
      </w:r>
      <w:r>
        <w:t xml:space="preserve"> beyond Qdrant (Pinecone/Weaviate accounts).</w:t>
      </w:r>
    </w:p>
    <w:p>
      <w:pPr>
        <w:pStyle w:val="Heading2"/>
      </w:pPr>
      <w:r>
        <w:t xml:space="preserve">Additive / future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More compliance packs (NIST AI RMF, SR 26-2, HIPAA, ISO 42001) on the existing framework.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Framework adapters (LangGraph / CrewAI / LlamaIndex / AutoGen) for drop-in adoption.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Grow vault-bench toward 10k cases and the ≤0.5% silent-corruption gate.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RBAC roles + policy DSL; SCIM provisioning; crypto-shredding of audit payloads for full GDPR erasure.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Managed multi-region hosted offering + usage billing.</w:t>
      </w:r>
    </w:p>
    <w:p>
      <w:pPr>
        <w:pStyle w:val="Heading1"/>
      </w:pPr>
      <w:r>
        <w:t xml:space="preserve">Appendix — Run It</w:t>
      </w:r>
    </w:p>
    <w:p>
      <w:pPr>
        <w:spacing w:after="120"/>
      </w:pPr>
      <w:r>
        <w:rPr>
          <w:rFonts w:ascii="Consolas" w:cs="Consolas" w:eastAsia="Consolas" w:hAnsi="Consolas"/>
          <w:sz w:val="19"/>
          <w:szCs w:val="19"/>
        </w:rPr>
        <w:t xml:space="preserve">docker compose up -d</w:t>
      </w:r>
      <w:r>
        <w:t xml:space="preserve">   — Neo4j + Postgres + Qdrant + API (:8000)</w:t>
      </w:r>
    </w:p>
    <w:p>
      <w:pPr>
        <w:spacing w:after="120"/>
      </w:pPr>
      <w:r>
        <w:rPr>
          <w:rFonts w:ascii="Consolas" w:cs="Consolas" w:eastAsia="Consolas" w:hAnsi="Consolas"/>
          <w:sz w:val="19"/>
          <w:szCs w:val="19"/>
        </w:rPr>
        <w:t xml:space="preserve">uv run --extra dev pytest -q</w:t>
      </w:r>
      <w:r>
        <w:t xml:space="preserve">   — 185 tests</w:t>
      </w:r>
    </w:p>
    <w:p>
      <w:pPr>
        <w:spacing w:after="120"/>
      </w:pPr>
      <w:r>
        <w:rPr>
          <w:rFonts w:ascii="Consolas" w:cs="Consolas" w:eastAsia="Consolas" w:hAnsi="Consolas"/>
          <w:sz w:val="19"/>
          <w:szCs w:val="19"/>
        </w:rPr>
        <w:t xml:space="preserve">uv run python eval/killer_demo.py</w:t>
      </w:r>
      <w:r>
        <w:t xml:space="preserve">   — the flagship five-act demo</w:t>
      </w:r>
    </w:p>
    <w:p>
      <w:pPr>
        <w:spacing w:after="120"/>
      </w:pPr>
      <w:r>
        <w:rPr>
          <w:rFonts w:ascii="Consolas" w:cs="Consolas" w:eastAsia="Consolas" w:hAnsi="Consolas"/>
          <w:sz w:val="19"/>
          <w:szCs w:val="19"/>
        </w:rPr>
        <w:t xml:space="preserve">cd frontend &amp;&amp; npm install &amp;&amp; npm run dev</w:t>
      </w:r>
      <w:r>
        <w:t xml:space="preserve">   — the product UI (:5173 → proxies :8000)</w:t>
      </w:r>
    </w:p>
    <w:p>
      <w:pPr>
        <w:spacing w:before="240"/>
      </w:pPr>
      <w:r>
        <w:rPr>
          <w:color w:val="6A737D"/>
          <w:sz w:val="18"/>
          <w:szCs w:val="18"/>
        </w:rPr>
        <w:t xml:space="preserve">Authoritative live snapshot: </w:t>
      </w:r>
      <w:r>
        <w:rPr>
          <w:rFonts w:ascii="Consolas" w:cs="Consolas" w:eastAsia="Consolas" w:hAnsi="Consolas"/>
          <w:sz w:val="19"/>
          <w:szCs w:val="19"/>
        </w:rPr>
        <w:t xml:space="preserve">docs/STATUS.md</w:t>
      </w:r>
      <w:r>
        <w:rPr>
          <w:color w:val="6A737D"/>
          <w:sz w:val="18"/>
          <w:szCs w:val="18"/>
        </w:rPr>
        <w:t xml:space="preserve">   ·   deep design + diagrams: </w:t>
      </w:r>
      <w:r>
        <w:rPr>
          <w:rFonts w:ascii="Consolas" w:cs="Consolas" w:eastAsia="Consolas" w:hAnsi="Consolas"/>
          <w:sz w:val="19"/>
          <w:szCs w:val="19"/>
        </w:rPr>
        <w:t xml:space="preserve">docs/SYSTEM_DESIGN.md</w:t>
      </w:r>
      <w:r>
        <w:rPr>
          <w:color w:val="6A737D"/>
          <w:sz w:val="18"/>
          <w:szCs w:val="18"/>
        </w:rPr>
        <w:t xml:space="preserve">.</w:t>
      </w:r>
    </w:p>
    <w:sectPr>
      <w:footerReference w:type="default" r:id="rId7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tabs>
        <w:tab w:val="right" w:pos="9360"/>
      </w:tabs>
    </w:pPr>
    <w:r>
      <w:rPr>
        <w:color w:val="6A737D"/>
        <w:sz w:val="16"/>
        <w:szCs w:val="16"/>
      </w:rPr>
      <w:t xml:space="preserve">Context Vault — System Overview</w:t>
    </w:r>
    <w:r>
      <w:rPr>
        <w:sz w:val="16"/>
        <w:szCs w:val="16"/>
      </w:rPr>
      <w:t xml:space="preserve">	</w:t>
    </w:r>
    <w:r>
      <w:rPr>
        <w:color w:val="6A737D"/>
        <w:sz w:val="16"/>
        <w:szCs w:val="16"/>
      </w:rPr>
      <w:t xml:space="preserve">Page </w:t>
    </w:r>
    <w:r>
      <w:rPr>
        <w:color w:val="6A737D"/>
        <w:sz w:val="16"/>
        <w:szCs w:val="16"/>
      </w:rPr>
      <w:fldChar w:fldCharType="begin"/>
      <w:instrText xml:space="preserve">PAGE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460" w:hanging="2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1"/>
        <w:szCs w:val="21"/>
      </w:rPr>
    </w:rPrDefault>
    <w:pPrDefault>
      <w:pPr>
        <w:spacing w:line="264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pBdr>
        <w:bottom w:val="single" w:color="D0D7DE" w:sz="6" w:space="4"/>
      </w:pBdr>
      <w:spacing w:after="140" w:before="320"/>
      <w:outlineLvl w:val="0"/>
    </w:pPr>
    <w:rPr>
      <w:rFonts w:ascii="Arial" w:cs="Arial" w:eastAsia="Arial" w:hAnsi="Arial"/>
      <w:b/>
      <w:bCs/>
      <w:color w:val="1F6FEB"/>
      <w:sz w:val="30"/>
      <w:szCs w:val="30"/>
    </w:rPr>
  </w:style>
  <w:style w:type="paragraph" w:styleId="Heading2">
    <w:name w:val="Heading 2"/>
    <w:basedOn w:val="Normal"/>
    <w:next w:val="Normal"/>
    <w:qFormat/>
    <w:pPr>
      <w:spacing w:after="100" w:before="220"/>
      <w:outlineLvl w:val="1"/>
    </w:pPr>
    <w:rPr>
      <w:rFonts w:ascii="Arial" w:cs="Arial" w:eastAsia="Arial" w:hAnsi="Arial"/>
      <w:b/>
      <w:bCs/>
      <w:color w:val="0D1117"/>
      <w:sz w:val="24"/>
      <w:szCs w:val="24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image" Target="media/0e9b3d4efb0194ac1153838e245da2ea012635be.png"/><Relationship Id="rId9" Type="http://schemas.openxmlformats.org/officeDocument/2006/relationships/image" Target="media/89816d6450843df691453a5154a2dc7153af9b7f.png"/><Relationship Id="rId10" Type="http://schemas.openxmlformats.org/officeDocument/2006/relationships/image" Target="media/49c2177a19c0572e010cfb656657d7680e210103.png"/><Relationship Id="rId11" Type="http://schemas.openxmlformats.org/officeDocument/2006/relationships/image" Target="media/d12c68c4fcedd9da608d77d0ab815a64a1dd83c5.png"/><Relationship Id="rId12" Type="http://schemas.openxmlformats.org/officeDocument/2006/relationships/image" Target="media/94ce47921cc210d0cb25609b1429d6bebdd6fead.png"/><Relationship Id="rId13" Type="http://schemas.openxmlformats.org/officeDocument/2006/relationships/image" Target="media/2554a268e9a1b2297b196982ca488ec1187d6f59.png"/><Relationship Id="rId14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Context Vault — System Overview</dc:title>
  <dc:creator>Context Vault</dc:creator>
  <cp:lastModifiedBy>Un-named</cp:lastModifiedBy>
  <cp:revision>1</cp:revision>
  <dcterms:created xsi:type="dcterms:W3CDTF">2026-06-04T18:36:07.731Z</dcterms:created>
  <dcterms:modified xsi:type="dcterms:W3CDTF">2026-06-04T18:36:07.732Z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