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Enterprise Cybersecurity &amp; Zero-Trust Architecture Policy</w:t>
      </w:r>
    </w:p>
    <w:p>
      <w:pPr>
        <w:jc w:val="center"/>
      </w:pPr>
      <w:r>
        <w:rPr>
          <w:i/>
          <w:color w:val="64748B"/>
          <w:sz w:val="22"/>
        </w:rPr>
        <w:t>Document ID: SEC-POL-2026-V9 | Classification: STRICTLY CONFIDENTIAL</w:t>
      </w:r>
    </w:p>
    <w:p/>
    <w:p>
      <w:pPr>
        <w:pStyle w:val="Heading1"/>
      </w:pPr>
      <w:r>
        <w:t>1. Executive Summary &amp; Core Identity Architecture</w:t>
      </w:r>
    </w:p>
    <w:p>
      <w:r>
        <w:t>Modern enterprise security perimeters have expanded beyond traditional network firewalls. Under the Zero-Trust Architecture (ZTA) paradigm (NIST SP 800-207), all access requests regardless of origin must be explicitly authenticated, authorized, and continuously validated before granting access.</w:t>
      </w:r>
    </w:p>
    <w:p>
      <w:pPr>
        <w:pStyle w:val="ListBullet"/>
      </w:pPr>
      <w:r>
        <w:rPr>
          <w:b/>
        </w:rPr>
        <w:t xml:space="preserve">Identity Federation: </w:t>
      </w:r>
      <w:r>
        <w:t>Mandatory OAuth 2.0 and OpenID Connect (OIDC) integration across all microservices.</w:t>
      </w:r>
    </w:p>
    <w:p>
      <w:pPr>
        <w:pStyle w:val="ListBullet"/>
      </w:pPr>
      <w:r>
        <w:rPr>
          <w:b/>
        </w:rPr>
        <w:t xml:space="preserve">Multi-Factor Authentication (MFA): </w:t>
      </w:r>
      <w:r>
        <w:t>Strict enforcement of FIDO2 WebAuthn hardware security keys for administrative portals.</w:t>
      </w:r>
    </w:p>
    <w:p>
      <w:pPr>
        <w:pStyle w:val="ListBullet"/>
      </w:pPr>
      <w:r>
        <w:rPr>
          <w:b/>
        </w:rPr>
        <w:t xml:space="preserve">Least Privilege RBAC: </w:t>
      </w:r>
      <w:r>
        <w:t>Role-based access controls with just-in-time (JIT) privilege elevation expiring after 60 minutes.</w:t>
      </w:r>
    </w:p>
    <w:p>
      <w:pPr>
        <w:pStyle w:val="Heading1"/>
      </w:pPr>
      <w:r>
        <w:t>2. Incident Response Severity Matrix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color w:val="FFFFFF"/>
              </w:rPr>
              <w:t>Severity Level</w:t>
            </w:r>
          </w:p>
        </w:tc>
        <w:tc>
          <w:tcPr>
            <w:tcW w:type="dxa" w:w="2160"/>
          </w:tcPr>
          <w:p>
            <w:r>
              <w:rPr>
                <w:b/>
                <w:color w:val="FFFFFF"/>
              </w:rPr>
              <w:t>Description &amp; Impact</w:t>
            </w:r>
          </w:p>
        </w:tc>
        <w:tc>
          <w:tcPr>
            <w:tcW w:type="dxa" w:w="2160"/>
          </w:tcPr>
          <w:p>
            <w:r>
              <w:rPr>
                <w:b/>
                <w:color w:val="FFFFFF"/>
              </w:rPr>
              <w:t>SLA Response</w:t>
            </w:r>
          </w:p>
        </w:tc>
        <w:tc>
          <w:tcPr>
            <w:tcW w:type="dxa" w:w="2160"/>
          </w:tcPr>
          <w:p>
            <w:r>
              <w:rPr>
                <w:b/>
                <w:color w:val="FFFFFF"/>
              </w:rPr>
              <w:t>Escalation Path</w:t>
            </w:r>
          </w:p>
        </w:tc>
      </w:tr>
      <w:tr>
        <w:tc>
          <w:tcPr>
            <w:tcW w:type="dxa" w:w="2160"/>
          </w:tcPr>
          <w:p>
            <w:r>
              <w:t>P1 - CRITICAL</w:t>
            </w:r>
          </w:p>
        </w:tc>
        <w:tc>
          <w:tcPr>
            <w:tcW w:type="dxa" w:w="2160"/>
          </w:tcPr>
          <w:p>
            <w:r>
              <w:t>Active data exfiltration or ransomware propagation</w:t>
            </w:r>
          </w:p>
        </w:tc>
        <w:tc>
          <w:tcPr>
            <w:tcW w:type="dxa" w:w="2160"/>
          </w:tcPr>
          <w:p>
            <w:r>
              <w:t>&lt; 15 minutes</w:t>
            </w:r>
          </w:p>
        </w:tc>
        <w:tc>
          <w:tcPr>
            <w:tcW w:type="dxa" w:w="2160"/>
          </w:tcPr>
          <w:p>
            <w:r>
              <w:t>CISO &amp; Board Executive Team</w:t>
            </w:r>
          </w:p>
        </w:tc>
      </w:tr>
      <w:tr>
        <w:tc>
          <w:tcPr>
            <w:tcW w:type="dxa" w:w="2160"/>
          </w:tcPr>
          <w:p>
            <w:r>
              <w:t>P2 - HIGH</w:t>
            </w:r>
          </w:p>
        </w:tc>
        <w:tc>
          <w:tcPr>
            <w:tcW w:type="dxa" w:w="2160"/>
          </w:tcPr>
          <w:p>
            <w:r>
              <w:t>Unauthorized admin access attempt on production DB</w:t>
            </w:r>
          </w:p>
        </w:tc>
        <w:tc>
          <w:tcPr>
            <w:tcW w:type="dxa" w:w="2160"/>
          </w:tcPr>
          <w:p>
            <w:r>
              <w:t>&lt; 30 minutes</w:t>
            </w:r>
          </w:p>
        </w:tc>
        <w:tc>
          <w:tcPr>
            <w:tcW w:type="dxa" w:w="2160"/>
          </w:tcPr>
          <w:p>
            <w:r>
              <w:t>VP Security Operations</w:t>
            </w:r>
          </w:p>
        </w:tc>
      </w:tr>
      <w:tr>
        <w:tc>
          <w:tcPr>
            <w:tcW w:type="dxa" w:w="2160"/>
          </w:tcPr>
          <w:p>
            <w:r>
              <w:t>P3 - MEDIUM</w:t>
            </w:r>
          </w:p>
        </w:tc>
        <w:tc>
          <w:tcPr>
            <w:tcW w:type="dxa" w:w="2160"/>
          </w:tcPr>
          <w:p>
            <w:r>
              <w:t>Failed brute-force attempt on public endpoint</w:t>
            </w:r>
          </w:p>
        </w:tc>
        <w:tc>
          <w:tcPr>
            <w:tcW w:type="dxa" w:w="2160"/>
          </w:tcPr>
          <w:p>
            <w:r>
              <w:t>&lt; 4 hours</w:t>
            </w:r>
          </w:p>
        </w:tc>
        <w:tc>
          <w:tcPr>
            <w:tcW w:type="dxa" w:w="2160"/>
          </w:tcPr>
          <w:p>
            <w:r>
              <w:t>Security Operations Center (SOC)</w:t>
            </w:r>
          </w:p>
        </w:tc>
      </w:tr>
    </w:tbl>
    <w:p>
      <w:pPr>
        <w:pStyle w:val="Heading1"/>
      </w:pPr>
      <w:r>
        <w:t>3. Regulatory Compliance &amp; Continuous Audit Schedule</w:t>
      </w:r>
    </w:p>
    <w:p>
      <w:r>
        <w:t>Compliance enforcement requires automated infrastructure scanning via Open Policy Agent (OPA) and continuous SOC2 Type II, ISO/IEC 27001:2022, and HIPAA Security Rule telemetry verification.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