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Hợp đồng dịch vụ tư vấn pháp lý</w:t>
      </w:r>
    </w:p>
    <w:p>
      <w:r>
        <w:t>Số hợp đồng: HĐ-2026/045. Ngày ký: 14 tháng 3 năm 2026.</w:t>
      </w:r>
    </w:p>
    <w:p>
      <w:r>
        <w:t>Bên A: Công ty TNHH Pháp lý Hồng Hà — đại diện bởi ông Nguyễn Văn A, chức vụ Giám đốc.</w:t>
      </w:r>
    </w:p>
    <w:p>
      <w:r>
        <w:t>Bên B: Công ty Cổ phần Xây dựng Sông Hồng — đại diện bởi bà Lê Thị B, chức vụ Tổng giám đốc.</w:t>
      </w:r>
    </w:p>
    <w:p>
      <w:pPr>
        <w:pStyle w:val="Heading1"/>
      </w:pPr>
      <w:r>
        <w:t>Điều 1 — Phạm vi công việc</w:t>
      </w:r>
    </w:p>
    <w:p>
      <w:r>
        <w:t>Bên A cam kết cung cấp dịch vụ tư vấn pháp lý cho Bên B trong các lĩnh vực: hợp đồng thương mại, tranh chấp dân sự, sở hữu trí tuệ, và pháp luật doanh nghiệp.</w:t>
      </w:r>
    </w:p>
    <w:p>
      <w:pPr>
        <w:pStyle w:val="Heading1"/>
      </w:pPr>
      <w:r>
        <w:t>Điều 2 — Giá trị hợp đồng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Hạng mục</w:t>
            </w:r>
          </w:p>
        </w:tc>
        <w:tc>
          <w:tcPr>
            <w:tcW w:type="dxa" w:w="2880"/>
          </w:tcPr>
          <w:p>
            <w:r>
              <w:t>Đơn vị</w:t>
            </w:r>
          </w:p>
        </w:tc>
        <w:tc>
          <w:tcPr>
            <w:tcW w:type="dxa" w:w="2880"/>
          </w:tcPr>
          <w:p>
            <w:r>
              <w:t>Giá trị (VND)</w:t>
            </w:r>
          </w:p>
        </w:tc>
      </w:tr>
      <w:tr>
        <w:tc>
          <w:tcPr>
            <w:tcW w:type="dxa" w:w="2880"/>
          </w:tcPr>
          <w:p>
            <w:r>
              <w:t>Tư vấn cố định hàng tháng</w:t>
            </w:r>
          </w:p>
        </w:tc>
        <w:tc>
          <w:tcPr>
            <w:tcW w:type="dxa" w:w="2880"/>
          </w:tcPr>
          <w:p>
            <w:r>
              <w:t>tháng × 12</w:t>
            </w:r>
          </w:p>
        </w:tc>
        <w:tc>
          <w:tcPr>
            <w:tcW w:type="dxa" w:w="2880"/>
          </w:tcPr>
          <w:p>
            <w:r>
              <w:t>180.000.000</w:t>
            </w:r>
          </w:p>
        </w:tc>
      </w:tr>
      <w:tr>
        <w:tc>
          <w:tcPr>
            <w:tcW w:type="dxa" w:w="2880"/>
          </w:tcPr>
          <w:p>
            <w:r>
              <w:t>Tư vấn theo vụ việc</w:t>
            </w:r>
          </w:p>
        </w:tc>
        <w:tc>
          <w:tcPr>
            <w:tcW w:type="dxa" w:w="2880"/>
          </w:tcPr>
          <w:p>
            <w:r>
              <w:t>ước tính</w:t>
            </w:r>
          </w:p>
        </w:tc>
        <w:tc>
          <w:tcPr>
            <w:tcW w:type="dxa" w:w="2880"/>
          </w:tcPr>
          <w:p>
            <w:r>
              <w:t>120.000.000</w:t>
            </w:r>
          </w:p>
        </w:tc>
      </w:tr>
      <w:tr>
        <w:tc>
          <w:tcPr>
            <w:tcW w:type="dxa" w:w="2880"/>
          </w:tcPr>
          <w:p>
            <w:r>
              <w:t>Tổng cộng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300.000.000</w:t>
            </w:r>
          </w:p>
        </w:tc>
      </w:tr>
    </w:tbl>
    <w:p>
      <w:pPr>
        <w:pStyle w:val="Heading1"/>
      </w:pPr>
      <w:r>
        <w:t>Điều 3 — Phạt vi phạm</w:t>
      </w:r>
    </w:p>
    <w:p>
      <w:r>
        <w:t>Mức phạt vi phạm hợp đồng: 8% giá trị hợp đồng nếu vi phạm nghiêm trọng nghĩa vụ thanh toán.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