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govkit vs GitHub Spec Kit</w:t>
      </w:r>
    </w:p>
    <w:p>
      <w:pPr>
        <w:spacing w:after="60"/>
      </w:pPr>
      <w:r>
        <w:rPr>
          <w:i/>
          <w:iCs/>
          <w:color w:val="555555"/>
          <w:sz w:val="24"/>
          <w:szCs w:val="24"/>
        </w:rPr>
        <w:t xml:space="preserve">An enterprise delivery comparison — prepared for the CTO</w:t>
      </w:r>
    </w:p>
    <w:p>
      <w:pPr>
        <w:pBdr>
          <w:bottom w:val="single" w:color="2E5C8A" w:sz="6" w:space="1"/>
        </w:pBdr>
        <w:spacing w:after="200"/>
      </w:pPr>
    </w:p>
    <w:p>
      <w:pPr>
        <w:pStyle w:val="Heading1"/>
      </w:pPr>
      <w:r>
        <w:t xml:space="preserve">Executive summary</w:t>
      </w:r>
    </w:p>
    <w:p>
      <w:pPr>
        <w:spacing w:after="150"/>
      </w:pPr>
      <w:r>
        <w:t xml:space="preserve">“govkit” is our </w:t>
      </w:r>
      <w:r>
        <w:rPr>
          <w:b/>
          <w:bCs/>
        </w:rPr>
        <w:t xml:space="preserve">Governed AI Delivery</w:t>
      </w:r>
      <w:r>
        <w:t xml:space="preserve"> toolkit. In plain terms, it is the </w:t>
      </w:r>
      <w:r>
        <w:rPr>
          <w:b/>
          <w:bCs/>
        </w:rPr>
        <w:t xml:space="preserve">engine that turns an approved feature specification into governed, evaluated, shipped software</w:t>
      </w:r>
      <w:r>
        <w:t xml:space="preserve"> — for enterprise-scale applications, both new builds (greenfield) and existing codebases (brownfield). It sits in one place in our operating model: the </w:t>
      </w:r>
      <w:r>
        <w:rPr>
          <w:b/>
          <w:bCs/>
        </w:rPr>
        <w:t xml:space="preserve">Accelerated Delivery</w:t>
      </w:r>
      <w:r>
        <w:t xml:space="preserve"> step, after the business has decided an idea is worth building.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480"/>
        <w:gridCol w:w="2800"/>
        <w:gridCol w:w="480"/>
        <w:gridCol w:w="2800"/>
      </w:tblGrid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EF2F6" w:val="clear"/>
            <w:tcMar>
              <w:top w:type="dxa" w:w="120"/>
              <w:left w:type="dxa" w:w="120"/>
              <w:bottom w:type="dxa" w:w="120"/>
              <w:right w:type="dxa" w:w="12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1F1F"/>
                <w:sz w:val="24"/>
                <w:szCs w:val="24"/>
              </w:rPr>
              <w:t xml:space="preserve">Validate the idea</w:t>
            </w:r>
          </w:p>
          <w:p>
            <w:pPr>
              <w:jc w:val="center"/>
            </w:pPr>
            <w:r>
              <w:rPr>
                <w:color w:val="555555"/>
                <w:sz w:val="18"/>
                <w:szCs w:val="18"/>
              </w:rPr>
              <w:t xml:space="preserve">Is it worth building?  (go / no-go)</w:t>
            </w:r>
          </w:p>
        </w:tc>
        <w:tc>
          <w:tcPr>
            <w:tcW w:type="dxa" w:w="4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center"/>
            </w:pPr>
            <w:r>
              <w:rPr>
                <w:b/>
                <w:bCs/>
                <w:color w:val="2E5C8A"/>
                <w:sz w:val="32"/>
                <w:szCs w:val="32"/>
              </w:rPr>
              <w:t xml:space="preserve">→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4F1EA" w:val="clear"/>
            <w:tcMar>
              <w:top w:type="dxa" w:w="120"/>
              <w:left w:type="dxa" w:w="120"/>
              <w:bottom w:type="dxa" w:w="120"/>
              <w:right w:type="dxa" w:w="12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  <w:sz w:val="24"/>
                <w:szCs w:val="24"/>
              </w:rPr>
              <w:t xml:space="preserve">Deliver it</w:t>
            </w:r>
          </w:p>
          <w:p>
            <w:pPr>
              <w:jc w:val="center"/>
            </w:pPr>
            <w:r>
              <w:rPr>
                <w:color w:val="555555"/>
                <w:sz w:val="18"/>
                <w:szCs w:val="18"/>
              </w:rPr>
              <w:t xml:space="preserve">govkit — Accelerated Delivery</w:t>
            </w:r>
          </w:p>
        </w:tc>
        <w:tc>
          <w:tcPr>
            <w:tcW w:type="dxa" w:w="4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center"/>
            </w:pPr>
            <w:r>
              <w:rPr>
                <w:b/>
                <w:bCs/>
                <w:color w:val="2E5C8A"/>
                <w:sz w:val="32"/>
                <w:szCs w:val="32"/>
              </w:rPr>
              <w:t xml:space="preserve">→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EF2F6" w:val="clear"/>
            <w:tcMar>
              <w:top w:type="dxa" w:w="120"/>
              <w:left w:type="dxa" w:w="120"/>
              <w:bottom w:type="dxa" w:w="120"/>
              <w:right w:type="dxa" w:w="12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1F1F"/>
                <w:sz w:val="24"/>
                <w:szCs w:val="24"/>
              </w:rPr>
              <w:t xml:space="preserve">Run &amp; learn</w:t>
            </w:r>
          </w:p>
          <w:p>
            <w:pPr>
              <w:jc w:val="center"/>
            </w:pPr>
            <w:r>
              <w:rPr>
                <w:color w:val="555555"/>
                <w:sz w:val="18"/>
                <w:szCs w:val="18"/>
              </w:rPr>
              <w:t xml:space="preserve">Ship, measure, feed back</w:t>
            </w:r>
          </w:p>
        </w:tc>
      </w:tr>
    </w:tbl>
    <w:p>
      <w:pPr>
        <w:spacing w:after="60"/>
      </w:pPr>
      <w:r>
        <w:t xml:space="preserve"/>
      </w:r>
    </w:p>
    <w:p>
      <w:pPr>
        <w:spacing w:after="150"/>
      </w:pPr>
      <w:r>
        <w:t xml:space="preserve">GitHub’s </w:t>
      </w:r>
      <w:r>
        <w:rPr>
          <w:b/>
          <w:bCs/>
        </w:rPr>
        <w:t xml:space="preserve">Spec Kit</w:t>
      </w:r>
      <w:r>
        <w:t xml:space="preserve"> is a different kind of tool: a coding-agent spec generator. A single developer types a prompt, an AI agent drafts a spec and a plan, and the same person implements it. It is fast and popular — but the specification lives in a chat prompt, is written by whoever is driving the agent, and carries no enforcement, evaluation, or release gates.</w:t>
      </w:r>
    </w:p>
    <w:p>
      <w:pPr>
        <w:spacing w:after="150"/>
      </w:pPr>
      <w:r>
        <w:rPr>
          <w:b/>
          <w:bCs/>
        </w:rPr>
        <w:t xml:space="preserve">Bottom line: </w:t>
      </w:r>
      <w:r>
        <w:t xml:space="preserve">judged as an </w:t>
      </w:r>
      <w:r>
        <w:rPr>
          <w:b/>
          <w:bCs/>
        </w:rPr>
        <w:t xml:space="preserve">enterprise delivery engine</w:t>
      </w:r>
      <w:r>
        <w:t xml:space="preserve">, govkit scores </w:t>
      </w:r>
      <w:r>
        <w:rPr>
          <w:b/>
          <w:bCs/>
          <w:color w:val="1F8A5B"/>
        </w:rPr>
        <w:t xml:space="preserve">8.9 / 10</w:t>
      </w:r>
      <w:r>
        <w:t xml:space="preserve"> against Spec Kit’s </w:t>
      </w:r>
      <w:r>
        <w:rPr>
          <w:b/>
          <w:bCs/>
          <w:color w:val="B03A2E"/>
        </w:rPr>
        <w:t xml:space="preserve">3.7 / 10</w:t>
      </w:r>
      <w:r>
        <w:t xml:space="preserve">. The gap is not about speed of writing code — it is about whether product intent is owned, specifications are testable, quality is enforced, and releases are gated. Notably, this comparison begins </w:t>
      </w:r>
      <w:r>
        <w:rPr>
          <w:b/>
          <w:bCs/>
        </w:rPr>
        <w:t xml:space="preserve">after</w:t>
      </w:r>
      <w:r>
        <w:t xml:space="preserve"> the go/no-go decision — so Spec Kit is judged only on the delivery work it is actually built for, and still scores below 4/10 for enterprise use.</w:t>
      </w:r>
    </w:p>
    <w:p>
      <w:pPr>
        <w:pStyle w:val="Heading1"/>
      </w:pPr>
      <w:r>
        <w:t xml:space="preserve">The scorecard</w:t>
      </w:r>
    </w:p>
    <w:p>
      <w:pPr>
        <w:spacing w:after="150"/>
      </w:pPr>
      <w:r>
        <w:t xml:space="preserve">Nine delivery stages, each scored 1–10 for enterprise effectiveness — the ability to ship </w:t>
      </w:r>
      <w:r>
        <w:rPr>
          <w:b/>
          <w:bCs/>
        </w:rPr>
        <w:t xml:space="preserve">governed, evaluated, maintainable</w:t>
      </w:r>
      <w:r>
        <w:t xml:space="preserve"> software at scale.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900"/>
        <w:gridCol w:w="900"/>
        <w:gridCol w:w="5060"/>
      </w:tblGrid>
      <w:tr>
        <w:trPr>
          <w:tblHeader/>
        </w:trP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Delivery stage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</w:rPr>
              <w:t xml:space="preserve">govkit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</w:rPr>
              <w:t xml:space="preserve">Spec Kit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Why govkit wins for enterprise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1. Feature decomposition (epic → feature)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8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5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Both break work down; govkit ties each feature to validated intent and a governed package, not just a task list from a prose spec.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2. Acceptance criteria (Gherkin)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5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govkit uses real, tagged, runnable Gherkin authored by product. Spec Kit drafts Given/When/Then as prose the agent wrote — fast, but not executable.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3. Non-functional requirements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3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govkit has structured NFRs with thresholds, evidence, and owners. Spec Kit offers prose “success criteria” only.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4. Evaluation criteria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1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govkit has schema-validated evaluation criteria with thresholds (incl. AI-behavior evals). Spec Kit has no evaluation concept at all.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5. Architecture preflight + plan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5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govkit generates both against enforced architecture contracts, then the team reviews. Spec Kit plans well, but against no enforced contract.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6. Collaborative refinement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5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govkit runs a team refinement (Product + QA + Eng) over real artifacts. Spec Kit clarifies solo — one operator and the agent.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7. Readiness gate (go-live for coding)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3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govkit has a blocking gate — no approval token, no coding. Spec Kit’s check is advisory; nothing is withheld.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8. Governed build execution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4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govkit enforces architecture boundaries and quality gates in CI. Spec Kit follows its principles advisorily, with no enforcement.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9. Release gates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2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govkit has explicit structural, behavioral, and pilot gates before release. Spec Kit’s release step is “test it and paste errors back.”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Average (enterprise effectiveness)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8.9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3.7</w:t>
            </w:r>
          </w:p>
        </w:tc>
        <w:tc>
          <w:tcPr>
            <w:tcW w:type="dxa" w:w="5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 w:val="false"/>
                <w:bCs w:val="false"/>
              </w:rPr>
              <w:t xml:space="preserve">Even judged only on delivery — the work Spec Kit is actually built for — it scores below 4/10 for enterprise use.</w:t>
            </w:r>
          </w:p>
        </w:tc>
      </w:tr>
    </w:tbl>
    <w:p>
      <w:pPr>
        <w:spacing w:after="120"/>
      </w:pPr>
      <w:r>
        <w:t xml:space="preserve"/>
      </w:r>
    </w:p>
    <w:p>
      <w:pPr>
        <w:pStyle w:val="Heading1"/>
      </w:pPr>
      <w:r>
        <w:t xml:space="preserve">The same story, by enterprise dimension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60"/>
        <w:gridCol w:w="2400"/>
        <w:gridCol w:w="2400"/>
      </w:tblGrid>
      <w:tr>
        <w:trPr>
          <w:tblHeader/>
        </w:trP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Enterprise dimension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</w:rPr>
              <w:t xml:space="preserve">govkit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</w:rPr>
              <w:t xml:space="preserve">Spec Kit</w:t>
            </w:r>
          </w:p>
        </w:tc>
      </w:tr>
      <w:t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Product-intent ownership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3</w:t>
            </w:r>
          </w:p>
        </w:tc>
      </w:tr>
      <w:t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Specification rigor &amp; testability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4</w:t>
            </w:r>
          </w:p>
        </w:tc>
      </w:tr>
      <w:t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Traceability &amp; auditability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3</w:t>
            </w:r>
          </w:p>
        </w:tc>
      </w:tr>
      <w:t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Mechanical enforcement (gates)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2</w:t>
            </w:r>
          </w:p>
        </w:tc>
      </w:tr>
      <w:t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Team collaboration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3</w:t>
            </w:r>
          </w:p>
        </w:tc>
      </w:tr>
      <w:t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Evaluation &amp; release readiness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1</w:t>
            </w:r>
          </w:p>
        </w:tc>
      </w:tr>
      <w:t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Cross-team scalability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8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4</w:t>
            </w:r>
          </w:p>
        </w:tc>
      </w:tr>
      <w:tr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left"/>
            </w:pPr>
            <w:r>
              <w:rPr>
                <w:b/>
                <w:bCs/>
              </w:rPr>
              <w:t xml:space="preserve">Compliance / risk posture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1F8A5B"/>
              </w:rPr>
              <w:t xml:space="preserve">9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1F6F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20"/>
              <w:jc w:val="center"/>
            </w:pPr>
            <w:r>
              <w:rPr>
                <w:b/>
                <w:bCs/>
                <w:color w:val="B03A2E"/>
              </w:rPr>
              <w:t xml:space="preserve">2</w:t>
            </w:r>
          </w:p>
        </w:tc>
      </w:tr>
    </w:tbl>
    <w:p>
      <w:pPr>
        <w:spacing w:after="120"/>
      </w:pPr>
      <w:r>
        <w:t xml:space="preserve"/>
      </w:r>
    </w:p>
    <w:p>
      <w:pPr>
        <w:pStyle w:val="Heading1"/>
      </w:pPr>
      <w:r>
        <w:t xml:space="preserve">What this means</w:t>
      </w:r>
    </w:p>
    <w:p>
      <w:pPr>
        <w:spacing w:after="150"/>
      </w:pPr>
      <w:r>
        <w:t xml:space="preserve">Spec Kit optimizes the </w:t>
      </w:r>
      <w:r>
        <w:rPr>
          <w:b/>
          <w:bCs/>
        </w:rPr>
        <w:t xml:space="preserve">middle of delivery</w:t>
      </w:r>
      <w:r>
        <w:t xml:space="preserve"> — draft a spec, plan, implement — for a single developer. That is real value, and for a solo greenfield project it is excellent. But enterprise software needs more than fast code generation: it needs product management to </w:t>
      </w:r>
      <w:r>
        <w:rPr>
          <w:b/>
          <w:bCs/>
        </w:rPr>
        <w:t xml:space="preserve">own the intent</w:t>
      </w:r>
      <w:r>
        <w:t xml:space="preserve">, specifications that are </w:t>
      </w:r>
      <w:r>
        <w:rPr>
          <w:b/>
          <w:bCs/>
        </w:rPr>
        <w:t xml:space="preserve">executable and testable</w:t>
      </w:r>
      <w:r>
        <w:t xml:space="preserve">, quality that is </w:t>
      </w:r>
      <w:r>
        <w:rPr>
          <w:b/>
          <w:bCs/>
        </w:rPr>
        <w:t xml:space="preserve">enforced, not suggested</w:t>
      </w:r>
      <w:r>
        <w:t xml:space="preserve">, and releases that are </w:t>
      </w:r>
      <w:r>
        <w:rPr>
          <w:b/>
          <w:bCs/>
        </w:rPr>
        <w:t xml:space="preserve">gated on evidence</w:t>
      </w:r>
      <w:r>
        <w:t xml:space="preserve">. Those are exactly the stages where Spec Kit scores lowest — evaluation criteria (1), release gates (2), enforcement (2) — because it was never built to provide them.</w:t>
      </w:r>
    </w:p>
    <w:p>
      <w:pPr>
        <w:spacing w:after="150"/>
      </w:pPr>
      <w:r>
        <w:t xml:space="preserve">govkit is built for precisely that. The specification is a </w:t>
      </w:r>
      <w:r>
        <w:rPr>
          <w:b/>
          <w:bCs/>
        </w:rPr>
        <w:t xml:space="preserve">durable, governed, auditable asset</w:t>
      </w:r>
      <w:r>
        <w:t xml:space="preserve"> — authored by product, refined by the team, enforced through the build, and gated at release — not a disposable prompt. For an enterprise shipping across many teams and existing systems, that is the difference between </w:t>
      </w:r>
      <w:r>
        <w:rPr>
          <w:i/>
          <w:iCs/>
        </w:rPr>
        <w:t xml:space="preserve">“AI writes code quickly”</w:t>
      </w:r>
      <w:r>
        <w:t xml:space="preserve"> and </w:t>
      </w:r>
      <w:r>
        <w:rPr>
          <w:i/>
          <w:iCs/>
        </w:rPr>
        <w:t xml:space="preserve">“we ship validated, governed, evaluated product.”</w:t>
      </w:r>
    </w:p>
    <w:p>
      <w:pPr>
        <w:pStyle w:val="Heading1"/>
      </w:pPr>
      <w:r>
        <w:t xml:space="preserve">Where Spec Kit is genuinely strong</w:t>
      </w:r>
    </w:p>
    <w:p>
      <w:pPr>
        <w:spacing w:after="150"/>
      </w:pPr>
      <w:r>
        <w:t xml:space="preserve">Stated plainly, so the comparison is credible:</w:t>
      </w:r>
    </w:p>
    <w:p>
      <w:pPr>
        <w:pStyle w:val="ListParagraph"/>
        <w:numPr>
          <w:ilvl w:val="0"/>
          <w:numId w:val="2"/>
        </w:numPr>
        <w:spacing w:after="90"/>
      </w:pPr>
      <w:r>
        <w:t xml:space="preserve">Fast, capable spec-and-plan generation for a single developer starting from a prompt.</w:t>
      </w:r>
    </w:p>
    <w:p>
      <w:pPr>
        <w:pStyle w:val="ListParagraph"/>
        <w:numPr>
          <w:ilvl w:val="0"/>
          <w:numId w:val="2"/>
        </w:numPr>
        <w:spacing w:after="90"/>
      </w:pPr>
      <w:r>
        <w:t xml:space="preserve">Excellent breadth — 30+ coding agents — and GitHub’s distribution and brand.</w:t>
      </w:r>
    </w:p>
    <w:p>
      <w:pPr>
        <w:pStyle w:val="ListParagraph"/>
        <w:numPr>
          <w:ilvl w:val="0"/>
          <w:numId w:val="2"/>
        </w:numPr>
        <w:spacing w:after="90"/>
      </w:pPr>
      <w:r>
        <w:t xml:space="preserve">A strong fit for greenfield 0-to-1 prototypes and individual productivity.</w:t>
      </w:r>
    </w:p>
    <w:p>
      <w:pPr>
        <w:spacing w:after="150"/>
      </w:pPr>
      <w:r>
        <w:t xml:space="preserve">None of that changes the enterprise verdict. “Effective for a solo developer” and “effective for enterprise delivery” are different bars — and on the enterprise bar, the absence of validation, evaluation, enforcement, and release gates is decisive, not incidental.</w:t>
      </w:r>
    </w:p>
    <w:p>
      <w:pPr>
        <w:pBdr>
          <w:top w:val="single" w:color="CCCCCC" w:sz="4" w:space="1"/>
        </w:pBdr>
        <w:spacing w:after="80" w:before="240"/>
      </w:pPr>
    </w:p>
    <w:p>
      <w:pPr>
        <w:spacing w:after="150"/>
      </w:pPr>
      <w:r>
        <w:rPr>
          <w:i/>
          <w:iCs/>
          <w:color w:val="555555"/>
          <w:sz w:val="18"/>
          <w:szCs w:val="18"/>
        </w:rPr>
        <w:t xml:space="preserve">Sources: </w:t>
      </w:r>
      <w:hyperlink w:history="1" r:id="rIdlr_ewxdov-rx2qdyyjtnd">
        <w:r>
          <w:rPr>
            <w:rStyle w:val="Hyperlink"/>
            <w:sz w:val="18"/>
            <w:szCs w:val="18"/>
          </w:rPr>
          <w:t xml:space="preserve">github/spec-kit</w:t>
        </w:r>
      </w:hyperlink>
      <w:r>
        <w:rPr>
          <w:i/>
          <w:iCs/>
          <w:color w:val="555555"/>
          <w:sz w:val="18"/>
          <w:szCs w:val="18"/>
        </w:rPr>
        <w:t xml:space="preserve">  •  Spec Kit spec template  •  govkit (Governed AI Delivery) — the Accelerated Delivery reference implementation.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next w:val="Normal"/>
    <w:qFormat/>
    <w:pPr>
      <w:spacing w:after="60"/>
    </w:pPr>
    <w:rPr>
      <w:rFonts w:ascii="Arial" w:cs="Arial" w:eastAsia="Arial" w:hAnsi="Arial"/>
      <w:b/>
      <w:bCs/>
      <w:color w:val="2E5C8A"/>
      <w:sz w:val="46"/>
      <w:szCs w:val="46"/>
    </w:rPr>
  </w:style>
  <w:style w:type="paragraph" w:styleId="Heading1">
    <w:name w:val="Heading 1"/>
    <w:basedOn w:val="Normal"/>
    <w:next w:val="Normal"/>
    <w:qFormat/>
    <w:pPr>
      <w:spacing w:after="120" w:before="280"/>
      <w:outlineLvl w:val="0"/>
    </w:pPr>
    <w:rPr>
      <w:rFonts w:ascii="Arial" w:cs="Arial" w:eastAsia="Arial" w:hAnsi="Arial"/>
      <w:b/>
      <w:bCs/>
      <w:color w:val="2E5C8A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90" w:before="180"/>
      <w:outlineLvl w:val="1"/>
    </w:pPr>
    <w:rPr>
      <w:rFonts w:ascii="Arial" w:cs="Arial" w:eastAsia="Arial" w:hAnsi="Arial"/>
      <w:b/>
      <w:bCs/>
      <w:color w:val="1F1F1F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lr_ewxdov-rx2qdyyjtnd" Type="http://schemas.openxmlformats.org/officeDocument/2006/relationships/hyperlink" Target="https://github.com/github/spec-kit" TargetMode="Externa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</dc:creator>
  <cp:lastModifiedBy>Un-named</cp:lastModifiedBy>
  <cp:revision>1</cp:revision>
  <dcterms:created xsi:type="dcterms:W3CDTF">2026-07-02T08:29:25.082Z</dcterms:created>
  <dcterms:modified xsi:type="dcterms:W3CDTF">2026-07-02T08:29:25.095Z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