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Основные показатели</w:t>
      </w:r>
    </w:p>
    <w:p>
      <w:r>
        <w:t>Рост производства составил 14,7 процента за отчётный период.</w:t>
      </w:r>
    </w:p>
    <w:p>
      <w:r>
        <w:t>Снижение издержек на 1,5 пункта подтверждено аудитом.</w:t>
      </w:r>
    </w:p>
    <w:p>
      <w:r>
        <w:t>Средняя урожайность достигла 61,9 центнера с гектара.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