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Развитие территории</w:t>
      </w:r>
    </w:p>
    <w:p>
      <w:r>
        <w:t>За 2022 год в районе построено три новые школы.</w:t>
      </w:r>
    </w:p>
    <w:p>
      <w:r>
        <w:t>В 2022 году в области выросла занятость населения.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