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Quarterly Results Report</w:t>
      </w:r>
    </w:p>
    <w:p>
      <w:r>
        <w:t>This document contains financial data with tables.</w:t>
      </w:r>
    </w:p>
    <w:p>
      <w:pPr>
        <w:pStyle w:val="Heading1"/>
      </w:pPr>
      <w:r>
        <w:t>Revenue by Region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</w:tcPr>
          <w:p>
            <w:r>
              <w:t>Region</w:t>
            </w:r>
          </w:p>
        </w:tc>
        <w:tc>
          <w:tcPr>
            <w:tcW w:type="dxa" w:w="2880"/>
          </w:tcPr>
          <w:p>
            <w:r>
              <w:t>Q1 2024</w:t>
            </w:r>
          </w:p>
        </w:tc>
        <w:tc>
          <w:tcPr>
            <w:tcW w:type="dxa" w:w="2880"/>
          </w:tcPr>
          <w:p>
            <w:r>
              <w:t>Q2 2024</w:t>
            </w:r>
          </w:p>
        </w:tc>
      </w:tr>
      <w:tr>
        <w:tc>
          <w:tcPr>
            <w:tcW w:type="dxa" w:w="2880"/>
          </w:tcPr>
          <w:p>
            <w:r>
              <w:t>North America</w:t>
            </w:r>
          </w:p>
        </w:tc>
        <w:tc>
          <w:tcPr>
            <w:tcW w:type="dxa" w:w="2880"/>
          </w:tcPr>
          <w:p>
            <w:r>
              <w:t>$12.5M</w:t>
            </w:r>
          </w:p>
        </w:tc>
        <w:tc>
          <w:tcPr>
            <w:tcW w:type="dxa" w:w="2880"/>
          </w:tcPr>
          <w:p>
            <w:r>
              <w:t>$14.2M</w:t>
            </w:r>
          </w:p>
        </w:tc>
      </w:tr>
      <w:tr>
        <w:tc>
          <w:tcPr>
            <w:tcW w:type="dxa" w:w="2880"/>
          </w:tcPr>
          <w:p>
            <w:r>
              <w:t>Europe</w:t>
            </w:r>
          </w:p>
        </w:tc>
        <w:tc>
          <w:tcPr>
            <w:tcW w:type="dxa" w:w="2880"/>
          </w:tcPr>
          <w:p>
            <w:r>
              <w:t>$8.3M</w:t>
            </w:r>
          </w:p>
        </w:tc>
        <w:tc>
          <w:tcPr>
            <w:tcW w:type="dxa" w:w="2880"/>
          </w:tcPr>
          <w:p>
            <w:r>
              <w:t>$9.1M</w:t>
            </w:r>
          </w:p>
        </w:tc>
      </w:tr>
      <w:tr>
        <w:tc>
          <w:tcPr>
            <w:tcW w:type="dxa" w:w="2880"/>
          </w:tcPr>
          <w:p>
            <w:r>
              <w:t>Asia Pacific</w:t>
            </w:r>
          </w:p>
        </w:tc>
        <w:tc>
          <w:tcPr>
            <w:tcW w:type="dxa" w:w="2880"/>
          </w:tcPr>
          <w:p>
            <w:r>
              <w:t>$6.7M</w:t>
            </w:r>
          </w:p>
        </w:tc>
        <w:tc>
          <w:tcPr>
            <w:tcW w:type="dxa" w:w="2880"/>
          </w:tcPr>
          <w:p>
            <w:r>
              <w:t>$7.8M</w:t>
            </w:r>
          </w:p>
        </w:tc>
      </w:tr>
    </w:tbl>
    <w:p>
      <w:pPr>
        <w:pStyle w:val="Heading1"/>
      </w:pPr>
      <w:r>
        <w:t>Key Metrics</w:t>
      </w:r>
    </w:p>
    <w:p>
      <w:r>
        <w:t>Operating margin: 23.5%</w:t>
      </w:r>
    </w:p>
    <w:p>
      <w:r>
        <w:t>Net income: $4.2M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