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i w:val="0"/>
          <w:color w:val="0E7C86"/>
          <w:sz w:val="22"/>
        </w:rPr>
        <w:t>CONTRIBUTION</w:t>
      </w:r>
    </w:p>
    <w:p>
      <w:pPr>
        <w:spacing w:after="40"/>
      </w:pPr>
      <w:r>
        <w:rPr>
          <w:b/>
          <w:i w:val="0"/>
          <w:color w:val="1C262B"/>
          <w:sz w:val="40"/>
        </w:rPr>
        <w:t>AI Agent Interworking — Implementation Study</w:t>
      </w:r>
    </w:p>
    <w:p>
      <w:r>
        <w:rPr>
          <w:b w:val="0"/>
          <w:i w:val="0"/>
          <w:color w:val="5C6D75"/>
          <w:sz w:val="23"/>
        </w:rPr>
        <w:t>An open-source oneM2M–MCP interworking implementation and evaluation, structured along oneM2M TR-0081 "AI Agent Interworking" V0.2.0</w:t>
      </w:r>
    </w:p>
    <w:p>
      <w:r>
        <w:rPr>
          <w:b w:val="0"/>
          <w:i w:val="0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  <w:sz w:val="19"/>
              </w:rPr>
              <w:t>Field</w:t>
            </w:r>
          </w:p>
        </w:tc>
        <w:tc>
          <w:tcPr>
            <w:tcW w:type="dxa" w:w="4873"/>
          </w:tcPr>
          <w:p>
            <w:r>
              <w:rPr>
                <w:b/>
                <w:sz w:val="19"/>
              </w:rPr>
              <w:t>Value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Document type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Input contribution / implementation study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Related oneM2M work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WI-0122; TR-0081 V0.2.0 (Release 6)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Source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Rostan Technologies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Contact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Rostan Technologies — virender@rostantechnologies.com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2026-08-05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Status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Draft for discussion</w:t>
            </w:r>
          </w:p>
        </w:tc>
      </w:tr>
    </w:tbl>
    <w:p/>
    <w:p>
      <w:r>
        <w:rPr>
          <w:b w:val="0"/>
          <w:i/>
          <w:color w:val="5C6D75"/>
          <w:sz w:val="17"/>
        </w:rPr>
        <w:t>Notice: This document is an independent input contribution. It is NOT an official oneM2M deliverable and does not represent the position of oneM2M or its partners. The clause structure follows TR-0081 V0.2.0 to ease mapping of this material into the ongoing work.</w:t>
      </w:r>
    </w:p>
    <w:p>
      <w:pPr>
        <w:pStyle w:val="Heading1"/>
      </w:pPr>
      <w:r>
        <w:t>1  Scope</w:t>
      </w:r>
    </w:p>
    <w:p>
      <w:r>
        <w:rPr>
          <w:b w:val="0"/>
          <w:i w:val="0"/>
        </w:rPr>
        <w:t>The present document reports implementation experience with oneM2M–MCP interworking: an open-source MCP server that exposes a oneM2M CSE to AI agents. It describes the architecture options considered, the security model adopted, a working reference implementation on the ACME CSE, and first performance measurements. It is intended as input to the studies collected in TR-0081 [i.1] under work item WI-0122.</w:t>
      </w:r>
    </w:p>
    <w:p>
      <w:pPr>
        <w:pStyle w:val="Heading1"/>
      </w:pPr>
      <w:r>
        <w:t>2  References</w:t>
      </w:r>
    </w:p>
    <w:p>
      <w:pPr>
        <w:pStyle w:val="Heading2"/>
      </w:pPr>
      <w:r>
        <w:t>2.1  Normative references</w:t>
      </w:r>
    </w:p>
    <w:p>
      <w:pPr>
        <w:pStyle w:val="ListBullet"/>
      </w:pPr>
      <w:r>
        <w:t>[1]  oneM2M TS-0001: "Functional Architecture".</w:t>
      </w:r>
    </w:p>
    <w:p>
      <w:pPr>
        <w:pStyle w:val="ListBullet"/>
      </w:pPr>
      <w:r>
        <w:t>[2]  oneM2M TS-0004: "Service Layer Core Protocol Specification".</w:t>
      </w:r>
    </w:p>
    <w:p>
      <w:pPr>
        <w:pStyle w:val="ListBullet"/>
      </w:pPr>
      <w:r>
        <w:t>[3]  oneM2M TS-0003: "Security Solutions".</w:t>
      </w:r>
    </w:p>
    <w:p>
      <w:pPr>
        <w:pStyle w:val="ListBullet"/>
      </w:pPr>
      <w:r>
        <w:t>[4]  Model Context Protocol specification, https://modelcontextprotocol.io (governed under the Linux Foundation Agentic AI Foundation).</w:t>
      </w:r>
    </w:p>
    <w:p>
      <w:pPr>
        <w:pStyle w:val="Heading2"/>
      </w:pPr>
      <w:r>
        <w:t>2.2  Informative references</w:t>
      </w:r>
    </w:p>
    <w:p>
      <w:pPr>
        <w:pStyle w:val="ListBullet"/>
      </w:pPr>
      <w:r>
        <w:t>[i.1]  oneM2M TR-0081: "AI Agent Interworking", V0.2.0, 2026-06. https://specifications.onem2m.org/tr/tr-0081/latest/</w:t>
      </w:r>
    </w:p>
    <w:p>
      <w:pPr>
        <w:pStyle w:val="ListBullet"/>
      </w:pPr>
      <w:r>
        <w:t>[i.2]  oneM2M WI-0122: "oneM2M and Model Context Protocol". https://www.onem2m.org/technical/published-specifications/release-6</w:t>
      </w:r>
    </w:p>
    <w:p>
      <w:pPr>
        <w:pStyle w:val="ListBullet"/>
      </w:pPr>
      <w:r>
        <w:t>[i.3]  I. Friese: "Early experiments combining Agentic AI, MCP, and oneM2M", oneM2M executive viewpoint, 2025. https://www.onem2m.org/membership/executive-viewpoints/968-ingo-friese-ai-mcp</w:t>
      </w:r>
    </w:p>
    <w:p>
      <w:pPr>
        <w:pStyle w:val="ListBullet"/>
      </w:pPr>
      <w:r>
        <w:t>[i.4]  ACME oneM2M CSE, open-source CSE for education, https://github.com/ankraft/ACME-oneM2M-CSE</w:t>
      </w:r>
    </w:p>
    <w:p>
      <w:pPr>
        <w:pStyle w:val="ListBullet"/>
      </w:pPr>
      <w:r>
        <w:t>[i.5]  oneM2M TS-0033: "Interworking Framework".</w:t>
      </w:r>
    </w:p>
    <w:p>
      <w:pPr>
        <w:pStyle w:val="ListBullet"/>
      </w:pPr>
      <w:r>
        <w:t>[i.6]  I. Friese, MCP_oneM2M_example — single-tool MCP demonstration over an ACME CSE, March 2026. https://github.com/ingofriese/MCP_oneM2M_example</w:t>
      </w:r>
    </w:p>
    <w:p>
      <w:pPr>
        <w:pStyle w:val="Heading1"/>
      </w:pPr>
      <w:r>
        <w:t>3  Definition of terms and abbreviations</w:t>
      </w:r>
    </w:p>
    <w:p>
      <w:pPr>
        <w:pStyle w:val="Heading2"/>
      </w:pPr>
      <w:r>
        <w:t>3.1  Terms</w:t>
      </w:r>
    </w:p>
    <w:p>
      <w:pPr>
        <w:pStyle w:val="ListBullet"/>
      </w:pPr>
      <w:r>
        <w:rPr>
          <w:b/>
        </w:rPr>
        <w:t xml:space="preserve">AI agent: </w:t>
      </w:r>
      <w:r>
        <w:t>software system that uses a large language model to plan and execute actions towards a goal, using external tools.</w:t>
      </w:r>
    </w:p>
    <w:p>
      <w:pPr>
        <w:pStyle w:val="ListBullet"/>
      </w:pPr>
      <w:r>
        <w:rPr>
          <w:b/>
        </w:rPr>
        <w:t xml:space="preserve">MCP host: </w:t>
      </w:r>
      <w:r>
        <w:t>agent application that manages one or more MCP clients (e.g. an AI assistant, an IDE, an orchestration runtime).</w:t>
      </w:r>
    </w:p>
    <w:p>
      <w:pPr>
        <w:pStyle w:val="ListBullet"/>
      </w:pPr>
      <w:r>
        <w:rPr>
          <w:b/>
        </w:rPr>
        <w:t xml:space="preserve">MCP server: </w:t>
      </w:r>
      <w:r>
        <w:t>endpoint that exposes tools, resources and prompts to MCP clients over a defined transport.</w:t>
      </w:r>
    </w:p>
    <w:p>
      <w:pPr>
        <w:pStyle w:val="ListBullet"/>
      </w:pPr>
      <w:r>
        <w:rPr>
          <w:b/>
        </w:rPr>
        <w:t xml:space="preserve">tool: </w:t>
      </w:r>
      <w:r>
        <w:t>callable function exposed by an MCP server, described so that an agent can decide when and how to invoke it.</w:t>
      </w:r>
    </w:p>
    <w:p>
      <w:pPr>
        <w:pStyle w:val="ListBullet"/>
      </w:pPr>
      <w:r>
        <w:rPr>
          <w:b/>
        </w:rPr>
        <w:t xml:space="preserve">originator: </w:t>
      </w:r>
      <w:r>
        <w:t>oneM2M identifier (e.g. AE-ID) on whose behalf a request primitive is executed and against which access control is evaluated.</w:t>
      </w:r>
    </w:p>
    <w:p>
      <w:pPr>
        <w:pStyle w:val="Heading2"/>
      </w:pPr>
      <w:r>
        <w:t>3.2  Abbreviations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  <w:sz w:val="18"/>
              </w:rPr>
              <w:t>Abbrev.</w:t>
            </w:r>
          </w:p>
        </w:tc>
        <w:tc>
          <w:tcPr>
            <w:tcW w:type="dxa" w:w="4873"/>
          </w:tcPr>
          <w:p>
            <w:r>
              <w:rPr>
                <w:b/>
                <w:sz w:val="18"/>
              </w:rPr>
              <w:t>Meaning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ACP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Access Control Policy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AE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Application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CIN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Content Instance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CNT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Container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CSE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Common Services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IPE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Interworking Proxy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LLM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Large Language Model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MCP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Model Context Protocol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RSC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Response Status Code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SUB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Subscription</w:t>
            </w:r>
          </w:p>
        </w:tc>
      </w:tr>
    </w:tbl>
    <w:p/>
    <w:p>
      <w:pPr>
        <w:pStyle w:val="Heading1"/>
      </w:pPr>
      <w:r>
        <w:t>4  Conventions</w:t>
      </w:r>
    </w:p>
    <w:p>
      <w:r>
        <w:rPr>
          <w:b w:val="0"/>
          <w:i w:val="0"/>
        </w:rPr>
        <w:t>The key words "should", "may" and "can" in the present document are to be interpreted as described in the oneM2M Drafting Rules. This document contains no normative provisions.</w:t>
      </w:r>
    </w:p>
    <w:p>
      <w:pPr>
        <w:pStyle w:val="Heading1"/>
      </w:pPr>
      <w:r>
        <w:t>5  Overview</w:t>
      </w:r>
    </w:p>
    <w:p>
      <w:pPr>
        <w:pStyle w:val="Heading2"/>
      </w:pPr>
      <w:r>
        <w:t>5.1  Agentic AI</w:t>
      </w:r>
    </w:p>
    <w:p>
      <w:r>
        <w:rPr>
          <w:b w:val="0"/>
          <w:i w:val="0"/>
        </w:rPr>
        <w:t>Agentic AI systems combine a language model with planning and tool use: the model decides which tools to call, interprets the results, and iterates until a goal is reached. For IoT, this enables natural-language operation of complex systems ("find all temperature sensors and alert me when any exceeds 30 °C") without bespoke application development. The prerequisite is that the IoT system exposes its capabilities in a form agents understand — which MCP standardizes.</w:t>
      </w:r>
    </w:p>
    <w:p>
      <w:pPr>
        <w:pStyle w:val="Heading2"/>
      </w:pPr>
      <w:r>
        <w:t>5.2  Architecture overview</w:t>
      </w:r>
    </w:p>
    <w:p>
      <w:r>
        <w:rPr>
          <w:b w:val="0"/>
          <w:i w:val="0"/>
        </w:rPr>
        <w:t>MCP follows a client-server architecture. An MCP host (the agent application) runs one MCP client per connected server. Servers expose tools with human/machine-readable descriptions; the LLM selects and invokes them. Figure 5.2-1 shows the general architecture with a oneM2M CSE as one of the connected systems.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2322000"/>
            <wp:docPr id="1019" name="Diagram 1019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2322000"/>
                      <a:chOff x="0" y="0"/>
                      <a:chExt cx="5400000" cy="2322000"/>
                    </a:xfrm>
                  </wpg:grpSpPr>
                  <wps:wsp>
                    <wps:cNvPr id="1001" name="box1001"/>
                    <wps:cNvSpPr/>
                    <wps:spPr>
                      <a:xfrm>
                        <a:off x="162000" y="108000"/>
                        <a:ext cx="1620000" cy="145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bodyPr lIns="18000" tIns="9000" rIns="18000" bIns="9000" anchor="ctr" anchorCtr="0">
                      <a:noAutofit/>
                    </wps:bodyPr>
                  </wps:wsp>
                  <wps:wsp>
                    <wps:cNvPr id="1002" name="label1002"/>
                    <wps:cNvSpPr/>
                    <wps:spPr>
                      <a:xfrm>
                        <a:off x="162000" y="162000"/>
                        <a:ext cx="1620000" cy="2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Host (agent application)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03" name="box1003"/>
                    <wps:cNvSpPr/>
                    <wps:spPr>
                      <a:xfrm>
                        <a:off x="297000" y="567000"/>
                        <a:ext cx="1350000" cy="405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AI agent / LLM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4" name="box1004"/>
                    <wps:cNvSpPr/>
                    <wps:spPr>
                      <a:xfrm>
                        <a:off x="297000" y="1080000"/>
                        <a:ext cx="621000" cy="37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client 1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5" name="box1005"/>
                    <wps:cNvSpPr/>
                    <wps:spPr>
                      <a:xfrm>
                        <a:off x="1026000" y="1080000"/>
                        <a:ext cx="621000" cy="37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client 2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6" name="arrow1006"/>
                    <wps:cNvSpPr/>
                    <wps:spPr>
                      <a:xfrm>
                        <a:off x="594000" y="972000"/>
                        <a:ext cx="0" cy="972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07" name="arrow1007"/>
                    <wps:cNvSpPr/>
                    <wps:spPr>
                      <a:xfrm>
                        <a:off x="1350000" y="972000"/>
                        <a:ext cx="0" cy="972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08" name="box1008"/>
                    <wps:cNvSpPr/>
                    <wps:spPr>
                      <a:xfrm>
                        <a:off x="2484000" y="432000"/>
                        <a:ext cx="1188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MCP server A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e.g. database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9" name="box1009"/>
                    <wps:cNvSpPr/>
                    <wps:spPr>
                      <a:xfrm>
                        <a:off x="2484000" y="1188000"/>
                        <a:ext cx="1188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 B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oneM2M CSE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0" name="box1010"/>
                    <wps:cNvSpPr/>
                    <wps:spPr>
                      <a:xfrm>
                        <a:off x="4212000" y="432000"/>
                        <a:ext cx="1026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External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service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1" name="box1011"/>
                    <wps:cNvSpPr/>
                    <wps:spPr>
                      <a:xfrm>
                        <a:off x="4212000" y="1188000"/>
                        <a:ext cx="1026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oneM2M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2" name="arrow1012"/>
                    <wps:cNvSpPr/>
                    <wps:spPr>
                      <a:xfrm flipV="1">
                        <a:off x="918000" y="702000"/>
                        <a:ext cx="1566000" cy="756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3" name="label1013"/>
                    <wps:cNvSpPr/>
                    <wps:spPr>
                      <a:xfrm>
                        <a:off x="1755000" y="702000"/>
                        <a:ext cx="756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14" name="arrow1014"/>
                    <wps:cNvSpPr/>
                    <wps:spPr>
                      <a:xfrm>
                        <a:off x="1647000" y="1323000"/>
                        <a:ext cx="837000" cy="108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5" name="label1015"/>
                    <wps:cNvSpPr/>
                    <wps:spPr>
                      <a:xfrm>
                        <a:off x="1728000" y="1468800"/>
                        <a:ext cx="756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16" name="arrow1016"/>
                    <wps:cNvSpPr/>
                    <wps:spPr>
                      <a:xfrm>
                        <a:off x="3672000" y="675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7" name="arrow1017"/>
                    <wps:cNvSpPr/>
                    <wps:spPr>
                      <a:xfrm>
                        <a:off x="3672000" y="1431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8" name="label1018"/>
                    <wps:cNvSpPr/>
                    <wps:spPr>
                      <a:xfrm>
                        <a:off x="3564000" y="1711800"/>
                        <a:ext cx="864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oneM2M primitives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5.2-1: MCP architecture with a oneM2M CSE as external system</w:t>
      </w:r>
    </w:p>
    <w:p>
      <w:pPr>
        <w:pStyle w:val="Heading2"/>
      </w:pPr>
      <w:r>
        <w:t>5.3  Transport protocol and message format</w:t>
      </w:r>
    </w:p>
    <w:p>
      <w:r>
        <w:rPr>
          <w:b w:val="0"/>
          <w:i w:val="0"/>
        </w:rPr>
        <w:t>MCP messages are JSON-RPC 2.0. The implementation described here uses the streamable-HTTP transport (a single HTTP endpoint supporting streaming responses and server-initiated notifications), which suits CSE deployment better than stdio and enables remote agents. On the oneM2M side, all operations are expressed as request primitives per TS-0004 [2] (operation, target, originator, request identifier, release version, primitive content) and executed by the CSE.</w:t>
      </w:r>
    </w:p>
    <w:p>
      <w:pPr>
        <w:pStyle w:val="Heading2"/>
      </w:pPr>
      <w:r>
        <w:t>5.4  Lifecycle</w:t>
      </w:r>
    </w:p>
    <w:p>
      <w:r>
        <w:rPr>
          <w:b w:val="0"/>
          <w:i w:val="0"/>
        </w:rPr>
        <w:t>An MCP session proceeds: initialize (capability negotiation) → tool discovery (list_tools) → tool invocation (call_tool, repeated) → termination. Server-initiated notifications can inform the agent about asynchronous events; clause 7 discusses how oneM2M subscriptions can be bridged to such notifications as further work.</w:t>
      </w:r>
    </w:p>
    <w:p>
      <w:pPr>
        <w:pStyle w:val="Heading1"/>
      </w:pPr>
      <w:r>
        <w:t>6  Architecture model of MCP to oneM2M interworking</w:t>
      </w:r>
    </w:p>
    <w:p>
      <w:pPr>
        <w:pStyle w:val="Heading2"/>
      </w:pPr>
      <w:r>
        <w:t>6.1  Design considerations</w:t>
      </w:r>
    </w:p>
    <w:p>
      <w:pPr>
        <w:pStyle w:val="ListBullet"/>
      </w:pPr>
      <w:r>
        <w:rPr>
          <w:b/>
        </w:rPr>
        <w:t xml:space="preserve">Reuse the CSE's own request pipeline. </w:t>
      </w:r>
      <w:r>
        <w:t>Agent actions must pass through the same validation, access-control and dispatch path as any AE request, so no parallel/privileged access path is created.</w:t>
      </w:r>
    </w:p>
    <w:p>
      <w:pPr>
        <w:pStyle w:val="ListBullet"/>
      </w:pPr>
      <w:r>
        <w:rPr>
          <w:b/>
        </w:rPr>
        <w:t xml:space="preserve">Curated tools over raw primitives. </w:t>
      </w:r>
      <w:r>
        <w:t>Agents perform better with a small set of task-oriented tools (discover, read, store, subscribe) than with a single generic "send primitive" tool; a guarded raw tool remains useful for expert use.</w:t>
      </w:r>
    </w:p>
    <w:p>
      <w:pPr>
        <w:pStyle w:val="ListBullet"/>
      </w:pPr>
      <w:r>
        <w:rPr>
          <w:b/>
        </w:rPr>
        <w:t xml:space="preserve">Tool descriptions teach oneM2M. </w:t>
      </w:r>
      <w:r>
        <w:t>Descriptions embed the minimum oneM2M concepts (resource tree, containers, contentInstances) so models use the standard correctly without fine-tuning.</w:t>
      </w:r>
    </w:p>
    <w:p>
      <w:pPr>
        <w:pStyle w:val="ListBullet"/>
      </w:pPr>
      <w:r>
        <w:rPr>
          <w:b/>
        </w:rPr>
        <w:t xml:space="preserve">Deployment neutrality. </w:t>
      </w:r>
      <w:r>
        <w:t>The interworking function should be deployable both inside a CSE (plugin) and as a standalone gateway in front of any CSE (AE/IPE over Mca).</w:t>
      </w:r>
    </w:p>
    <w:p>
      <w:pPr>
        <w:pStyle w:val="Heading2"/>
      </w:pPr>
      <w:r>
        <w:t>6.2  Interworking scenarios</w:t>
      </w:r>
    </w:p>
    <w:p>
      <w:pPr>
        <w:pStyle w:val="Heading3"/>
      </w:pPr>
      <w:r>
        <w:t>6.2.1  Scenario A: MCP server as CSE plugin</w:t>
      </w:r>
    </w:p>
    <w:p>
      <w:r>
        <w:rPr>
          <w:b w:val="0"/>
          <w:i w:val="0"/>
        </w:rPr>
        <w:t>The MCP server runs inside the CSE process and injects primitives directly into the request pipeline (Figure 6.2-1). This minimizes latency and deployment complexity and was chosen for the reference implementation (clause 6.3). It requires a CSE with an extension mechanism, such as the ACME CSE plugin framework [i.4].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2565000"/>
            <wp:docPr id="1034" name="Diagram 1034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2565000"/>
                      <a:chOff x="0" y="0"/>
                      <a:chExt cx="5400000" cy="2565000"/>
                    </a:xfrm>
                  </wpg:grpSpPr>
                  <wps:wsp>
                    <wps:cNvPr id="1020" name="box1020"/>
                    <wps:cNvSpPr/>
                    <wps:spPr>
                      <a:xfrm>
                        <a:off x="162000" y="783000"/>
                        <a:ext cx="1134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host + client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1" name="box1021"/>
                    <wps:cNvSpPr/>
                    <wps:spPr>
                      <a:xfrm>
                        <a:off x="1836000" y="243000"/>
                        <a:ext cx="3402000" cy="2025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bodyPr lIns="18000" tIns="9000" rIns="18000" bIns="9000" anchor="ctr" anchorCtr="0">
                      <a:noAutofit/>
                    </wps:bodyPr>
                  </wps:wsp>
                  <wps:wsp>
                    <wps:cNvPr id="1022" name="label1022"/>
                    <wps:cNvSpPr/>
                    <wps:spPr>
                      <a:xfrm>
                        <a:off x="1836000" y="0"/>
                        <a:ext cx="3402000" cy="2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8"/>
                              <w:szCs w:val="18"/>
                            </w:rPr>
                            <w:t xml:space="preserve">oneM2M CSE (e.g. ACME)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23" name="box1023"/>
                    <wps:cNvSpPr/>
                    <wps:spPr>
                      <a:xfrm>
                        <a:off x="1998000" y="567000"/>
                        <a:ext cx="1296000" cy="702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plugin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4" name="box1024"/>
                    <wps:cNvSpPr/>
                    <wps:spPr>
                      <a:xfrm>
                        <a:off x="3618000" y="567000"/>
                        <a:ext cx="1404000" cy="702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Request pipeline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validation · ACP · dispatch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5" name="box1025"/>
                    <wps:cNvSpPr/>
                    <wps:spPr>
                      <a:xfrm>
                        <a:off x="3618000" y="1512000"/>
                        <a:ext cx="1404000" cy="59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AE / CNT / CIN / SUB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6" name="box1026"/>
                    <wps:cNvSpPr/>
                    <wps:spPr>
                      <a:xfrm>
                        <a:off x="1998000" y="1512000"/>
                        <a:ext cx="1296000" cy="59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Protocol bindings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HTTP · MQTT · CoAP · WS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7" name="arrow1027"/>
                    <wps:cNvSpPr/>
                    <wps:spPr>
                      <a:xfrm flipV="1">
                        <a:off x="1296000" y="972000"/>
                        <a:ext cx="702000" cy="135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28" name="label1028"/>
                    <wps:cNvSpPr/>
                    <wps:spPr>
                      <a:xfrm>
                        <a:off x="1080000" y="567000"/>
                        <a:ext cx="972000" cy="29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(streamable-HTTP)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29" name="arrow1029"/>
                    <wps:cNvSpPr/>
                    <wps:spPr>
                      <a:xfrm>
                        <a:off x="3294000" y="918000"/>
                        <a:ext cx="324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0" name="label1030"/>
                    <wps:cNvSpPr/>
                    <wps:spPr>
                      <a:xfrm>
                        <a:off x="3213000" y="648000"/>
                        <a:ext cx="48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primitives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31" name="arrow1031"/>
                    <wps:cNvSpPr/>
                    <wps:spPr>
                      <a:xfrm>
                        <a:off x="4320000" y="1269000"/>
                        <a:ext cx="0" cy="243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2" name="arrow1032"/>
                    <wps:cNvSpPr/>
                    <wps:spPr>
                      <a:xfrm flipV="1">
                        <a:off x="3294000" y="1269000"/>
                        <a:ext cx="486000" cy="540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3" name="label1033"/>
                    <wps:cNvSpPr/>
                    <wps:spPr>
                      <a:xfrm>
                        <a:off x="3240000" y="1458000"/>
                        <a:ext cx="540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other AEs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6.2-1: Scenario A — MCP server as a plugin of the CSE</w:t>
      </w:r>
    </w:p>
    <w:p>
      <w:pPr>
        <w:pStyle w:val="Heading3"/>
      </w:pPr>
      <w:r>
        <w:t>6.2.2  Scenario B: standalone MCP gateway (AE/IPE)</w:t>
      </w:r>
    </w:p>
    <w:p>
      <w:r>
        <w:rPr>
          <w:b w:val="0"/>
          <w:i w:val="0"/>
        </w:rPr>
        <w:t>The MCP server runs as a separate process, registers as an AE (or is structured as an IPE per TS-0033 [i.5]) and communicates with the CSE over Mca (Figure 6.2-2). This works with any compliant CSE (Mobius, OM2M, tinyIoT) at the cost of one additional network hop, and is the natural evolution path for a CSE-independent deliverable.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1296000"/>
            <wp:docPr id="1042" name="Diagram 1042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1296000"/>
                      <a:chOff x="0" y="0"/>
                      <a:chExt cx="5400000" cy="1296000"/>
                    </a:xfrm>
                  </wpg:grpSpPr>
                  <wps:wsp>
                    <wps:cNvPr id="1035" name="box1035"/>
                    <wps:cNvSpPr/>
                    <wps:spPr>
                      <a:xfrm>
                        <a:off x="162000" y="108000"/>
                        <a:ext cx="1080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host + client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6" name="box1036"/>
                    <wps:cNvSpPr/>
                    <wps:spPr>
                      <a:xfrm>
                        <a:off x="1782000" y="108000"/>
                        <a:ext cx="1404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gateway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registered as AE / IPE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7" name="box1037"/>
                    <wps:cNvSpPr/>
                    <wps:spPr>
                      <a:xfrm>
                        <a:off x="3780000" y="108000"/>
                        <a:ext cx="1404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oneM2M CSE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any implementation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8" name="arrow1038"/>
                    <wps:cNvSpPr/>
                    <wps:spPr>
                      <a:xfrm>
                        <a:off x="1242000" y="513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9" name="label1039"/>
                    <wps:cNvSpPr/>
                    <wps:spPr>
                      <a:xfrm>
                        <a:off x="1161000" y="270000"/>
                        <a:ext cx="70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40" name="arrow1040"/>
                    <wps:cNvSpPr/>
                    <wps:spPr>
                      <a:xfrm>
                        <a:off x="3186000" y="513000"/>
                        <a:ext cx="594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41" name="label1041"/>
                    <wps:cNvSpPr/>
                    <wps:spPr>
                      <a:xfrm>
                        <a:off x="3132000" y="270000"/>
                        <a:ext cx="75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Mca (HTTP/MQTT)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6.2-2: Scenario B — standalone MCP gateway over Mca</w:t>
      </w:r>
    </w:p>
    <w:p>
      <w:pPr>
        <w:pStyle w:val="Heading3"/>
      </w:pPr>
      <w:r>
        <w:t>6.2.3  Relation to the agentic IPE generation framework</w:t>
      </w:r>
    </w:p>
    <w:p>
      <w:r>
        <w:rPr>
          <w:b w:val="0"/>
          <w:i w:val="0"/>
        </w:rPr>
        <w:t>TR-0081 clause 6.2.1 [i.1] describes a framework in which a coding agent autonomously generates IPEs, interacting with the CSE through a "oneM2M MCP Server" supported by oneM2M-specific skills. The implementation described in the present document provides exactly that component and can therefore serve as the CSE-side building block of the framework; the tool set of clause 6.3 covers the resource preparation steps named there (creation of &lt;AE&gt; and &lt;container&gt; resources, storage and validation of &lt;contentInstance&gt; resources).</w:t>
      </w:r>
    </w:p>
    <w:p>
      <w:pPr>
        <w:pStyle w:val="Heading2"/>
      </w:pPr>
      <w:r>
        <w:t>6.3  Reference implementation</w:t>
      </w:r>
    </w:p>
    <w:p>
      <w:r>
        <w:rPr>
          <w:b w:val="0"/>
          <w:i w:val="0"/>
        </w:rPr>
        <w:t>A single-tool MCP demonstration over an ACME CSE was published by the WI-0122 rapporteur in March 2026 [i.6], establishing feasibility. The implementation reported here extends that to a deployable server. A reference implementation of Scenario A exists as a user plugin for the ACME CSE (v2026.05 plugin architecture; no fork or core modification). It exposes seventeen tools; Table 6.3-1 shows the core mapping to oneM2M primitives. Figure 6.3-1 shows the message flow of a tool call.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  <w:sz w:val="17"/>
              </w:rPr>
              <w:t>MCP tool</w:t>
            </w:r>
          </w:p>
        </w:tc>
        <w:tc>
          <w:tcPr>
            <w:tcW w:type="dxa" w:w="3249"/>
          </w:tcPr>
          <w:p>
            <w:r>
              <w:rPr>
                <w:b/>
                <w:sz w:val="17"/>
              </w:rPr>
              <w:t>oneM2M primitive</w:t>
            </w:r>
          </w:p>
        </w:tc>
        <w:tc>
          <w:tcPr>
            <w:tcW w:type="dxa" w:w="3249"/>
          </w:tcPr>
          <w:p>
            <w:r>
              <w:rPr>
                <w:b/>
                <w:sz w:val="17"/>
              </w:rPr>
              <w:t>Notes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cse_info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&lt;CSEBase&gt;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entry point for orientation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discover_resources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+ filterCriteria (fu=1, ty, lbl)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returns resource identifier list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retrieve_resource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structured/unstructured IDs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register_ae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&lt;AE&gt;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agent-owned application entity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create_container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&lt;container&gt;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with retention policy (mni)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add_content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&lt;contentInstance&gt;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data point write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get_latest_content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&lt;container&gt;/la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newest data point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create_subscription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&lt;subscription&gt;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notification URI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delete_resource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DELETE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annotated destructive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send_onem2m_primitive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any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guarded expert escape hatch</w:t>
            </w:r>
          </w:p>
        </w:tc>
      </w:tr>
    </w:tbl>
    <w:p/>
    <w:p>
      <w:pPr>
        <w:jc w:val="center"/>
      </w:pPr>
      <w:r>
        <w:rPr>
          <w:b/>
          <w:i w:val="0"/>
          <w:sz w:val="18"/>
        </w:rPr>
        <w:t>Table 6.3-1: MCP tool to oneM2M primitive mapping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3240000"/>
            <wp:docPr id="1064" name="Diagram 1064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3240000"/>
                      <a:chOff x="0" y="0"/>
                      <a:chExt cx="5400000" cy="3240000"/>
                    </a:xfrm>
                  </wpg:grpSpPr>
                  <wps:wsp>
                    <wps:cNvPr id="1043" name="box1043"/>
                    <wps:cNvSpPr/>
                    <wps:spPr>
                      <a:xfrm>
                        <a:off x="108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4" name="arrow1044"/>
                    <wps:cNvSpPr/>
                    <wps:spPr>
                      <a:xfrm flipV="1">
                        <a:off x="648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5" name="box1045"/>
                    <wps:cNvSpPr/>
                    <wps:spPr>
                      <a:xfrm>
                        <a:off x="1620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plugin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6" name="arrow1046"/>
                    <wps:cNvSpPr/>
                    <wps:spPr>
                      <a:xfrm flipV="1">
                        <a:off x="2160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7" name="box1047"/>
                    <wps:cNvSpPr/>
                    <wps:spPr>
                      <a:xfrm>
                        <a:off x="3132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Request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pipeline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8" name="arrow1048"/>
                    <wps:cNvSpPr/>
                    <wps:spPr>
                      <a:xfrm flipV="1">
                        <a:off x="3672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9" name="box1049"/>
                    <wps:cNvSpPr/>
                    <wps:spPr>
                      <a:xfrm>
                        <a:off x="4320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50" name="arrow1050"/>
                    <wps:cNvSpPr/>
                    <wps:spPr>
                      <a:xfrm flipV="1">
                        <a:off x="4860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51" name="arrow1051"/>
                    <wps:cNvSpPr/>
                    <wps:spPr>
                      <a:xfrm>
                        <a:off x="648000" y="756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2" name="label1052"/>
                    <wps:cNvSpPr/>
                    <wps:spPr>
                      <a:xfrm>
                        <a:off x="648000" y="561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call_tool("add_content", {container, value})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3" name="arrow1053"/>
                    <wps:cNvSpPr/>
                    <wps:spPr>
                      <a:xfrm>
                        <a:off x="2160000" y="1080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4" name="label1054"/>
                    <wps:cNvSpPr/>
                    <wps:spPr>
                      <a:xfrm>
                        <a:off x="2160000" y="885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CREATE primitive {op:1, to, fr, pc:cin}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5" name="label1055"/>
                    <wps:cNvSpPr/>
                    <wps:spPr>
                      <a:xfrm>
                        <a:off x="3726000" y="1269000"/>
                        <a:ext cx="1080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A85A08"/>
                              <w:sz w:val="14"/>
                              <w:szCs w:val="14"/>
                            </w:rPr>
                            <w:t xml:space="preserve">validate + ACP check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6" name="arrow1056"/>
                    <wps:cNvSpPr/>
                    <wps:spPr>
                      <a:xfrm>
                        <a:off x="3672000" y="1620000"/>
                        <a:ext cx="118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7" name="label1057"/>
                    <wps:cNvSpPr/>
                    <wps:spPr>
                      <a:xfrm>
                        <a:off x="3672000" y="1425600"/>
                        <a:ext cx="1188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store &lt;contentInstance&gt;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8" name="arrow1058"/>
                    <wps:cNvSpPr/>
                    <wps:spPr>
                      <a:xfrm flipH="1">
                        <a:off x="3672000" y="1944000"/>
                        <a:ext cx="118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59" name="label1059"/>
                    <wps:cNvSpPr/>
                    <wps:spPr>
                      <a:xfrm>
                        <a:off x="3672000" y="1749600"/>
                        <a:ext cx="1188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created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60" name="arrow1060"/>
                    <wps:cNvSpPr/>
                    <wps:spPr>
                      <a:xfrm flipH="1">
                        <a:off x="2160000" y="2268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61" name="label1061"/>
                    <wps:cNvSpPr/>
                    <wps:spPr>
                      <a:xfrm>
                        <a:off x="2160000" y="2073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Result (rsc = 2001, resource)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62" name="arrow1062"/>
                    <wps:cNvSpPr/>
                    <wps:spPr>
                      <a:xfrm flipH="1">
                        <a:off x="648000" y="2592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63" name="label1063"/>
                    <wps:cNvSpPr/>
                    <wps:spPr>
                      <a:xfrm>
                        <a:off x="648000" y="2397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tool result (JSON)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6.3-1: Message flow of an agent tool call (data point write)</w:t>
      </w:r>
    </w:p>
    <w:p>
      <w:pPr>
        <w:pStyle w:val="Heading1"/>
      </w:pPr>
      <w:r>
        <w:t>7  Security aspects of MCP interworking</w:t>
      </w:r>
    </w:p>
    <w:p>
      <w:pPr>
        <w:pStyle w:val="Heading2"/>
      </w:pPr>
      <w:r>
        <w:t>7.1  Overview</w:t>
      </w:r>
    </w:p>
    <w:p>
      <w:r>
        <w:rPr>
          <w:b w:val="0"/>
          <w:i w:val="0"/>
        </w:rPr>
        <w:t>Agentic access raises the security questions identified in [i.3]: how is an agent authenticated, what is it authorized to do, and how are notifications and dependability handled. The guiding principle of this implementation: the agent is a oneM2M security principal like any other — no new authorization model is invented.</w:t>
      </w:r>
    </w:p>
    <w:p>
      <w:pPr>
        <w:pStyle w:val="Heading2"/>
      </w:pPr>
      <w:r>
        <w:t>7.2  Security architecture</w:t>
      </w:r>
    </w:p>
    <w:p>
      <w:r>
        <w:rPr>
          <w:b w:val="0"/>
          <w:i w:val="0"/>
        </w:rPr>
        <w:t>Security is layered (Figure 7.2-1): transport security and agent authentication are handled at the MCP layer (TLS; the MCP specification supports OAuth 2.0-based authorization); each authenticated agent is then mapped to a dedicated oneM2M originator (AE-ID); every primitive executes under that originator and is authorized by the CSE's &lt;accessControlPolicy&gt; evaluation per TS-0003 [3].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1782000"/>
            <wp:docPr id="1073" name="Diagram 1073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1782000"/>
                      <a:chOff x="0" y="0"/>
                      <a:chExt cx="5400000" cy="1782000"/>
                    </a:xfrm>
                  </wpg:grpSpPr>
                  <wps:wsp>
                    <wps:cNvPr id="1065" name="box1065"/>
                    <wps:cNvSpPr/>
                    <wps:spPr>
                      <a:xfrm>
                        <a:off x="162000" y="108000"/>
                        <a:ext cx="1026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6" name="box1066"/>
                    <wps:cNvSpPr/>
                    <wps:spPr>
                      <a:xfrm>
                        <a:off x="1566000" y="108000"/>
                        <a:ext cx="1242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MCP endpoint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transport auth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(TLS, OAuth)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7" name="box1067"/>
                    <wps:cNvSpPr/>
                    <wps:spPr>
                      <a:xfrm>
                        <a:off x="3186000" y="108000"/>
                        <a:ext cx="1080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Originator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mapping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agent → AE-ID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8" name="box1068"/>
                    <wps:cNvSpPr/>
                    <wps:spPr>
                      <a:xfrm>
                        <a:off x="4536000" y="108000"/>
                        <a:ext cx="756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7ECDD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&lt;ACP&gt;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check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9" name="arrow1069"/>
                    <wps:cNvSpPr/>
                    <wps:spPr>
                      <a:xfrm>
                        <a:off x="1188000" y="540000"/>
                        <a:ext cx="37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0" name="arrow1070"/>
                    <wps:cNvSpPr/>
                    <wps:spPr>
                      <a:xfrm>
                        <a:off x="2808000" y="540000"/>
                        <a:ext cx="37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1" name="arrow1071"/>
                    <wps:cNvSpPr/>
                    <wps:spPr>
                      <a:xfrm>
                        <a:off x="4266000" y="540000"/>
                        <a:ext cx="27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2" name="label1072"/>
                    <wps:cNvSpPr/>
                    <wps:spPr>
                      <a:xfrm>
                        <a:off x="216000" y="1188000"/>
                        <a:ext cx="5022000" cy="40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Every tool call is authorized by the CSE's own &lt;accessControlPolicy&gt; evaluation —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the agent has no more rights than its mapped originator.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7.2-1: Layered security architecture</w:t>
      </w:r>
    </w:p>
    <w:p>
      <w:pPr>
        <w:pStyle w:val="Heading2"/>
      </w:pPr>
      <w:r>
        <w:t>7.3  Security procedure for MCP interworking</w:t>
      </w:r>
    </w:p>
    <w:p>
      <w:pPr>
        <w:pStyle w:val="ListBullet"/>
      </w:pPr>
      <w:r>
        <w:t>1. The administrator registers a dedicated &lt;AE&gt; for the agent and assigns &lt;accessControlPolicy&gt; resources granting only the required operations on the required subtrees.</w:t>
      </w:r>
    </w:p>
    <w:p>
      <w:pPr>
        <w:pStyle w:val="ListBullet"/>
      </w:pPr>
      <w:r>
        <w:t>2. The MCP endpoint authenticates the agent (transport-level; OAuth token verification where required).</w:t>
      </w:r>
    </w:p>
    <w:p>
      <w:pPr>
        <w:pStyle w:val="ListBullet"/>
      </w:pPr>
      <w:r>
        <w:t>3. Each tool call is mapped to a primitive with the agent's AE-ID as originator; the CSE grants or denies per its ACP evaluation.</w:t>
      </w:r>
    </w:p>
    <w:p>
      <w:pPr>
        <w:pStyle w:val="ListBullet"/>
      </w:pPr>
      <w:r>
        <w:t>4. Denials are returned to the agent as oneM2M response status codes, allowing it to explain and adapt rather than fail silently.</w:t>
      </w:r>
    </w:p>
    <w:p>
      <w:pPr>
        <w:pStyle w:val="Heading2"/>
      </w:pPr>
      <w:r>
        <w:t>7.4  Open issues for further study</w:t>
      </w:r>
    </w:p>
    <w:p>
      <w:pPr>
        <w:pStyle w:val="ListBullet"/>
      </w:pPr>
      <w:r>
        <w:t>Per-session/per-user originator mapping when one MCP endpoint serves multiple agents.</w:t>
      </w:r>
    </w:p>
    <w:p>
      <w:pPr>
        <w:pStyle w:val="ListBullet"/>
      </w:pPr>
      <w:r>
        <w:t>Bridging oneM2M &lt;subscription&gt; notifications into MCP server-initiated notifications (dependability semantics, delivery guarantees).</w:t>
      </w:r>
    </w:p>
    <w:p>
      <w:pPr>
        <w:pStyle w:val="ListBullet"/>
      </w:pPr>
      <w:r>
        <w:t>Rate limiting and congestion protection for agent-generated request storms.</w:t>
      </w:r>
    </w:p>
    <w:p>
      <w:pPr>
        <w:pStyle w:val="ListBullet"/>
      </w:pPr>
      <w:r>
        <w:t>Auditability: correlating MCP session identity with oneM2M request records.</w:t>
      </w:r>
    </w:p>
    <w:p>
      <w:pPr>
        <w:pStyle w:val="Heading1"/>
      </w:pPr>
      <w:r>
        <w:t>8  Evaluation</w:t>
      </w:r>
    </w:p>
    <w:p>
      <w:r>
        <w:rPr>
          <w:b w:val="0"/>
          <w:i w:val="0"/>
        </w:rPr>
        <w:t>First measurements on commodity hardware (4-core Xeon, CSE and client co-located; ACME CSE 2026.05.1; 300 requests per cell; logging off):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  <w:sz w:val="18"/>
              </w:rPr>
              <w:t>Path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Operation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p50 latency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Throughput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Direct oneM2M HTTP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CIN CREATE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3.8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254 req/s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Direct oneM2M HTTP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latest RETRIEVE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2.0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492 req/s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 (agent path)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CIN CREATE tool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6.2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~184 calls/s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 (agent path)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latest RETRIEVE tool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4.2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(combined)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MCP, 5 parallel sessions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mixed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17–19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242 calls/s</w:t>
            </w:r>
          </w:p>
        </w:tc>
      </w:tr>
    </w:tbl>
    <w:p/>
    <w:p>
      <w:pPr>
        <w:jc w:val="center"/>
      </w:pPr>
      <w:r>
        <w:rPr>
          <w:b/>
          <w:i w:val="0"/>
          <w:sz w:val="18"/>
        </w:rPr>
        <w:t>Table 8-1: Measured overhead of the MCP interworking layer</w:t>
      </w:r>
    </w:p>
    <w:p>
      <w:r>
        <w:rPr>
          <w:b w:val="0"/>
          <w:i w:val="0"/>
        </w:rPr>
        <w:t>The MCP layer adds approximately 2 ms per operation over the direct HTTP binding — negligible for agentic workloads. The result indicates that interworking cost is not an obstacle to Scenario A deployments.</w:t>
      </w:r>
    </w:p>
    <w:p>
      <w:pPr>
        <w:pStyle w:val="Heading1"/>
      </w:pPr>
      <w:r>
        <w:t>9  Conclusions and proposed next steps</w:t>
      </w:r>
    </w:p>
    <w:p>
      <w:pPr>
        <w:pStyle w:val="ListBullet"/>
      </w:pPr>
      <w:r>
        <w:t>oneM2M–MCP interworking is practical today: a complete agent-to-CSE path exists with negligible overhead, using only standardized oneM2M mechanisms for authorization.</w:t>
      </w:r>
    </w:p>
    <w:p>
      <w:pPr>
        <w:pStyle w:val="ListBullet"/>
      </w:pPr>
      <w:r>
        <w:t>We propose to contribute the tool-to-primitive mapping (Table 6.3-1) and the layered security procedure (clause 7.3) as input to TR-0081.</w:t>
      </w:r>
    </w:p>
    <w:p>
      <w:pPr>
        <w:pStyle w:val="ListBullet"/>
      </w:pPr>
      <w:r>
        <w:t>Both scenarios are implemented from one codebase and pass the same test suite, so the interworking function is not tied to a single CSE.</w:t>
      </w:r>
    </w:p>
    <w:p>
      <w:pPr>
        <w:pStyle w:val="ListBullet"/>
      </w:pPr>
      <w:r>
        <w:t>Subscription notifications are bridged back to the agent, and semantic query over &lt;semanticDescriptor&gt; is exposed, so an agent can find resources by meaning (SAREF/SPARQL) rather than by tree position.</w:t>
      </w:r>
    </w:p>
    <w:p>
      <w:pPr>
        <w:pStyle w:val="ListBullet"/>
      </w:pPr>
      <w:r>
        <w:t>An agent benchmark over discovery, data, ACP-restricted access, subscriptions and semantics has been built and run: Claude Sonnet 5 scores 6/6. Two non-LLM controls (a correct solver and a do-nothing agent that claims success) bound the harness at 6/6 and 0/6.</w:t>
      </w:r>
    </w:p>
    <w:p>
      <w:pPr>
        <w:pStyle w:val="ListBullet"/>
      </w:pPr>
      <w:r>
        <w:t>Remaining work: benchmark results across further models and providers.</w:t>
      </w:r>
    </w:p>
    <w:p>
      <w:pPr>
        <w:pStyle w:val="ListBullet"/>
      </w:pPr>
      <w:r>
        <w:t>The implementation is available as open source (BSD-3) for use by oneM2M members and the developer community.</w:t>
      </w:r>
    </w:p>
    <w:p>
      <w:pPr>
        <w:pStyle w:val="Heading1"/>
      </w:pPr>
      <w:r>
        <w:t>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249"/>
          </w:tcPr>
          <w:p>
            <w:r>
              <w:rPr>
                <w:b/>
                <w:sz w:val="18"/>
              </w:rPr>
              <w:t>Date</w:t>
            </w:r>
          </w:p>
        </w:tc>
        <w:tc>
          <w:tcPr>
            <w:tcW w:type="dxa" w:w="3249"/>
          </w:tcPr>
          <w:p>
            <w:r>
              <w:rPr>
                <w:b/>
                <w:sz w:val="18"/>
              </w:rPr>
              <w:t>Description</w:t>
            </w:r>
          </w:p>
        </w:tc>
      </w:tr>
      <w:tr>
        <w:tc>
          <w:tcPr>
            <w:tcW w:type="dxa" w:w="3249"/>
          </w:tcPr>
          <w:p>
            <w:r>
              <w:rPr>
                <w:sz w:val="18"/>
              </w:rPr>
              <w:t>0.1.0</w:t>
            </w:r>
          </w:p>
        </w:tc>
        <w:tc>
          <w:tcPr>
            <w:tcW w:type="dxa" w:w="3249"/>
          </w:tcPr>
          <w:p>
            <w:r>
              <w:rPr>
                <w:sz w:val="18"/>
              </w:rPr>
              <w:t>2026-08-05</w:t>
            </w:r>
          </w:p>
        </w:tc>
        <w:tc>
          <w:tcPr>
            <w:tcW w:type="dxa" w:w="3249"/>
          </w:tcPr>
          <w:p>
            <w:r>
              <w:rPr>
                <w:sz w:val="18"/>
              </w:rPr>
              <w:t>First draft: architecture scenarios, security model, reference implementation on ACME CSE, first measurements.</w:t>
            </w:r>
          </w:p>
        </w:tc>
      </w:tr>
    </w:tbl>
    <w:p/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Calibri" w:hAnsi="Calibri"/>
      <w:color w:val="1C262B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0E7C8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Calibri" w:hAnsi="Calibri"/>
      <w:b/>
      <w:bCs/>
      <w:color w:val="1C262B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C26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