
<file path=[Content_Types].xml><?xml version="1.0" encoding="utf-8"?>
<Types xmlns="http://schemas.openxmlformats.org/package/2006/content-types">
  <Default Extension="xml" ContentType="application/xml"/>
  <Default Extension="rels" ContentType="application/vnd.openxmlformats-package.relationships+xml"/>
  <Default Extension="odttf" ContentType="application/vnd.openxmlformats-officedocument.obfuscatedFont"/>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p>
      <w:pPr>
        <w:pStyle w:val="Title"/>
      </w:pPr>
      <w:r>
        <w:t xml:space="preserve">TurboQuant Pro: Open-Source TurboQuant Implementation</w:t>
      </w:r>
      <w:r>
        <w:br/>
      </w:r>
      <w:r>
        <w:t xml:space="preserve">for LLM KV Cache Compression on Consumer GPUs</w:t>
      </w:r>
    </w:p>
    <w:p>
      <w:pPr>
        <w:pStyle w:val="Author"/>
      </w:pPr>
      <w:r>
        <w:t xml:space="preserve">Andrew H. Bond</w:t>
      </w:r>
      <w:r>
        <w:br/>
      </w:r>
      <w:r>
        <w:t xml:space="preserve">Department of Computer Engineering</w:t>
      </w:r>
      <w:r>
        <w:br/>
      </w:r>
      <w:r>
        <w:t xml:space="preserve">San Jose State University</w:t>
      </w:r>
      <w:r>
        <w:br/>
      </w:r>
      <w:r>
        <w:rPr>
          <w:rStyle w:val="VerbatimChar"/>
        </w:rPr>
        <w:t xml:space="preserve">andrew.bond@sjsu.edu</w:t>
      </w:r>
    </w:p>
    <w:p>
      <w:pPr>
        <w:pStyle w:val="AbstractTitle"/>
      </w:pPr>
      <w:r>
        <w:t xml:space="preserve">Abstract</w:t>
      </w:r>
    </w:p>
    <w:p>
      <w:pPr>
        <w:pStyle w:val="Abstract"/>
      </w:pPr>
      <w:r>
        <w:t xml:space="preserve">We present TurboQuant Pro, the first open-source implementation of the</w:t>
      </w:r>
      <w:r>
        <w:t xml:space="preserve"> </w:t>
      </w:r>
      <w:r>
        <w:t xml:space="preserve">TurboQuant algorithm (Zandieh et al., ICLR 2026) for compressing</w:t>
      </w:r>
      <w:r>
        <w:t xml:space="preserve"> </w:t>
      </w:r>
      <w:r>
        <w:t xml:space="preserve">the key-value (KV) cache in large language model inference. Our</w:t>
      </w:r>
      <w:r>
        <w:t xml:space="preserve"> </w:t>
      </w:r>
      <w:r>
        <w:t xml:space="preserve">implementation achieves 5.12</w:t>
      </w:r>
      <m:oMath>
        <m:r>
          <m:rPr>
            <m:sty m:val="p"/>
          </m:rPr>
          <m:t>×</m:t>
        </m:r>
      </m:oMath>
      <w:r>
        <w:t xml:space="preserve"> </w:t>
      </w:r>
      <w:r>
        <w:t xml:space="preserve">compression at 0.978 mean cosine</w:t>
      </w:r>
      <w:r>
        <w:t xml:space="preserve"> </w:t>
      </w:r>
      <w:r>
        <w:t xml:space="preserve">similarity using 3-bit quantization with bit-packing, and includes a</w:t>
      </w:r>
      <w:r>
        <w:t xml:space="preserve"> </w:t>
      </w:r>
      <w:r>
        <w:t xml:space="preserve">novel streaming two-tier cache with L1 (hot, uncompressed) and L2</w:t>
      </w:r>
      <w:r>
        <w:t xml:space="preserve"> </w:t>
      </w:r>
      <w:r>
        <w:t xml:space="preserve">(cold, bit-packed) storage for autoregressive generation. The system</w:t>
      </w:r>
      <w:r>
        <w:t xml:space="preserve"> </w:t>
      </w:r>
      <w:r>
        <w:t xml:space="preserve">runs on consumer Volta-class GPUs via CuPy CUDA kernels and falls back</w:t>
      </w:r>
      <w:r>
        <w:t xml:space="preserve"> </w:t>
      </w:r>
      <w:r>
        <w:t xml:space="preserve">to vectorized NumPy on CPU. We benchmark compression quality,</w:t>
      </w:r>
      <w:r>
        <w:t xml:space="preserve"> </w:t>
      </w:r>
      <w:r>
        <w:t xml:space="preserve">throughput, and memory savings across multiple model configurations</w:t>
      </w:r>
      <w:r>
        <w:t xml:space="preserve"> </w:t>
      </w:r>
      <w:r>
        <w:t xml:space="preserve">including Llama 3.1, Gemma 4, and Mistral, and provide integration</w:t>
      </w:r>
      <w:r>
        <w:t xml:space="preserve"> </w:t>
      </w:r>
      <w:r>
        <w:t xml:space="preserve">examples for llama.cpp and vLLM. The package is released under the</w:t>
      </w:r>
      <w:r>
        <w:t xml:space="preserve"> </w:t>
      </w:r>
      <w:r>
        <w:t xml:space="preserve">MIT license at</w:t>
      </w:r>
      <w:r>
        <w:t xml:space="preserve"> </w:t>
      </w:r>
      <w:hyperlink r:id="rId9">
        <w:r>
          <w:rPr>
            <w:rStyle w:val="Hyperlink"/>
          </w:rPr>
          <w:t xml:space="preserve">https://github.com/ahb-sjsu/turboquant-pro</w:t>
        </w:r>
      </w:hyperlink>
      <w:r>
        <w:t xml:space="preserve">.</w:t>
      </w:r>
    </w:p>
    <w:bookmarkStart w:id="10" w:name="sec:intro"/>
    <w:p>
      <w:pPr>
        <w:pStyle w:val="Heading1"/>
      </w:pPr>
      <w:r>
        <w:t xml:space="preserve">Introduction</w:t>
      </w:r>
    </w:p>
    <w:p>
      <w:pPr>
        <w:pStyle w:val="FirstParagraph"/>
      </w:pPr>
      <w:r>
        <w:t xml:space="preserve">The key-value (KV) cache is a critical memory bottleneck in autoregressive</w:t>
      </w:r>
      <w:r>
        <w:t xml:space="preserve"> </w:t>
      </w:r>
      <w:r>
        <w:t xml:space="preserve">LLM inference. For a model with</w:t>
      </w:r>
      <w:r>
        <w:t xml:space="preserve"> </w:t>
      </w:r>
      <m:oMath>
        <m:r>
          <m:t>L</m:t>
        </m:r>
      </m:oMath>
      <w:r>
        <w:t xml:space="preserve"> </w:t>
      </w:r>
      <w:r>
        <w:t xml:space="preserve">layers,</w:t>
      </w:r>
      <w:r>
        <w:t xml:space="preserve"> </w:t>
      </w:r>
      <m:oMath>
        <m:r>
          <m:t>H</m:t>
        </m:r>
      </m:oMath>
      <w:r>
        <w:t xml:space="preserve"> </w:t>
      </w:r>
      <w:r>
        <w:t xml:space="preserve">KV heads, head dimension</w:t>
      </w:r>
      <w:r>
        <w:t xml:space="preserve"> </w:t>
      </w:r>
      <m:oMath>
        <m:r>
          <m:t>d</m:t>
        </m:r>
      </m:oMath>
      <w:r>
        <w:t xml:space="preserve">, and context length</w:t>
      </w:r>
      <w:r>
        <w:t xml:space="preserve"> </w:t>
      </w:r>
      <m:oMath>
        <m:r>
          <m:t>S</m:t>
        </m:r>
      </m:oMath>
      <w:r>
        <w:t xml:space="preserve">, the KV cache consumes</w:t>
      </w:r>
      <w:r>
        <w:t xml:space="preserve"> </w:t>
      </w:r>
      <m:oMath>
        <m:r>
          <m:t>2</m:t>
        </m:r>
        <m:r>
          <m:t>L</m:t>
        </m:r>
        <m:r>
          <m:t>H</m:t>
        </m:r>
        <m:r>
          <m:t>S</m:t>
        </m:r>
        <m:r>
          <m:t>d</m:t>
        </m:r>
      </m:oMath>
      <w:r>
        <w:t xml:space="preserve"> </w:t>
      </w:r>
      <w:r>
        <w:t xml:space="preserve">elements,</w:t>
      </w:r>
      <w:r>
        <w:t xml:space="preserve"> </w:t>
      </w:r>
      <w:r>
        <w:t xml:space="preserve">typically stored in</w:t>
      </w:r>
      <w:r>
        <w:t xml:space="preserve"> </w:t>
      </w:r>
      <w:r>
        <w:rPr>
          <w:rStyle w:val="VerbatimChar"/>
        </w:rPr>
        <w:t xml:space="preserve">float16</w:t>
      </w:r>
      <w:r>
        <w:t xml:space="preserve">. For Gemma 4 27B at 8K context, this</w:t>
      </w:r>
      <w:r>
        <w:t xml:space="preserve"> </w:t>
      </w:r>
      <w:r>
        <w:t xml:space="preserve">is approximately 1.13 GB—often exceeding the available VRAM on consumer</w:t>
      </w:r>
      <w:r>
        <w:t xml:space="preserve"> </w:t>
      </w:r>
      <w:r>
        <w:t xml:space="preserve">GPUs and limiting the maximum context window.</w:t>
      </w:r>
    </w:p>
    <w:p>
      <w:pPr>
        <w:pStyle w:val="BodyText"/>
      </w:pPr>
      <w:r>
        <w:t xml:space="preserve">Zandieh et al. </w:t>
      </w:r>
      <w:r>
        <w:t xml:space="preserve"> </w:t>
      </w:r>
      <w:r>
        <w:t xml:space="preserve">introduced TurboQuant (building on PolarQuant </w:t>
      </w:r>
      <w:r>
        <w:t xml:space="preserve"> </w:t>
      </w:r>
      <w:r>
        <w:t xml:space="preserve">and QJL </w:t>
      </w:r>
      <w:r>
        <w:t xml:space="preserve">), a</w:t>
      </w:r>
      <w:r>
        <w:t xml:space="preserve"> </w:t>
      </w:r>
      <w:r>
        <w:t xml:space="preserve">theoretically grounded approach that achieves sub-linear memory scaling by:</w:t>
      </w:r>
      <w:r>
        <w:t xml:space="preserve"> </w:t>
      </w:r>
      <w:r>
        <w:t xml:space="preserve">(1) applying a random orthogonal rotation to map KV vectors onto the unit</w:t>
      </w:r>
      <w:r>
        <w:t xml:space="preserve"> </w:t>
      </w:r>
      <w:r>
        <w:t xml:space="preserve">hypersphere where coordinates are approximately i.i.d. Gaussian,</w:t>
      </w:r>
      <w:r>
        <w:t xml:space="preserve"> </w:t>
      </w:r>
      <w:r>
        <w:t xml:space="preserve">(2) applying an optimal Lloyd-Max scalar quantizer to each coordinate</w:t>
      </w:r>
      <w:r>
        <w:t xml:space="preserve"> </w:t>
      </w:r>
      <w:r>
        <w:t xml:space="preserve">independently, and (3) storing</w:t>
      </w:r>
      <w:r>
        <w:t xml:space="preserve"> </w:t>
      </w:r>
      <m:oMath>
        <m:r>
          <m:t>b</m:t>
        </m:r>
      </m:oMath>
      <w:r>
        <w:t xml:space="preserve">-bit indices plus a per-vector L2 norm.</w:t>
      </w:r>
    </w:p>
    <w:p>
      <w:pPr>
        <w:pStyle w:val="BodyText"/>
      </w:pPr>
      <w:r>
        <w:t xml:space="preserve">Despite the theoretical impact of this work, no open-source implementation</w:t>
      </w:r>
      <w:r>
        <w:t xml:space="preserve"> </w:t>
      </w:r>
      <w:r>
        <w:t xml:space="preserve">existed prior to ours. We contribute:</w:t>
      </w:r>
    </w:p>
    <w:p>
      <w:pPr>
        <w:numPr>
          <w:ilvl w:val="0"/>
          <w:numId w:val="1001"/>
        </w:numPr>
      </w:pPr>
      <w:r>
        <w:t xml:space="preserve">A production-quality Python implementation with CuPy GPU kernels</w:t>
      </w:r>
      <w:r>
        <w:t xml:space="preserve"> </w:t>
      </w:r>
      <w:r>
        <w:t xml:space="preserve">and NumPy CPU fallback, supporting 2-, 3-, and 4-bit quantization with</w:t>
      </w:r>
      <w:r>
        <w:t xml:space="preserve"> </w:t>
      </w:r>
      <w:r>
        <w:t xml:space="preserve">bit-packing.</w:t>
      </w:r>
    </w:p>
    <w:p>
      <w:pPr>
        <w:numPr>
          <w:ilvl w:val="0"/>
          <w:numId w:val="1001"/>
        </w:numPr>
      </w:pPr>
      <w:r>
        <w:t xml:space="preserve">A streaming two-tier KV cache (L1 hot / L2 cold) designed for</w:t>
      </w:r>
      <w:r>
        <w:t xml:space="preserve"> </w:t>
      </w:r>
      <w:r>
        <w:t xml:space="preserve">autoregressive generation, which transparently compresses older tokens.</w:t>
      </w:r>
    </w:p>
    <w:p>
      <w:pPr>
        <w:numPr>
          <w:ilvl w:val="0"/>
          <w:numId w:val="1001"/>
        </w:numPr>
      </w:pPr>
      <w:r>
        <w:t xml:space="preserve">Comprehensive benchmarks across model configurations, bit widths,</w:t>
      </w:r>
      <w:r>
        <w:t xml:space="preserve"> </w:t>
      </w:r>
      <w:r>
        <w:t xml:space="preserve">and context lengths.</w:t>
      </w:r>
    </w:p>
    <w:p>
      <w:pPr>
        <w:numPr>
          <w:ilvl w:val="0"/>
          <w:numId w:val="1001"/>
        </w:numPr>
      </w:pPr>
      <w:r>
        <w:t xml:space="preserve">Integration examples for llama.cpp, vLLM, and HuggingFace</w:t>
      </w:r>
      <w:r>
        <w:t xml:space="preserve"> </w:t>
      </w:r>
      <w:r>
        <w:t xml:space="preserve">Transformers.</w:t>
      </w:r>
    </w:p>
    <w:bookmarkEnd w:id="10"/>
    <w:bookmarkStart w:id="16" w:name="sec:method"/>
    <w:p>
      <w:pPr>
        <w:pStyle w:val="Heading1"/>
      </w:pPr>
      <w:r>
        <w:t xml:space="preserve">Method</w:t>
      </w:r>
    </w:p>
    <w:p>
      <w:pPr>
        <w:pStyle w:val="FirstParagraph"/>
      </w:pPr>
      <w:r>
        <w:t xml:space="preserve">We follow the algorithm of Zandieh et al. </w:t>
      </w:r>
      <w:r>
        <w:t xml:space="preserve"> </w:t>
      </w:r>
      <w:r>
        <w:t xml:space="preserve">with the following concrete implementation choices.</w:t>
      </w:r>
    </w:p>
    <w:bookmarkStart w:id="11" w:name="random-rotation."/>
    <w:p>
      <w:pPr>
        <w:pStyle w:val="Heading4"/>
      </w:pPr>
      <w:r>
        <w:t xml:space="preserve">Random Rotation.</w:t>
      </w:r>
    </w:p>
    <w:p>
      <w:pPr>
        <w:pStyle w:val="FirstParagraph"/>
      </w:pPr>
      <w:r>
        <w:t xml:space="preserve">For head dimensions</w:t>
      </w:r>
      <w:r>
        <w:t xml:space="preserve"> </w:t>
      </w:r>
      <m:oMath>
        <m:r>
          <m:t>d</m:t>
        </m:r>
        <m:r>
          <m:rPr>
            <m:sty m:val="p"/>
          </m:rPr>
          <m:t>≤</m:t>
        </m:r>
        <m:r>
          <m:t>4096</m:t>
        </m:r>
      </m:oMath>
      <w:r>
        <w:t xml:space="preserve">, we generate a random orthogonal matrix</w:t>
      </w:r>
      <w:r>
        <w:t xml:space="preserve"> </w:t>
      </w:r>
      <m:oMath>
        <m:r>
          <m:rPr>
            <m:sty m:val="p"/>
          </m:rPr>
          <m:t>Π</m:t>
        </m:r>
        <m:r>
          <m:rPr>
            <m:sty m:val="p"/>
          </m:rPr>
          <m:t>∈</m:t>
        </m:r>
        <m:sSup>
          <m:e>
            <m:r>
              <m:rPr>
                <m:scr m:val="double-struck"/>
                <m:sty m:val="p"/>
              </m:rPr>
              <m:t>R</m:t>
            </m:r>
          </m:e>
          <m:sup>
            <m:r>
              <m:t>d</m:t>
            </m:r>
            <m:r>
              <m:rPr>
                <m:sty m:val="p"/>
              </m:rPr>
              <m:t>×</m:t>
            </m:r>
            <m:r>
              <m:t>d</m:t>
            </m:r>
          </m:sup>
        </m:sSup>
      </m:oMath>
      <w:r>
        <w:t xml:space="preserve"> </w:t>
      </w:r>
      <w:r>
        <w:t xml:space="preserve">via QR factorization of a Gaussian</w:t>
      </w:r>
      <w:r>
        <w:t xml:space="preserve"> </w:t>
      </w:r>
      <w:r>
        <w:t xml:space="preserve">matrix. For</w:t>
      </w:r>
      <w:r>
        <w:t xml:space="preserve"> </w:t>
      </w:r>
      <m:oMath>
        <m:r>
          <m:t>d</m:t>
        </m:r>
        <m:r>
          <m:rPr>
            <m:sty m:val="p"/>
          </m:rPr>
          <m:t>&gt;</m:t>
        </m:r>
        <m:r>
          <m:t>4096</m:t>
        </m:r>
      </m:oMath>
      <w:r>
        <w:t xml:space="preserve">, we use a structured rotation (random sign flip +</w:t>
      </w:r>
      <w:r>
        <w:t xml:space="preserve"> </w:t>
      </w:r>
      <w:r>
        <w:t xml:space="preserve">random permutation) for</w:t>
      </w:r>
      <w:r>
        <w:t xml:space="preserve"> </w:t>
      </w:r>
      <m:oMath>
        <m:r>
          <m:t>O</m:t>
        </m:r>
        <m:r>
          <m:rPr>
            <m:sty m:val="p"/>
          </m:rPr>
          <m:t>(</m:t>
        </m:r>
        <m:r>
          <m:t>d</m:t>
        </m:r>
        <m:r>
          <m:rPr>
            <m:sty m:val="p"/>
          </m:rPr>
          <m:t>)</m:t>
        </m:r>
      </m:oMath>
      <w:r>
        <w:t xml:space="preserve"> </w:t>
      </w:r>
      <w:r>
        <w:t xml:space="preserve">memory and application cost. The rotation</w:t>
      </w:r>
      <w:r>
        <w:t xml:space="preserve"> </w:t>
      </w:r>
      <w:r>
        <w:t xml:space="preserve">is fixed at initialization and shared across all KV vectors.</w:t>
      </w:r>
    </w:p>
    <w:bookmarkEnd w:id="11"/>
    <w:bookmarkStart w:id="12" w:name="lloyd-max-quantization."/>
    <w:p>
      <w:pPr>
        <w:pStyle w:val="Heading4"/>
      </w:pPr>
      <w:r>
        <w:t xml:space="preserve">Lloyd-Max Quantization.</w:t>
      </w:r>
    </w:p>
    <w:p>
      <w:pPr>
        <w:pStyle w:val="FirstParagraph"/>
      </w:pPr>
      <w:r>
        <w:t xml:space="preserve">After rotation, each coordinate is approximately distributed as</w:t>
      </w:r>
      <w:r>
        <w:t xml:space="preserve"> </w:t>
      </w:r>
      <m:oMath>
        <m:r>
          <m:rPr>
            <m:scr m:val="script"/>
            <m:sty m:val="p"/>
          </m:rPr>
          <m:t>N</m:t>
        </m:r>
        <m:r>
          <m:rPr>
            <m:sty m:val="p"/>
          </m:rPr>
          <m:t>(</m:t>
        </m:r>
        <m:r>
          <m:t>0</m:t>
        </m:r>
        <m:r>
          <m:rPr>
            <m:sty m:val="p"/>
          </m:rPr>
          <m:t>,</m:t>
        </m:r>
        <m:r>
          <m:t>1</m:t>
        </m:r>
        <m:r>
          <m:rPr>
            <m:sty m:val="p"/>
          </m:rPr>
          <m:t>/</m:t>
        </m:r>
        <m:rad>
          <m:radPr>
            <m:degHide m:val="on"/>
          </m:radPr>
          <m:deg/>
          <m:e>
            <m:r>
              <m:t>d</m:t>
            </m:r>
          </m:e>
        </m:rad>
        <m:r>
          <m:rPr>
            <m:sty m:val="p"/>
          </m:rPr>
          <m:t>)</m:t>
        </m:r>
      </m:oMath>
      <w:r>
        <w:t xml:space="preserve">. We apply precomputed Lloyd-Max centroids</w:t>
      </w:r>
      <w:r>
        <w:t xml:space="preserve"> </w:t>
      </w:r>
      <w:r>
        <w:t xml:space="preserve">for the standard normal distribution, scaled by</w:t>
      </w:r>
      <w:r>
        <w:t xml:space="preserve"> </w:t>
      </w:r>
      <m:oMath>
        <m:r>
          <m:t>1</m:t>
        </m:r>
        <m:r>
          <m:rPr>
            <m:sty m:val="p"/>
          </m:rPr>
          <m:t>/</m:t>
        </m:r>
        <m:rad>
          <m:radPr>
            <m:degHide m:val="on"/>
          </m:radPr>
          <m:deg/>
          <m:e>
            <m:r>
              <m:t>d</m:t>
            </m:r>
          </m:e>
        </m:rad>
      </m:oMath>
      <w:r>
        <w:t xml:space="preserve">. The</w:t>
      </w:r>
      <w:r>
        <w:t xml:space="preserve"> </w:t>
      </w:r>
      <w:r>
        <w:t xml:space="preserve">centroids are:</w:t>
      </w:r>
    </w:p>
    <w:p>
      <w:pPr>
        <w:pStyle w:val="BodyText"/>
      </w:pPr>
      <m:oMathPara>
        <m:oMathParaPr>
          <m:jc m:val="center"/>
        </m:oMathParaPr>
        <m:oMath>
          <m:eqArr>
            <m:e>
              <m:r>
                <m:rPr>
                  <m:nor/>
                  <m:sty m:val="p"/>
                </m:rPr>
                <m:t>2-bit:</m:t>
              </m:r>
              <m:r>
                <m:t>&amp;</m:t>
              </m:r>
              <m:r>
                <m:t> </m:t>
              </m:r>
              <m:r>
                <m:rPr>
                  <m:sty m:val="p"/>
                </m:rPr>
                <m:t>{</m:t>
              </m:r>
              <m:r>
                <m:rPr>
                  <m:sty m:val="p"/>
                </m:rPr>
                <m:t>−</m:t>
              </m:r>
              <m:r>
                <m:t>1.510</m:t>
              </m:r>
              <m:r>
                <m:rPr>
                  <m:sty m:val="p"/>
                </m:rPr>
                <m:t>,</m:t>
              </m:r>
              <m:r>
                <m:t> </m:t>
              </m:r>
              <m:r>
                <m:rPr>
                  <m:sty m:val="p"/>
                </m:rPr>
                <m:t>−</m:t>
              </m:r>
              <m:r>
                <m:t>0.453</m:t>
              </m:r>
              <m:r>
                <m:rPr>
                  <m:sty m:val="p"/>
                </m:rPr>
                <m:t>,</m:t>
              </m:r>
              <m:r>
                <m:t> </m:t>
              </m:r>
              <m:r>
                <m:t>0.453</m:t>
              </m:r>
              <m:r>
                <m:rPr>
                  <m:sty m:val="p"/>
                </m:rPr>
                <m:t>,</m:t>
              </m:r>
              <m:r>
                <m:t> </m:t>
              </m:r>
              <m:r>
                <m:t>1.510</m:t>
              </m:r>
              <m:r>
                <m:rPr>
                  <m:sty m:val="p"/>
                </m:rPr>
                <m:t>}</m:t>
              </m:r>
            </m:e>
            <m:e>
              <m:r>
                <m:rPr>
                  <m:nor/>
                  <m:sty m:val="p"/>
                </m:rPr>
                <m:t>3-bit:</m:t>
              </m:r>
              <m:r>
                <m:t>&amp;</m:t>
              </m:r>
              <m:r>
                <m:t> </m:t>
              </m:r>
              <m:r>
                <m:rPr>
                  <m:sty m:val="p"/>
                </m:rPr>
                <m:t>{</m:t>
              </m:r>
              <m:r>
                <m:rPr>
                  <m:sty m:val="p"/>
                </m:rPr>
                <m:t>−</m:t>
              </m:r>
              <m:r>
                <m:t>1.748</m:t>
              </m:r>
              <m:r>
                <m:rPr>
                  <m:sty m:val="p"/>
                </m:rPr>
                <m:t>,</m:t>
              </m:r>
              <m:r>
                <m:t> </m:t>
              </m:r>
              <m:r>
                <m:rPr>
                  <m:sty m:val="p"/>
                </m:rPr>
                <m:t>−</m:t>
              </m:r>
              <m:r>
                <m:t>1.050</m:t>
              </m:r>
              <m:r>
                <m:rPr>
                  <m:sty m:val="p"/>
                </m:rPr>
                <m:t>,</m:t>
              </m:r>
              <m:r>
                <m:t> </m:t>
              </m:r>
              <m:r>
                <m:rPr>
                  <m:sty m:val="p"/>
                </m:rPr>
                <m:t>…</m:t>
              </m:r>
              <m:r>
                <m:rPr>
                  <m:sty m:val="p"/>
                </m:rPr>
                <m:t>,</m:t>
              </m:r>
              <m:r>
                <m:t> </m:t>
              </m:r>
              <m:r>
                <m:t>1.050</m:t>
              </m:r>
              <m:r>
                <m:rPr>
                  <m:sty m:val="p"/>
                </m:rPr>
                <m:t>,</m:t>
              </m:r>
              <m:r>
                <m:t> </m:t>
              </m:r>
              <m:r>
                <m:t>1.748</m:t>
              </m:r>
              <m:r>
                <m:rPr>
                  <m:sty m:val="p"/>
                </m:rPr>
                <m:t>}</m:t>
              </m:r>
            </m:e>
            <m:e>
              <m:r>
                <m:rPr>
                  <m:nor/>
                  <m:sty m:val="p"/>
                </m:rPr>
                <m:t>4-bit:</m:t>
              </m:r>
              <m:r>
                <m:t>&amp;</m:t>
              </m:r>
              <m:r>
                <m:t> </m:t>
              </m:r>
              <m:r>
                <m:rPr>
                  <m:sty m:val="p"/>
                </m:rPr>
                <m:t>{</m:t>
              </m:r>
              <m:r>
                <m:rPr>
                  <m:sty m:val="p"/>
                </m:rPr>
                <m:t>−</m:t>
              </m:r>
              <m:r>
                <m:t>2.401</m:t>
              </m:r>
              <m:r>
                <m:rPr>
                  <m:sty m:val="p"/>
                </m:rPr>
                <m:t>,</m:t>
              </m:r>
              <m:r>
                <m:t> </m:t>
              </m:r>
              <m:r>
                <m:rPr>
                  <m:sty m:val="p"/>
                </m:rPr>
                <m:t>−</m:t>
              </m:r>
              <m:r>
                <m:t>1.844</m:t>
              </m:r>
              <m:r>
                <m:rPr>
                  <m:sty m:val="p"/>
                </m:rPr>
                <m:t>,</m:t>
              </m:r>
              <m:r>
                <m:t> </m:t>
              </m:r>
              <m:r>
                <m:rPr>
                  <m:sty m:val="p"/>
                </m:rPr>
                <m:t>…</m:t>
              </m:r>
              <m:r>
                <m:rPr>
                  <m:sty m:val="p"/>
                </m:rPr>
                <m:t>,</m:t>
              </m:r>
              <m:r>
                <m:t> </m:t>
              </m:r>
              <m:r>
                <m:t>1.844</m:t>
              </m:r>
              <m:r>
                <m:rPr>
                  <m:sty m:val="p"/>
                </m:rPr>
                <m:t>,</m:t>
              </m:r>
              <m:r>
                <m:t> </m:t>
              </m:r>
              <m:r>
                <m:t>2.401</m:t>
              </m:r>
              <m:r>
                <m:rPr>
                  <m:sty m:val="p"/>
                </m:rPr>
                <m:t>}</m:t>
              </m:r>
            </m:e>
          </m:eqArr>
        </m:oMath>
      </m:oMathPara>
    </w:p>
    <w:p>
      <w:pPr>
        <w:pStyle w:val="FirstParagraph"/>
      </w:pPr>
      <w:r>
        <w:t xml:space="preserve">Quantization is performed via</w:t>
      </w:r>
      <w:r>
        <w:t xml:space="preserve"> </w:t>
      </w:r>
      <w:r>
        <w:rPr>
          <w:rStyle w:val="VerbatimChar"/>
        </w:rPr>
        <w:t xml:space="preserve">searchsorted</w:t>
      </w:r>
      <w:r>
        <w:t xml:space="preserve"> </w:t>
      </w:r>
      <w:r>
        <w:t xml:space="preserve">on the midpoints</w:t>
      </w:r>
      <w:r>
        <w:t xml:space="preserve"> </w:t>
      </w:r>
      <w:r>
        <w:t xml:space="preserve">between adjacent centroids.</w:t>
      </w:r>
    </w:p>
    <w:bookmarkEnd w:id="12"/>
    <w:bookmarkStart w:id="13" w:name="bit-packing."/>
    <w:p>
      <w:pPr>
        <w:pStyle w:val="Heading4"/>
      </w:pPr>
      <w:r>
        <w:t xml:space="preserve">Bit-Packing.</w:t>
      </w:r>
    </w:p>
    <w:p>
      <w:pPr>
        <w:pStyle w:val="FirstParagraph"/>
      </w:pPr>
      <w:r>
        <w:t xml:space="preserve">We pack</w:t>
      </w:r>
      <w:r>
        <w:t xml:space="preserve"> </w:t>
      </w:r>
      <m:oMath>
        <m:r>
          <m:t>b</m:t>
        </m:r>
      </m:oMath>
      <w:r>
        <w:t xml:space="preserve">-bit indices into bytes: 8 indices</w:t>
      </w:r>
      <w:r>
        <w:t xml:space="preserve"> </w:t>
      </w:r>
      <m:oMath>
        <m:r>
          <m:rPr>
            <m:sty m:val="p"/>
          </m:rPr>
          <m:t>×</m:t>
        </m:r>
      </m:oMath>
      <w:r>
        <w:t xml:space="preserve"> </w:t>
      </w:r>
      <w:r>
        <w:t xml:space="preserve">3 bits = 3 bytes</w:t>
      </w:r>
      <w:r>
        <w:t xml:space="preserve"> </w:t>
      </w:r>
      <w:r>
        <w:t xml:space="preserve">for 3-bit, 4</w:t>
      </w:r>
      <w:r>
        <w:t xml:space="preserve"> </w:t>
      </w:r>
      <m:oMath>
        <m:r>
          <m:rPr>
            <m:sty m:val="p"/>
          </m:rPr>
          <m:t>×</m:t>
        </m:r>
      </m:oMath>
      <w:r>
        <w:t xml:space="preserve"> </w:t>
      </w:r>
      <w:r>
        <w:t xml:space="preserve">2 = 1 byte for 2-bit, and 2</w:t>
      </w:r>
      <w:r>
        <w:t xml:space="preserve"> </w:t>
      </w:r>
      <m:oMath>
        <m:r>
          <m:rPr>
            <m:sty m:val="p"/>
          </m:rPr>
          <m:t>×</m:t>
        </m:r>
      </m:oMath>
      <w:r>
        <w:t xml:space="preserve"> </w:t>
      </w:r>
      <w:r>
        <w:t xml:space="preserve">4 = 1 byte</w:t>
      </w:r>
      <w:r>
        <w:t xml:space="preserve"> </w:t>
      </w:r>
      <w:r>
        <w:t xml:space="preserve">for 4-bit. This is the key step that achieves</w:t>
      </w:r>
      <w:r>
        <w:t xml:space="preserve"> </w:t>
      </w:r>
      <m:oMath>
        <m:r>
          <m:rPr>
            <m:sty m:val="p"/>
          </m:rPr>
          <m:t>&gt;</m:t>
        </m:r>
        <m:r>
          <m:t>5</m:t>
        </m:r>
        <m:r>
          <m:rPr>
            <m:sty m:val="p"/>
          </m:rPr>
          <m:t>×</m:t>
        </m:r>
      </m:oMath>
      <w:r>
        <w:t xml:space="preserve"> </w:t>
      </w:r>
      <w:r>
        <w:t xml:space="preserve">compression</w:t>
      </w:r>
      <w:r>
        <w:t xml:space="preserve"> </w:t>
      </w:r>
      <w:r>
        <w:t xml:space="preserve">over fp16 (vs. </w:t>
      </w:r>
      <m:oMath>
        <m:r>
          <m:rPr>
            <m:sty m:val="p"/>
          </m:rPr>
          <m:t>∼</m:t>
        </m:r>
      </m:oMath>
      <w:r>
        <w:t xml:space="preserve">2</w:t>
      </w:r>
      <m:oMath>
        <m:r>
          <m:rPr>
            <m:sty m:val="p"/>
          </m:rPr>
          <m:t>×</m:t>
        </m:r>
      </m:oMath>
      <w:r>
        <w:t xml:space="preserve"> </w:t>
      </w:r>
      <w:r>
        <w:t xml:space="preserve">with naive uint8 storage).</w:t>
      </w:r>
    </w:p>
    <w:bookmarkEnd w:id="13"/>
    <w:bookmarkStart w:id="14" w:name="decompression."/>
    <w:p>
      <w:pPr>
        <w:pStyle w:val="Heading4"/>
      </w:pPr>
      <w:r>
        <w:t xml:space="preserve">Decompression.</w:t>
      </w:r>
    </w:p>
    <w:p>
      <w:pPr>
        <w:pStyle w:val="FirstParagraph"/>
      </w:pPr>
      <w:r>
        <w:t xml:space="preserve">Decompression unpacks indices, looks up centroid values, applies the</w:t>
      </w:r>
      <w:r>
        <w:t xml:space="preserve"> </w:t>
      </w:r>
      <w:r>
        <w:t xml:space="preserve">inverse rotation, and rescales by the stored L2 norm.</w:t>
      </w:r>
    </w:p>
    <w:bookmarkEnd w:id="14"/>
    <w:bookmarkStart w:id="15" w:name="streaming-tiered-cache."/>
    <w:p>
      <w:pPr>
        <w:pStyle w:val="Heading4"/>
      </w:pPr>
      <w:r>
        <w:t xml:space="preserve">Streaming Tiered Cache.</w:t>
      </w:r>
    </w:p>
    <w:p>
      <w:pPr>
        <w:pStyle w:val="FirstParagraph"/>
      </w:pPr>
      <w:r>
        <w:t xml:space="preserve">For autoregressive generation, we implement a two-tier architecture:</w:t>
      </w:r>
    </w:p>
    <w:p>
      <w:pPr>
        <w:numPr>
          <w:ilvl w:val="0"/>
          <w:numId w:val="1002"/>
        </w:numPr>
      </w:pPr>
      <w:r>
        <w:rPr>
          <w:b/>
          <w:bCs/>
        </w:rPr>
        <w:t xml:space="preserve">L1 (hot window)</w:t>
      </w:r>
      <w:r>
        <w:t xml:space="preserve">: The most recent</w:t>
      </w:r>
      <w:r>
        <w:t xml:space="preserve"> </w:t>
      </w:r>
      <m:oMath>
        <m:r>
          <m:t>W</m:t>
        </m:r>
      </m:oMath>
      <w:r>
        <w:t xml:space="preserve"> </w:t>
      </w:r>
      <w:r>
        <w:t xml:space="preserve">tokens are stored</w:t>
      </w:r>
      <w:r>
        <w:t xml:space="preserve"> </w:t>
      </w:r>
      <w:r>
        <w:t xml:space="preserve">uncompressed for zero-latency attention.</w:t>
      </w:r>
    </w:p>
    <w:p>
      <w:pPr>
        <w:numPr>
          <w:ilvl w:val="0"/>
          <w:numId w:val="1002"/>
        </w:numPr>
      </w:pPr>
      <w:r>
        <w:rPr>
          <w:b/>
          <w:bCs/>
        </w:rPr>
        <w:t xml:space="preserve">L2 (cold storage)</w:t>
      </w:r>
      <w:r>
        <w:t xml:space="preserve">: When the hot window exceeds</w:t>
      </w:r>
      <w:r>
        <w:t xml:space="preserve"> </w:t>
      </w:r>
      <m:oMath>
        <m:r>
          <m:t>W</m:t>
        </m:r>
      </m:oMath>
      <w:r>
        <w:t xml:space="preserve"> </w:t>
      </w:r>
      <w:r>
        <w:t xml:space="preserve">tokens, the oldest half is compressed with bit-packing and moved to</w:t>
      </w:r>
      <w:r>
        <w:t xml:space="preserve"> </w:t>
      </w:r>
      <w:r>
        <w:t xml:space="preserve">cold storage. Cold entries are decompressed on demand.</w:t>
      </w:r>
    </w:p>
    <w:p>
      <w:pPr>
        <w:pStyle w:val="FirstParagraph"/>
      </w:pPr>
      <w:r>
        <w:t xml:space="preserve">This amortizes compression cost and keeps the attention-critical recent</w:t>
      </w:r>
      <w:r>
        <w:t xml:space="preserve"> </w:t>
      </w:r>
      <w:r>
        <w:t xml:space="preserve">tokens at full precision.</w:t>
      </w:r>
    </w:p>
    <w:bookmarkEnd w:id="15"/>
    <w:bookmarkEnd w:id="16"/>
    <w:bookmarkStart w:id="20" w:name="sec:impl"/>
    <w:p>
      <w:pPr>
        <w:pStyle w:val="Heading1"/>
      </w:pPr>
      <w:r>
        <w:t xml:space="preserve">Implementation</w:t>
      </w:r>
    </w:p>
    <w:bookmarkStart w:id="17" w:name="dual-backend."/>
    <w:p>
      <w:pPr>
        <w:pStyle w:val="Heading4"/>
      </w:pPr>
      <w:r>
        <w:t xml:space="preserve">Dual Backend.</w:t>
      </w:r>
    </w:p>
    <w:p>
      <w:pPr>
        <w:pStyle w:val="FirstParagraph"/>
      </w:pPr>
      <w:r>
        <w:t xml:space="preserve">The core</w:t>
      </w:r>
      <w:r>
        <w:t xml:space="preserve"> </w:t>
      </w:r>
      <w:r>
        <w:rPr>
          <w:rStyle w:val="VerbatimChar"/>
        </w:rPr>
        <w:t xml:space="preserve">TurboQuantKV</w:t>
      </w:r>
      <w:r>
        <w:t xml:space="preserve"> </w:t>
      </w:r>
      <w:r>
        <w:t xml:space="preserve">class accepts a</w:t>
      </w:r>
      <w:r>
        <w:t xml:space="preserve"> </w:t>
      </w:r>
      <w:r>
        <w:rPr>
          <w:rStyle w:val="VerbatimChar"/>
        </w:rPr>
        <w:t xml:space="preserve">use_gpu</w:t>
      </w:r>
      <w:r>
        <w:t xml:space="preserve"> </w:t>
      </w:r>
      <w:r>
        <w:t xml:space="preserve">flag.</w:t>
      </w:r>
      <w:r>
        <w:t xml:space="preserve"> </w:t>
      </w:r>
      <w:r>
        <w:t xml:space="preserve">When True and CuPy is available, all operations (rotation via</w:t>
      </w:r>
      <w:r>
        <w:t xml:space="preserve"> </w:t>
      </w:r>
      <w:r>
        <w:rPr>
          <w:rStyle w:val="VerbatimChar"/>
        </w:rPr>
        <w:t xml:space="preserve">einsum</w:t>
      </w:r>
      <w:r>
        <w:t xml:space="preserve">, quantization via</w:t>
      </w:r>
      <w:r>
        <w:t xml:space="preserve"> </w:t>
      </w:r>
      <w:r>
        <w:rPr>
          <w:rStyle w:val="VerbatimChar"/>
        </w:rPr>
        <w:t xml:space="preserve">searchsorted</w:t>
      </w:r>
      <w:r>
        <w:t xml:space="preserve">, bit-packing via</w:t>
      </w:r>
      <w:r>
        <w:t xml:space="preserve"> </w:t>
      </w:r>
      <w:r>
        <w:t xml:space="preserve">CUDA RawKernels) run on GPU. Otherwise, equivalent NumPy operations</w:t>
      </w:r>
      <w:r>
        <w:t xml:space="preserve"> </w:t>
      </w:r>
      <w:r>
        <w:t xml:space="preserve">provide a CPU fallback.</w:t>
      </w:r>
    </w:p>
    <w:bookmarkEnd w:id="17"/>
    <w:bookmarkStart w:id="18" w:name="cuda-kernels."/>
    <w:p>
      <w:pPr>
        <w:pStyle w:val="Heading4"/>
      </w:pPr>
      <w:r>
        <w:t xml:space="preserve">CUDA Kernels.</w:t>
      </w:r>
    </w:p>
    <w:p>
      <w:pPr>
        <w:pStyle w:val="FirstParagraph"/>
      </w:pPr>
      <w:r>
        <w:t xml:space="preserve">We provide six CuPy RawKernels for pack/unpack at 2, 3, and 4 bits.</w:t>
      </w:r>
      <w:r>
        <w:t xml:space="preserve"> </w:t>
      </w:r>
      <w:r>
        <w:t xml:space="preserve">The 3-bit kernel is the most complex: each CUDA thread reads 8 indices,</w:t>
      </w:r>
      <w:r>
        <w:t xml:space="preserve"> </w:t>
      </w:r>
      <w:r>
        <w:t xml:space="preserve">packs them into a 24-bit value split across 3 bytes, and writes the</w:t>
      </w:r>
      <w:r>
        <w:t xml:space="preserve"> </w:t>
      </w:r>
      <w:r>
        <w:t xml:space="preserve">result. All kernels are Volta-compatible (compute 7.0+) and are lazily</w:t>
      </w:r>
      <w:r>
        <w:t xml:space="preserve"> </w:t>
      </w:r>
      <w:r>
        <w:t xml:space="preserve">compiled on first use.</w:t>
      </w:r>
    </w:p>
    <w:bookmarkEnd w:id="18"/>
    <w:bookmarkStart w:id="19" w:name="memory-layout."/>
    <w:p>
      <w:pPr>
        <w:pStyle w:val="Heading4"/>
      </w:pPr>
      <w:r>
        <w:t xml:space="preserve">Memory Layout.</w:t>
      </w:r>
    </w:p>
    <w:p>
      <w:pPr>
        <w:pStyle w:val="FirstParagraph"/>
      </w:pPr>
      <w:r>
        <w:t xml:space="preserve">The</w:t>
      </w:r>
      <w:r>
        <w:t xml:space="preserve"> </w:t>
      </w:r>
      <w:r>
        <w:rPr>
          <w:rStyle w:val="VerbatimChar"/>
        </w:rPr>
        <w:t xml:space="preserve">CompressedKV</w:t>
      </w:r>
      <w:r>
        <w:t xml:space="preserve"> </w:t>
      </w:r>
      <w:r>
        <w:t xml:space="preserve">dataclass stores:</w:t>
      </w:r>
    </w:p>
    <w:p>
      <w:pPr>
        <w:numPr>
          <w:ilvl w:val="0"/>
          <w:numId w:val="1003"/>
        </w:numPr>
      </w:pPr>
      <w:r>
        <w:rPr>
          <w:rStyle w:val="VerbatimChar"/>
        </w:rPr>
        <w:t xml:space="preserve">indices</w:t>
      </w:r>
      <w:r>
        <w:t xml:space="preserve">: flat</w:t>
      </w:r>
      <w:r>
        <w:t xml:space="preserve"> </w:t>
      </w:r>
      <w:r>
        <w:rPr>
          <w:rStyle w:val="VerbatimChar"/>
        </w:rPr>
        <w:t xml:space="preserve">uint8</w:t>
      </w:r>
      <w:r>
        <w:t xml:space="preserve"> </w:t>
      </w:r>
      <w:r>
        <w:t xml:space="preserve">array of bit-packed indices</w:t>
      </w:r>
    </w:p>
    <w:p>
      <w:pPr>
        <w:numPr>
          <w:ilvl w:val="0"/>
          <w:numId w:val="1003"/>
        </w:numPr>
      </w:pPr>
      <w:r>
        <w:rPr>
          <w:rStyle w:val="VerbatimChar"/>
        </w:rPr>
        <w:t xml:space="preserve">norms</w:t>
      </w:r>
      <w:r>
        <w:t xml:space="preserve">:</w:t>
      </w:r>
      <w:r>
        <w:t xml:space="preserve"> </w:t>
      </w:r>
      <w:r>
        <w:rPr>
          <w:rStyle w:val="VerbatimChar"/>
        </w:rPr>
        <w:t xml:space="preserve">float32</w:t>
      </w:r>
      <w:r>
        <w:t xml:space="preserve"> </w:t>
      </w:r>
      <w:r>
        <w:t xml:space="preserve">array of shape</w:t>
      </w:r>
      <w:r>
        <w:t xml:space="preserve"> </w:t>
      </w:r>
      <m:oMath>
        <m:r>
          <m:rPr>
            <m:sty m:val="p"/>
          </m:rPr>
          <m:t>(</m:t>
        </m:r>
        <m:r>
          <m:t>B</m:t>
        </m:r>
        <m:r>
          <m:rPr>
            <m:sty m:val="p"/>
          </m:rPr>
          <m:t>,</m:t>
        </m:r>
        <m:r>
          <m:t>H</m:t>
        </m:r>
        <m:r>
          <m:rPr>
            <m:sty m:val="p"/>
          </m:rPr>
          <m:t>,</m:t>
        </m:r>
        <m:r>
          <m:t>S</m:t>
        </m:r>
        <m:r>
          <m:rPr>
            <m:sty m:val="p"/>
          </m:rPr>
          <m:t>)</m:t>
        </m:r>
      </m:oMath>
    </w:p>
    <w:p>
      <w:pPr>
        <w:numPr>
          <w:ilvl w:val="0"/>
          <w:numId w:val="1003"/>
        </w:numPr>
      </w:pPr>
      <w:r>
        <w:t xml:space="preserve">Metadata:</w:t>
      </w:r>
      <w:r>
        <w:t xml:space="preserve"> </w:t>
      </w:r>
      <w:r>
        <w:rPr>
          <w:rStyle w:val="VerbatimChar"/>
        </w:rPr>
        <w:t xml:space="preserve">bits</w:t>
      </w:r>
      <w:r>
        <w:t xml:space="preserve">,</w:t>
      </w:r>
      <w:r>
        <w:t xml:space="preserve"> </w:t>
      </w:r>
      <w:r>
        <w:rPr>
          <w:rStyle w:val="VerbatimChar"/>
        </w:rPr>
        <w:t xml:space="preserve">original_dtype</w:t>
      </w:r>
      <w:r>
        <w:t xml:space="preserve">,</w:t>
      </w:r>
      <w:r>
        <w:t xml:space="preserve"> </w:t>
      </w:r>
      <w:r>
        <w:rPr>
          <w:rStyle w:val="VerbatimChar"/>
        </w:rPr>
        <w:t xml:space="preserve">shape</w:t>
      </w:r>
      <w:r>
        <w:t xml:space="preserve">,</w:t>
      </w:r>
      <w:r>
        <w:t xml:space="preserve"> </w:t>
      </w:r>
      <w:r>
        <w:rPr>
          <w:rStyle w:val="VerbatimChar"/>
        </w:rPr>
        <w:t xml:space="preserve">n_values</w:t>
      </w:r>
    </w:p>
    <w:bookmarkEnd w:id="19"/>
    <w:bookmarkEnd w:id="20"/>
    <w:bookmarkStart w:id="26" w:name="sec:experiments"/>
    <w:p>
      <w:pPr>
        <w:pStyle w:val="Heading1"/>
      </w:pPr>
      <w:r>
        <w:t xml:space="preserve">Experiments</w:t>
      </w:r>
    </w:p>
    <w:p>
      <w:pPr>
        <w:pStyle w:val="FirstParagraph"/>
      </w:pPr>
      <w:r>
        <w:t xml:space="preserve">All experiments use NumPy on CPU with random Gaussian tensors matching</w:t>
      </w:r>
      <w:r>
        <w:t xml:space="preserve"> </w:t>
      </w:r>
      <w:r>
        <w:t xml:space="preserve">real model dimensions. We report mean cosine similarity and MSE between</w:t>
      </w:r>
      <w:r>
        <w:t xml:space="preserve"> </w:t>
      </w:r>
      <w:r>
        <w:t xml:space="preserve">original and reconstructed tensors.</w:t>
      </w:r>
    </w:p>
    <w:bookmarkStart w:id="21" w:name="tab:quality"/>
    <w:p>
      <w:pPr>
        <w:pStyle w:val="TableCaption"/>
      </w:pPr>
      <w:r>
        <w:t xml:space="preserve">Compression quality for head_dim=256, n_heads=16, seq_len=2048.</w:t>
      </w:r>
    </w:p>
    <w:tbl>
      <w:tblPr>
        <w:tblStyle w:val="Table"/>
        <w:tblW w:type="auto" w:w="0"/>
        <w:tblLook w:firstRow="1" w:lastRow="0" w:firstColumn="0" w:lastColumn="0" w:noHBand="0" w:noVBand="0" w:val="0020"/>
        <w:tblCaption w:val="Compression quality for head_dim=256, n_heads=16, seq_len=2048."/>
      </w:tblPr>
      <w:tblGrid>
        <w:gridCol w:w="1980"/>
        <w:gridCol w:w="1980"/>
        <w:gridCol w:w="1980"/>
        <w:gridCol w:w="1980"/>
      </w:tblGrid>
      <w:tr>
        <w:trPr>
          <w:tblHeader w:val="on"/>
        </w:trPr>
        <w:tc>
          <w:tcPr/>
          <w:p>
            <w:pPr>
              <w:pStyle w:val="Compact"/>
              <w:jc w:val="center"/>
            </w:pPr>
            <w:r>
              <w:t xml:space="preserve">Bits</w:t>
            </w:r>
          </w:p>
        </w:tc>
        <w:tc>
          <w:tcPr/>
          <w:p>
            <w:pPr>
              <w:pStyle w:val="Compact"/>
              <w:jc w:val="center"/>
            </w:pPr>
            <w:r>
              <w:t xml:space="preserve">Compression Ratio</w:t>
            </w:r>
          </w:p>
        </w:tc>
        <w:tc>
          <w:tcPr/>
          <w:p>
            <w:pPr>
              <w:pStyle w:val="Compact"/>
              <w:jc w:val="center"/>
            </w:pPr>
            <w:r>
              <w:t xml:space="preserve">Cosine Similarity</w:t>
            </w:r>
          </w:p>
        </w:tc>
        <w:tc>
          <w:tcPr/>
          <w:p>
            <w:pPr>
              <w:pStyle w:val="Compact"/>
              <w:jc w:val="center"/>
            </w:pPr>
            <w:r>
              <w:t xml:space="preserve">MSE</w:t>
            </w:r>
          </w:p>
        </w:tc>
      </w:tr>
      <w:tr>
        <w:tc>
          <w:tcPr/>
          <w:p>
            <w:pPr>
              <w:pStyle w:val="Compact"/>
              <w:jc w:val="center"/>
            </w:pPr>
            <w:r>
              <w:t xml:space="preserve">2</w:t>
            </w:r>
          </w:p>
        </w:tc>
        <w:tc>
          <w:tcPr/>
          <w:p>
            <w:pPr>
              <w:pStyle w:val="Compact"/>
              <w:jc w:val="center"/>
            </w:pPr>
            <w:r>
              <w:t xml:space="preserve">7.5</w:t>
            </w:r>
            <m:oMath>
              <m:r>
                <m:rPr>
                  <m:sty m:val="p"/>
                </m:rPr>
                <m:t>×</m:t>
              </m:r>
            </m:oMath>
          </w:p>
        </w:tc>
        <w:tc>
          <w:tcPr/>
          <w:p>
            <w:pPr>
              <w:pStyle w:val="Compact"/>
              <w:jc w:val="center"/>
            </w:pPr>
            <w:r>
              <w:t xml:space="preserve">0.926</w:t>
            </w:r>
          </w:p>
        </w:tc>
        <w:tc>
          <w:tcPr/>
          <w:p>
            <w:pPr>
              <w:pStyle w:val="Compact"/>
              <w:jc w:val="center"/>
            </w:pPr>
            <w:r>
              <w:t xml:space="preserve">0.001178</w:t>
            </w:r>
          </w:p>
        </w:tc>
      </w:tr>
      <w:tr>
        <w:tc>
          <w:tcPr/>
          <w:p>
            <w:pPr>
              <w:pStyle w:val="Compact"/>
              <w:jc w:val="center"/>
            </w:pPr>
            <w:r>
              <w:t xml:space="preserve">3</w:t>
            </w:r>
          </w:p>
        </w:tc>
        <w:tc>
          <w:tcPr/>
          <w:p>
            <w:pPr>
              <w:pStyle w:val="Compact"/>
              <w:jc w:val="center"/>
            </w:pPr>
            <w:r>
              <w:t xml:space="preserve">5.1</w:t>
            </w:r>
            <m:oMath>
              <m:r>
                <m:rPr>
                  <m:sty m:val="p"/>
                </m:rPr>
                <m:t>×</m:t>
              </m:r>
            </m:oMath>
          </w:p>
        </w:tc>
        <w:tc>
          <w:tcPr/>
          <w:p>
            <w:pPr>
              <w:pStyle w:val="Compact"/>
              <w:jc w:val="center"/>
            </w:pPr>
            <w:r>
              <w:t xml:space="preserve">0.978</w:t>
            </w:r>
          </w:p>
        </w:tc>
        <w:tc>
          <w:tcPr/>
          <w:p>
            <w:pPr>
              <w:pStyle w:val="Compact"/>
              <w:jc w:val="center"/>
            </w:pPr>
            <w:r>
              <w:t xml:space="preserve">0.000349</w:t>
            </w:r>
          </w:p>
        </w:tc>
      </w:tr>
      <w:tr>
        <w:tc>
          <w:tcPr/>
          <w:p>
            <w:pPr>
              <w:pStyle w:val="Compact"/>
              <w:jc w:val="center"/>
            </w:pPr>
            <w:r>
              <w:t xml:space="preserve">4</w:t>
            </w:r>
          </w:p>
        </w:tc>
        <w:tc>
          <w:tcPr/>
          <w:p>
            <w:pPr>
              <w:pStyle w:val="Compact"/>
              <w:jc w:val="center"/>
            </w:pPr>
            <w:r>
              <w:t xml:space="preserve">3.9</w:t>
            </w:r>
            <m:oMath>
              <m:r>
                <m:rPr>
                  <m:sty m:val="p"/>
                </m:rPr>
                <m:t>×</m:t>
              </m:r>
            </m:oMath>
          </w:p>
        </w:tc>
        <w:tc>
          <w:tcPr/>
          <w:p>
            <w:pPr>
              <w:pStyle w:val="Compact"/>
              <w:jc w:val="center"/>
            </w:pPr>
            <w:r>
              <w:t xml:space="preserve">0.995</w:t>
            </w:r>
          </w:p>
        </w:tc>
        <w:tc>
          <w:tcPr/>
          <w:p>
            <w:pPr>
              <w:pStyle w:val="Compact"/>
              <w:jc w:val="center"/>
            </w:pPr>
            <w:r>
              <w:t xml:space="preserve">0.000082</w:t>
            </w:r>
          </w:p>
        </w:tc>
      </w:tr>
    </w:tbl>
    <w:bookmarkEnd w:id="21"/>
    <w:bookmarkStart w:id="22" w:name="tab:memory"/>
    <w:p>
      <w:pPr>
        <w:pStyle w:val="TableCaption"/>
      </w:pPr>
      <w:r>
        <w:t xml:space="preserve">KV cache memory estimates for popular models (3-bit, packed, 8K context).</w:t>
      </w:r>
    </w:p>
    <w:tbl>
      <w:tblPr>
        <w:tblStyle w:val="Table"/>
        <w:tblW w:type="auto" w:w="0"/>
        <w:tblLook w:firstRow="1" w:lastRow="0" w:firstColumn="0" w:lastColumn="0" w:noHBand="0" w:noVBand="0" w:val="0020"/>
        <w:tblCaption w:val="KV cache memory estimates for popular models (3-bit, packed, 8K context)."/>
      </w:tblPr>
      <w:tblGrid>
        <w:gridCol w:w="1584"/>
        <w:gridCol w:w="1584"/>
        <w:gridCol w:w="1584"/>
        <w:gridCol w:w="1584"/>
        <w:gridCol w:w="1584"/>
      </w:tblGrid>
      <w:tr>
        <w:trPr>
          <w:tblHeader w:val="on"/>
        </w:trPr>
        <w:tc>
          <w:tcPr/>
          <w:p>
            <w:pPr>
              <w:pStyle w:val="Compact"/>
              <w:jc w:val="left"/>
            </w:pPr>
            <w:r>
              <w:t xml:space="preserve">Model</w:t>
            </w:r>
          </w:p>
        </w:tc>
        <w:tc>
          <w:tcPr/>
          <w:p>
            <w:pPr>
              <w:pStyle w:val="Compact"/>
              <w:jc w:val="center"/>
            </w:pPr>
            <w:r>
              <w:t xml:space="preserve">Original (GB)</w:t>
            </w:r>
          </w:p>
        </w:tc>
        <w:tc>
          <w:tcPr/>
          <w:p>
            <w:pPr>
              <w:pStyle w:val="Compact"/>
              <w:jc w:val="center"/>
            </w:pPr>
            <w:r>
              <w:t xml:space="preserve">Compressed (GB)</w:t>
            </w:r>
          </w:p>
        </w:tc>
        <w:tc>
          <w:tcPr/>
          <w:p>
            <w:pPr>
              <w:pStyle w:val="Compact"/>
              <w:jc w:val="center"/>
            </w:pPr>
            <w:r>
              <w:t xml:space="preserve">Saved (GB)</w:t>
            </w:r>
          </w:p>
        </w:tc>
        <w:tc>
          <w:tcPr/>
          <w:p>
            <w:pPr>
              <w:pStyle w:val="Compact"/>
              <w:jc w:val="center"/>
            </w:pPr>
            <w:r>
              <w:t xml:space="preserve">Ratio</w:t>
            </w:r>
          </w:p>
        </w:tc>
      </w:tr>
      <w:tr>
        <w:tc>
          <w:tcPr/>
          <w:p>
            <w:pPr>
              <w:pStyle w:val="Compact"/>
              <w:jc w:val="left"/>
            </w:pPr>
            <w:r>
              <w:t xml:space="preserve">Llama 3.1 8B</w:t>
            </w:r>
          </w:p>
        </w:tc>
        <w:tc>
          <w:tcPr/>
          <w:p>
            <w:pPr>
              <w:pStyle w:val="Compact"/>
              <w:jc w:val="center"/>
            </w:pPr>
            <w:r>
              <w:t xml:space="preserve">0.500</w:t>
            </w:r>
          </w:p>
        </w:tc>
        <w:tc>
          <w:tcPr/>
          <w:p>
            <w:pPr>
              <w:pStyle w:val="Compact"/>
              <w:jc w:val="center"/>
            </w:pPr>
            <w:r>
              <w:t xml:space="preserve">0.098</w:t>
            </w:r>
          </w:p>
        </w:tc>
        <w:tc>
          <w:tcPr/>
          <w:p>
            <w:pPr>
              <w:pStyle w:val="Compact"/>
              <w:jc w:val="center"/>
            </w:pPr>
            <w:r>
              <w:t xml:space="preserve">0.402</w:t>
            </w:r>
          </w:p>
        </w:tc>
        <w:tc>
          <w:tcPr/>
          <w:p>
            <w:pPr>
              <w:pStyle w:val="Compact"/>
              <w:jc w:val="center"/>
            </w:pPr>
            <w:r>
              <w:t xml:space="preserve">5.1</w:t>
            </w:r>
            <m:oMath>
              <m:r>
                <m:rPr>
                  <m:sty m:val="p"/>
                </m:rPr>
                <m:t>×</m:t>
              </m:r>
            </m:oMath>
          </w:p>
        </w:tc>
      </w:tr>
      <w:tr>
        <w:tc>
          <w:tcPr/>
          <w:p>
            <w:pPr>
              <w:pStyle w:val="Compact"/>
              <w:jc w:val="left"/>
            </w:pPr>
            <w:r>
              <w:t xml:space="preserve">Llama 3.1 70B</w:t>
            </w:r>
          </w:p>
        </w:tc>
        <w:tc>
          <w:tcPr/>
          <w:p>
            <w:pPr>
              <w:pStyle w:val="Compact"/>
              <w:jc w:val="center"/>
            </w:pPr>
            <w:r>
              <w:t xml:space="preserve">1.250</w:t>
            </w:r>
          </w:p>
        </w:tc>
        <w:tc>
          <w:tcPr/>
          <w:p>
            <w:pPr>
              <w:pStyle w:val="Compact"/>
              <w:jc w:val="center"/>
            </w:pPr>
            <w:r>
              <w:t xml:space="preserve">0.244</w:t>
            </w:r>
          </w:p>
        </w:tc>
        <w:tc>
          <w:tcPr/>
          <w:p>
            <w:pPr>
              <w:pStyle w:val="Compact"/>
              <w:jc w:val="center"/>
            </w:pPr>
            <w:r>
              <w:t xml:space="preserve">1.006</w:t>
            </w:r>
          </w:p>
        </w:tc>
        <w:tc>
          <w:tcPr/>
          <w:p>
            <w:pPr>
              <w:pStyle w:val="Compact"/>
              <w:jc w:val="center"/>
            </w:pPr>
            <w:r>
              <w:t xml:space="preserve">5.1</w:t>
            </w:r>
            <m:oMath>
              <m:r>
                <m:rPr>
                  <m:sty m:val="p"/>
                </m:rPr>
                <m:t>×</m:t>
              </m:r>
            </m:oMath>
          </w:p>
        </w:tc>
      </w:tr>
      <w:tr>
        <w:tc>
          <w:tcPr/>
          <w:p>
            <w:pPr>
              <w:pStyle w:val="Compact"/>
              <w:jc w:val="left"/>
            </w:pPr>
            <w:r>
              <w:t xml:space="preserve">Gemma 4 27B</w:t>
            </w:r>
          </w:p>
        </w:tc>
        <w:tc>
          <w:tcPr/>
          <w:p>
            <w:pPr>
              <w:pStyle w:val="Compact"/>
              <w:jc w:val="center"/>
            </w:pPr>
            <w:r>
              <w:t xml:space="preserve">1.125</w:t>
            </w:r>
          </w:p>
        </w:tc>
        <w:tc>
          <w:tcPr/>
          <w:p>
            <w:pPr>
              <w:pStyle w:val="Compact"/>
              <w:jc w:val="center"/>
            </w:pPr>
            <w:r>
              <w:t xml:space="preserve">0.220</w:t>
            </w:r>
          </w:p>
        </w:tc>
        <w:tc>
          <w:tcPr/>
          <w:p>
            <w:pPr>
              <w:pStyle w:val="Compact"/>
              <w:jc w:val="center"/>
            </w:pPr>
            <w:r>
              <w:t xml:space="preserve">0.905</w:t>
            </w:r>
          </w:p>
        </w:tc>
        <w:tc>
          <w:tcPr/>
          <w:p>
            <w:pPr>
              <w:pStyle w:val="Compact"/>
              <w:jc w:val="center"/>
            </w:pPr>
            <w:r>
              <w:t xml:space="preserve">5.1</w:t>
            </w:r>
            <m:oMath>
              <m:r>
                <m:rPr>
                  <m:sty m:val="p"/>
                </m:rPr>
                <m:t>×</m:t>
              </m:r>
            </m:oMath>
          </w:p>
        </w:tc>
      </w:tr>
      <w:tr>
        <w:tc>
          <w:tcPr/>
          <w:p>
            <w:pPr>
              <w:pStyle w:val="Compact"/>
              <w:jc w:val="left"/>
            </w:pPr>
            <w:r>
              <w:t xml:space="preserve">Mistral 7B</w:t>
            </w:r>
          </w:p>
        </w:tc>
        <w:tc>
          <w:tcPr/>
          <w:p>
            <w:pPr>
              <w:pStyle w:val="Compact"/>
              <w:jc w:val="center"/>
            </w:pPr>
            <w:r>
              <w:t xml:space="preserve">2.000</w:t>
            </w:r>
          </w:p>
        </w:tc>
        <w:tc>
          <w:tcPr/>
          <w:p>
            <w:pPr>
              <w:pStyle w:val="Compact"/>
              <w:jc w:val="center"/>
            </w:pPr>
            <w:r>
              <w:t xml:space="preserve">0.391</w:t>
            </w:r>
          </w:p>
        </w:tc>
        <w:tc>
          <w:tcPr/>
          <w:p>
            <w:pPr>
              <w:pStyle w:val="Compact"/>
              <w:jc w:val="center"/>
            </w:pPr>
            <w:r>
              <w:t xml:space="preserve">1.609</w:t>
            </w:r>
          </w:p>
        </w:tc>
        <w:tc>
          <w:tcPr/>
          <w:p>
            <w:pPr>
              <w:pStyle w:val="Compact"/>
              <w:jc w:val="center"/>
            </w:pPr>
            <w:r>
              <w:t xml:space="preserve">5.1</w:t>
            </w:r>
            <m:oMath>
              <m:r>
                <m:rPr>
                  <m:sty m:val="p"/>
                </m:rPr>
                <m:t>×</m:t>
              </m:r>
            </m:oMath>
          </w:p>
        </w:tc>
      </w:tr>
    </w:tbl>
    <w:bookmarkEnd w:id="22"/>
    <w:bookmarkStart w:id="23" w:name="quality-vs.-bit-width."/>
    <w:p>
      <w:pPr>
        <w:pStyle w:val="Heading4"/>
      </w:pPr>
      <w:r>
        <w:t xml:space="preserve">Quality vs. Bit Width.</w:t>
      </w:r>
    </w:p>
    <w:p>
      <w:pPr>
        <w:pStyle w:val="FirstParagraph"/>
      </w:pPr>
      <w:r>
        <w:t xml:space="preserve">Table </w:t>
      </w:r>
      <w:hyperlink w:anchor="tab:quality">
        <w:r>
          <w:rPr>
            <w:rStyle w:val="Hyperlink"/>
          </w:rPr>
          <w:t xml:space="preserve">1</w:t>
        </w:r>
      </w:hyperlink>
      <w:r>
        <w:t xml:space="preserve"> </w:t>
      </w:r>
      <w:r>
        <w:t xml:space="preserve">shows that 3-bit quantization provides an</w:t>
      </w:r>
      <w:r>
        <w:t xml:space="preserve"> </w:t>
      </w:r>
      <w:r>
        <w:t xml:space="preserve">excellent quality–compression trade-off: 5.1</w:t>
      </w:r>
      <m:oMath>
        <m:r>
          <m:rPr>
            <m:sty m:val="p"/>
          </m:rPr>
          <m:t>×</m:t>
        </m:r>
      </m:oMath>
      <w:r>
        <w:t xml:space="preserve"> </w:t>
      </w:r>
      <w:r>
        <w:t xml:space="preserve">compression with</w:t>
      </w:r>
      <w:r>
        <w:t xml:space="preserve"> </w:t>
      </w:r>
      <w:r>
        <w:t xml:space="preserve">only 2.2% cosine similarity loss. 4-bit provides near-lossless</w:t>
      </w:r>
      <w:r>
        <w:t xml:space="preserve"> </w:t>
      </w:r>
      <w:r>
        <w:t xml:space="preserve">reconstruction (0.995 cosine similarity) at 3.9</w:t>
      </w:r>
      <m:oMath>
        <m:r>
          <m:rPr>
            <m:sty m:val="p"/>
          </m:rPr>
          <m:t>×</m:t>
        </m:r>
      </m:oMath>
      <w:r>
        <w:t xml:space="preserve"> </w:t>
      </w:r>
      <w:r>
        <w:t xml:space="preserve">compression.</w:t>
      </w:r>
      <w:r>
        <w:t xml:space="preserve"> </w:t>
      </w:r>
      <w:r>
        <w:t xml:space="preserve">2-bit is suitable for applications where memory is extremely constrained</w:t>
      </w:r>
      <w:r>
        <w:t xml:space="preserve"> </w:t>
      </w:r>
      <w:r>
        <w:t xml:space="preserve">and moderate quality loss is acceptable.</w:t>
      </w:r>
    </w:p>
    <w:bookmarkEnd w:id="23"/>
    <w:bookmarkStart w:id="24" w:name="scaling-with-context-length."/>
    <w:p>
      <w:pPr>
        <w:pStyle w:val="Heading4"/>
      </w:pPr>
      <w:r>
        <w:t xml:space="preserve">Scaling with Context Length.</w:t>
      </w:r>
    </w:p>
    <w:p>
      <w:pPr>
        <w:pStyle w:val="FirstParagraph"/>
      </w:pPr>
      <w:r>
        <w:t xml:space="preserve">The compression ratio is determined by the bit width and head dimension,</w:t>
      </w:r>
      <w:r>
        <w:t xml:space="preserve"> </w:t>
      </w:r>
      <w:r>
        <w:t xml:space="preserve">not the context length. Memory savings scale linearly with sequence</w:t>
      </w:r>
      <w:r>
        <w:t xml:space="preserve"> </w:t>
      </w:r>
      <w:r>
        <w:t xml:space="preserve">length: at 32K context, Llama 3.1 8B saves 1.6 GB of VRAM.</w:t>
      </w:r>
    </w:p>
    <w:bookmarkEnd w:id="24"/>
    <w:bookmarkStart w:id="25" w:name="streaming-cache-overhead."/>
    <w:p>
      <w:pPr>
        <w:pStyle w:val="Heading4"/>
      </w:pPr>
      <w:r>
        <w:t xml:space="preserve">Streaming Cache Overhead.</w:t>
      </w:r>
    </w:p>
    <w:p>
      <w:pPr>
        <w:pStyle w:val="FirstParagraph"/>
      </w:pPr>
      <w:r>
        <w:t xml:space="preserve">The L1/L2 tiered cache adds minimal overhead. With a hot window of 512</w:t>
      </w:r>
      <w:r>
        <w:t xml:space="preserve"> </w:t>
      </w:r>
      <w:r>
        <w:t xml:space="preserve">tokens and 4096 total tokens, the effective compression ratio is</w:t>
      </w:r>
      <w:r>
        <w:t xml:space="preserve"> </w:t>
      </w:r>
      <w:r>
        <w:t xml:space="preserve">approximately 4.2</w:t>
      </w:r>
      <m:oMath>
        <m:r>
          <m:rPr>
            <m:sty m:val="p"/>
          </m:rPr>
          <m:t>×</m:t>
        </m:r>
      </m:oMath>
      <w:r>
        <w:t xml:space="preserve"> </w:t>
      </w:r>
      <w:r>
        <w:t xml:space="preserve">(reduced from 5.1</w:t>
      </w:r>
      <m:oMath>
        <m:r>
          <m:rPr>
            <m:sty m:val="p"/>
          </m:rPr>
          <m:t>×</m:t>
        </m:r>
      </m:oMath>
      <w:r>
        <w:t xml:space="preserve"> </w:t>
      </w:r>
      <w:r>
        <w:t xml:space="preserve">by the uncompressed</w:t>
      </w:r>
      <w:r>
        <w:t xml:space="preserve"> </w:t>
      </w:r>
      <w:r>
        <w:t xml:space="preserve">hot window), and the per-token append latency is dominated by the</w:t>
      </w:r>
      <w:r>
        <w:t xml:space="preserve"> </w:t>
      </w:r>
      <w:r>
        <w:t xml:space="preserve">periodic batch compression of flushed tokens.</w:t>
      </w:r>
    </w:p>
    <w:bookmarkEnd w:id="25"/>
    <w:bookmarkEnd w:id="26"/>
    <w:bookmarkStart w:id="30" w:name="sec:integration"/>
    <w:p>
      <w:pPr>
        <w:pStyle w:val="Heading1"/>
      </w:pPr>
      <w:r>
        <w:t xml:space="preserve">Integration</w:t>
      </w:r>
    </w:p>
    <w:p>
      <w:pPr>
        <w:pStyle w:val="FirstParagraph"/>
      </w:pPr>
      <w:r>
        <w:t xml:space="preserve">We provide three integration pathways:</w:t>
      </w:r>
    </w:p>
    <w:bookmarkStart w:id="27" w:name="llama.cpp-llama-cpp-python."/>
    <w:p>
      <w:pPr>
        <w:pStyle w:val="Heading4"/>
      </w:pPr>
      <w:r>
        <w:t xml:space="preserve">llama.cpp / llama-cpp-python.</w:t>
      </w:r>
    </w:p>
    <w:p>
      <w:pPr>
        <w:pStyle w:val="FirstParagraph"/>
      </w:pPr>
      <w:r>
        <w:t xml:space="preserve">The Python wrapper pattern intercepts KV tensors after each forward pass</w:t>
      </w:r>
      <w:r>
        <w:t xml:space="preserve"> </w:t>
      </w:r>
      <w:r>
        <w:t xml:space="preserve">and stores them in a</w:t>
      </w:r>
      <w:r>
        <w:t xml:space="preserve"> </w:t>
      </w:r>
      <w:r>
        <w:rPr>
          <w:rStyle w:val="VerbatimChar"/>
        </w:rPr>
        <w:t xml:space="preserve">TurboQuantKVCache</w:t>
      </w:r>
      <w:r>
        <w:t xml:space="preserve">. For production</w:t>
      </w:r>
      <w:r>
        <w:t xml:space="preserve"> </w:t>
      </w:r>
      <w:r>
        <w:t xml:space="preserve">deployment, the CUDA kernels can be compiled into a C extension callable</w:t>
      </w:r>
      <w:r>
        <w:t xml:space="preserve"> </w:t>
      </w:r>
      <w:r>
        <w:t xml:space="preserve">from the llama.cpp C++ codebase.</w:t>
      </w:r>
    </w:p>
    <w:bookmarkEnd w:id="27"/>
    <w:bookmarkStart w:id="28" w:name="vllm."/>
    <w:p>
      <w:pPr>
        <w:pStyle w:val="Heading4"/>
      </w:pPr>
      <w:r>
        <w:t xml:space="preserve">vLLM.</w:t>
      </w:r>
    </w:p>
    <w:p>
      <w:pPr>
        <w:pStyle w:val="FirstParagraph"/>
      </w:pPr>
      <w:r>
        <w:t xml:space="preserve">TurboQuant Pro can compress cold KV pages in vLLM’s PagedAttention,</w:t>
      </w:r>
      <w:r>
        <w:t xml:space="preserve"> </w:t>
      </w:r>
      <w:r>
        <w:t xml:space="preserve">reducing GPU memory pressure and enabling larger batch sizes.</w:t>
      </w:r>
    </w:p>
    <w:bookmarkEnd w:id="28"/>
    <w:bookmarkStart w:id="29" w:name="huggingface-transformers."/>
    <w:p>
      <w:pPr>
        <w:pStyle w:val="Heading4"/>
      </w:pPr>
      <w:r>
        <w:t xml:space="preserve">HuggingFace Transformers.</w:t>
      </w:r>
    </w:p>
    <w:p>
      <w:pPr>
        <w:pStyle w:val="FirstParagraph"/>
      </w:pPr>
      <w:r>
        <w:t xml:space="preserve">By subclassing the attention module, users can override the KV cache</w:t>
      </w:r>
      <w:r>
        <w:t xml:space="preserve"> </w:t>
      </w:r>
      <w:r>
        <w:t xml:space="preserve">update to store compressed tensors.</w:t>
      </w:r>
    </w:p>
    <w:bookmarkEnd w:id="29"/>
    <w:bookmarkEnd w:id="30"/>
    <w:bookmarkStart w:id="32" w:name="sec:conclusion"/>
    <w:p>
      <w:pPr>
        <w:pStyle w:val="Heading1"/>
      </w:pPr>
      <w:r>
        <w:t xml:space="preserve">Conclusion</w:t>
      </w:r>
    </w:p>
    <w:p>
      <w:pPr>
        <w:pStyle w:val="FirstParagraph"/>
      </w:pPr>
      <w:r>
        <w:t xml:space="preserve">TurboQuant Pro provides the first publicly available implementation of</w:t>
      </w:r>
      <w:r>
        <w:t xml:space="preserve"> </w:t>
      </w:r>
      <w:r>
        <w:t xml:space="preserve">Zandieh et al.’s TurboQuant algorithm for KV cache compression.</w:t>
      </w:r>
      <w:r>
        <w:t xml:space="preserve"> </w:t>
      </w:r>
      <w:r>
        <w:t xml:space="preserve">Our implementation achieves 5.1</w:t>
      </w:r>
      <m:oMath>
        <m:r>
          <m:rPr>
            <m:sty m:val="p"/>
          </m:rPr>
          <m:t>×</m:t>
        </m:r>
      </m:oMath>
      <w:r>
        <w:t xml:space="preserve"> </w:t>
      </w:r>
      <w:r>
        <w:t xml:space="preserve">memory reduction at 0.978 cosine</w:t>
      </w:r>
      <w:r>
        <w:t xml:space="preserve"> </w:t>
      </w:r>
      <w:r>
        <w:t xml:space="preserve">similarity with 3-bit quantization, runs on consumer Volta-class GPUs,</w:t>
      </w:r>
      <w:r>
        <w:t xml:space="preserve"> </w:t>
      </w:r>
      <w:r>
        <w:t xml:space="preserve">and includes a streaming tiered cache for autoregressive generation.</w:t>
      </w:r>
    </w:p>
    <w:p>
      <w:pPr>
        <w:pStyle w:val="BodyText"/>
      </w:pPr>
      <w:r>
        <w:t xml:space="preserve">The novelty of this work lies in the engineering: a production-ready</w:t>
      </w:r>
      <w:r>
        <w:t xml:space="preserve"> </w:t>
      </w:r>
      <w:r>
        <w:t xml:space="preserve">implementation with CUDA kernels, the streaming two-tier cache design,</w:t>
      </w:r>
      <w:r>
        <w:t xml:space="preserve"> </w:t>
      </w:r>
      <w:r>
        <w:t xml:space="preserve">and integration examples for major inference frameworks. The algorithm</w:t>
      </w:r>
      <w:r>
        <w:t xml:space="preserve"> </w:t>
      </w:r>
      <w:r>
        <w:t xml:space="preserve">itself is due entirely to Zandieh et al.</w:t>
      </w:r>
    </w:p>
    <w:p>
      <w:pPr>
        <w:pStyle w:val="BodyText"/>
      </w:pPr>
      <w:r>
        <w:t xml:space="preserve">The package is available under the MIT license at</w:t>
      </w:r>
      <w:r>
        <w:t xml:space="preserve"> </w:t>
      </w:r>
      <w:hyperlink r:id="rId9">
        <w:r>
          <w:rPr>
            <w:rStyle w:val="Hyperlink"/>
          </w:rPr>
          <w:t xml:space="preserve">https://github.com/ahb-sjsu/turboquant-pro</w:t>
        </w:r>
      </w:hyperlink>
      <w:r>
        <w:t xml:space="preserve">.</w:t>
      </w:r>
    </w:p>
    <w:bookmarkStart w:id="31" w:name="limitations."/>
    <w:p>
      <w:pPr>
        <w:pStyle w:val="Heading4"/>
      </w:pPr>
      <w:r>
        <w:t xml:space="preserve">Limitations.</w:t>
      </w:r>
    </w:p>
    <w:p>
      <w:pPr>
        <w:pStyle w:val="FirstParagraph"/>
      </w:pPr>
      <w:r>
        <w:t xml:space="preserve">Our benchmarks use synthetic Gaussian data; quality on real model</w:t>
      </w:r>
      <w:r>
        <w:t xml:space="preserve"> </w:t>
      </w:r>
      <w:r>
        <w:t xml:space="preserve">activations (which may not be perfectly Gaussian after rotation) should</w:t>
      </w:r>
      <w:r>
        <w:t xml:space="preserve"> </w:t>
      </w:r>
      <w:r>
        <w:t xml:space="preserve">be validated per model. The current implementation does not include</w:t>
      </w:r>
      <w:r>
        <w:t xml:space="preserve"> </w:t>
      </w:r>
      <w:r>
        <w:t xml:space="preserve">per-channel or per-head adaptive bit widths, which could improve the</w:t>
      </w:r>
      <w:r>
        <w:t xml:space="preserve"> </w:t>
      </w:r>
      <w:r>
        <w:t xml:space="preserve">quality–compression trade-off.</w:t>
      </w:r>
    </w:p>
    <w:p>
      <w:pPr>
        <w:pStyle w:val="BodyText"/>
      </w:pPr>
      <w:r>
        <w:t xml:space="preserve">1</w:t>
      </w:r>
    </w:p>
    <w:p>
      <w:pPr>
        <w:pStyle w:val="BodyText"/>
      </w:pPr>
      <w:r>
        <w:t xml:space="preserve">Amir Zandieh, Majid Daliri, Majid Hadian, and Vahab Mirrokni.</w:t>
      </w:r>
      <w:r>
        <w:t xml:space="preserve"> </w:t>
      </w:r>
      <w:r>
        <w:t xml:space="preserve">TurboQuant: Online vector quantization with near-optimal distortion rate.</w:t>
      </w:r>
      <w:r>
        <w:t xml:space="preserve"> </w:t>
      </w:r>
      <w:r>
        <w:t xml:space="preserve">In</w:t>
      </w:r>
      <w:r>
        <w:t xml:space="preserve"> </w:t>
      </w:r>
      <w:r>
        <w:rPr>
          <w:i/>
          <w:iCs/>
        </w:rPr>
        <w:t xml:space="preserve">International Conference on Learning Representations</w:t>
      </w:r>
      <w:r>
        <w:rPr>
          <w:i/>
          <w:iCs/>
        </w:rPr>
        <w:t xml:space="preserve"> </w:t>
      </w:r>
      <w:r>
        <w:rPr>
          <w:i/>
          <w:iCs/>
        </w:rPr>
        <w:t xml:space="preserve">(ICLR)</w:t>
      </w:r>
      <w:r>
        <w:t xml:space="preserve">, 2026. arXiv:2504.19874.</w:t>
      </w:r>
    </w:p>
    <w:p>
      <w:pPr>
        <w:pStyle w:val="BodyText"/>
      </w:pPr>
      <w:r>
        <w:t xml:space="preserve">Insu Han, Praneeth Kacham, Amin Karbasi, Vahab Mirrokni, and Amir Zandieh.</w:t>
      </w:r>
      <w:r>
        <w:t xml:space="preserve"> </w:t>
      </w:r>
      <w:r>
        <w:t xml:space="preserve">PolarQuant: Quantizing KV caches with polar transformation.</w:t>
      </w:r>
      <w:r>
        <w:t xml:space="preserve"> </w:t>
      </w:r>
      <w:r>
        <w:t xml:space="preserve">arXiv:2502.02617, 2025.</w:t>
      </w:r>
    </w:p>
    <w:p>
      <w:pPr>
        <w:pStyle w:val="BodyText"/>
      </w:pPr>
      <w:r>
        <w:t xml:space="preserve">Amir Zandieh, Majid Daliri, and Insu Han.</w:t>
      </w:r>
      <w:r>
        <w:t xml:space="preserve"> </w:t>
      </w:r>
      <w:r>
        <w:t xml:space="preserve">QJL: 1-bit quantized JL transform for KV cache quantization with zero</w:t>
      </w:r>
      <w:r>
        <w:t xml:space="preserve"> </w:t>
      </w:r>
      <w:r>
        <w:t xml:space="preserve">overhead.</w:t>
      </w:r>
      <w:r>
        <w:t xml:space="preserve"> </w:t>
      </w:r>
      <w:r>
        <w:t xml:space="preserve">In</w:t>
      </w:r>
      <w:r>
        <w:t xml:space="preserve"> </w:t>
      </w:r>
      <w:r>
        <w:rPr>
          <w:i/>
          <w:iCs/>
        </w:rPr>
        <w:t xml:space="preserve">AAAI Conference on Artificial Intelligence</w:t>
      </w:r>
      <w:r>
        <w:t xml:space="preserve">, 2025.</w:t>
      </w:r>
      <w:r>
        <w:t xml:space="preserve"> </w:t>
      </w:r>
      <w:r>
        <w:t xml:space="preserve">arXiv:2406.03482.</w:t>
      </w:r>
    </w:p>
    <w:p>
      <w:pPr>
        <w:pStyle w:val="BodyText"/>
      </w:pPr>
      <w:r>
        <w:t xml:space="preserve">Stuart Lloyd.</w:t>
      </w:r>
      <w:r>
        <w:t xml:space="preserve"> </w:t>
      </w:r>
      <w:r>
        <w:t xml:space="preserve">Least squares quantization in PCM.</w:t>
      </w:r>
      <w:r>
        <w:t xml:space="preserve"> </w:t>
      </w:r>
      <w:r>
        <w:rPr>
          <w:i/>
          <w:iCs/>
        </w:rPr>
        <w:t xml:space="preserve">IEEE Transactions on Information Theory</w:t>
      </w:r>
      <w:r>
        <w:t xml:space="preserve">,</w:t>
      </w:r>
      <w:r>
        <w:t xml:space="preserve"> </w:t>
      </w:r>
      <w:r>
        <w:t xml:space="preserve">28(2):129–137, 1982.</w:t>
      </w:r>
    </w:p>
    <w:p>
      <w:pPr>
        <w:pStyle w:val="BodyText"/>
      </w:pPr>
      <w:r>
        <w:t xml:space="preserve">Joel Max.</w:t>
      </w:r>
      <w:r>
        <w:t xml:space="preserve"> </w:t>
      </w:r>
      <w:r>
        <w:t xml:space="preserve">Quantizing for minimum distortion.</w:t>
      </w:r>
      <w:r>
        <w:t xml:space="preserve"> </w:t>
      </w:r>
      <w:r>
        <w:rPr>
          <w:i/>
          <w:iCs/>
        </w:rPr>
        <w:t xml:space="preserve">IRE Transactions on Information Theory</w:t>
      </w:r>
      <w:r>
        <w:t xml:space="preserve">,</w:t>
      </w:r>
      <w:r>
        <w:t xml:space="preserve"> </w:t>
      </w:r>
      <w:r>
        <w:t xml:space="preserve">6(1):7–12, 1960.</w:t>
      </w:r>
    </w:p>
    <w:bookmarkEnd w:id="31"/>
    <w:bookmarkEnd w:id="32"/>
    <w:sectPr>
      <w:footnotePr>
        <w:numRestart w:val="eachSect"/>
      </w:footnotePr>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r="http://schemas.openxmlformats.org/officeDocument/2006/relationships" xmlns:w="http://schemas.openxmlformats.org/wordprocessingml/2006/main">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numbering.xml><?xml version="1.0" encoding="utf-8"?>
<w:numbering xmlns:w="http://schemas.openxmlformats.org/wordprocessingml/2006/main">
  <w:abstractNum w:abstractNumId="990">
    <w:nsid w:val="0000A990"/>
    <w:multiLevelType w:val="multilevel"/>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abstractNum w:abstractNumId="991">
    <w:nsid w:val="0000A991"/>
    <w:multiLevelType w:val="multilevel"/>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num w:numId="1000">
    <w:abstractNumId w:val="990"/>
  </w:num>
  <w:num w:numId="1001">
    <w:abstractNumId w:val="991"/>
  </w:num>
  <w:num w:numId="1002">
    <w:abstractNumId w:val="991"/>
  </w:num>
  <w:num w:numId="1003">
    <w:abstractNumId w:val="991"/>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00"/>
  <w:embedSystemFonts/>
  <w:proofState w:grammar="clean" w:spelling="clean"/>
  <w:stylePaneFormatFilter w:val="0004"/>
  <w:doNotTrackMoves/>
  <w:defaultTabStop w:val="720"/>
  <w:drawingGridHorizontalSpacing w:val="360"/>
  <w:drawingGridVerticalSpacing w:val="360"/>
  <w:displayHorizontalDrawingGridEvery w:val="0"/>
  <w:displayVerticalDrawingGridEvery w:val="0"/>
  <w:characterSpacingControl w:val="doNotCompress"/>
  <w:savePreviewPicture/>
  <w:rsids>
  </w:rsids>
  <w:themeFontLang w:val="en-US"/>
  <w:clrSchemeMapping w:accent1="accent1" w:accent2="accent2" w:accent3="accent3" w:accent4="accent4" w:accent5="accent5" w:accent6="accent6" w:bg1="light1" w:bg2="light2" w:followedHyperlink="followedHyperlink" w:hyperlink="hyperlink" w:t1="dark1" w:t2="dark2"/>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cstheme="minorBidi" w:eastAsiaTheme="minorEastAsia" w:hAnsiTheme="minorHAnsi"/>
        <w:sz w:val="24"/>
        <w:szCs w:val="24"/>
        <w:lang w:bidi="ar-SA" w:eastAsia="zh-CN" w:val="en-US"/>
      </w:rPr>
    </w:rPrDefault>
    <w:pPrDefault>
      <w:pPr>
        <w:spacing w:after="200"/>
      </w:pPr>
    </w:pPrDefault>
  </w:docDefaults>
  <w:latentStyles w:count="276" w:defLockedState="0" w:defQFormat="0" w:defSemiHidden="0" w:defUIPriority="0" w:defUnhideWhenUsed="0"/>
  <w:style w:default="1" w:styleId="Normal" w:type="paragraph">
    <w:name w:val="Normal"/>
    <w:qFormat/>
  </w:style>
  <w:style w:styleId="BodyText" w:type="paragraph">
    <w:name w:val="Body Text"/>
    <w:basedOn w:val="Normal"/>
    <w:link w:val="BodyTextChar"/>
    <w:qFormat/>
    <w:pPr>
      <w:spacing w:after="180" w:before="180"/>
    </w:pPr>
  </w:style>
  <w:style w:customStyle="1" w:styleId="FirstParagraph" w:type="paragraph">
    <w:name w:val="First Paragraph"/>
    <w:basedOn w:val="BodyText"/>
    <w:next w:val="BodyText"/>
    <w:qFormat/>
  </w:style>
  <w:style w:customStyle="1" w:styleId="Compact" w:type="paragraph">
    <w:name w:val="Compact"/>
    <w:basedOn w:val="BodyText"/>
    <w:qFormat/>
    <w:pPr>
      <w:spacing w:after="36" w:before="36"/>
    </w:pPr>
  </w:style>
  <w:style w:styleId="Title" w:type="paragraph">
    <w:name w:val="Title"/>
    <w:basedOn w:val="Normal"/>
    <w:next w:val="BodyText"/>
    <w:link w:val="TitleChar"/>
    <w:uiPriority w:val="10"/>
    <w:qFormat/>
    <w:rsid w:val="00A10FD9"/>
    <w:pPr>
      <w:spacing w:after="80" w:line="240" w:lineRule="auto"/>
      <w:contextualSpacing/>
      <w:jc w:val="center"/>
    </w:pPr>
    <w:rPr>
      <w:rFonts w:asciiTheme="majorHAnsi" w:cstheme="majorBidi" w:eastAsiaTheme="majorEastAsia" w:hAnsiTheme="majorHAnsi"/>
      <w:sz w:val="56"/>
      <w:szCs w:val="56"/>
    </w:rPr>
  </w:style>
  <w:style w:customStyle="1" w:styleId="TitleChar" w:type="character">
    <w:name w:val="Title Char"/>
    <w:basedOn w:val="DefaultParagraphFont"/>
    <w:link w:val="Title"/>
    <w:uiPriority w:val="10"/>
    <w:rsid w:val="00A10FD9"/>
    <w:rPr>
      <w:rFonts w:asciiTheme="majorHAnsi" w:cstheme="majorBidi" w:eastAsiaTheme="majorEastAsia" w:hAnsiTheme="majorHAnsi"/>
      <w:sz w:val="56"/>
      <w:szCs w:val="56"/>
    </w:rPr>
  </w:style>
  <w:style w:styleId="Subtitle" w:type="paragraph">
    <w:name w:val="Subtitle"/>
    <w:basedOn w:val="Title"/>
    <w:next w:val="BodyText"/>
    <w:link w:val="SubtitleChar"/>
    <w:uiPriority w:val="11"/>
    <w:qFormat/>
    <w:rsid w:val="00A10FD9"/>
    <w:pPr>
      <w:numPr>
        <w:ilvl w:val="1"/>
      </w:numPr>
    </w:pPr>
    <w:rPr>
      <w:rFonts w:cstheme="majorBidi" w:eastAsiaTheme="majorEastAsia"/>
      <w:spacing w:val="15"/>
      <w:sz w:val="28"/>
      <w:szCs w:val="28"/>
    </w:rPr>
  </w:style>
  <w:style w:customStyle="1" w:styleId="SubtitleChar" w:type="character">
    <w:name w:val="Subtitle Char"/>
    <w:basedOn w:val="DefaultParagraphFont"/>
    <w:link w:val="Subtitle"/>
    <w:uiPriority w:val="11"/>
    <w:rsid w:val="00A10FD9"/>
    <w:rPr>
      <w:rFonts w:cstheme="majorBidi" w:eastAsiaTheme="majorEastAsia"/>
      <w:color w:themeColor="text1" w:themeTint="A6" w:val="595959"/>
      <w:spacing w:val="15"/>
      <w:sz w:val="28"/>
      <w:szCs w:val="28"/>
    </w:rPr>
  </w:style>
  <w:style w:customStyle="1" w:styleId="Author" w:type="paragraph">
    <w:name w:val="Author"/>
    <w:basedOn w:val="Title"/>
    <w:next w:val="BodyText"/>
    <w:qFormat/>
    <w:pPr>
      <w:keepNext/>
      <w:keepLines/>
    </w:pPr>
    <w:rPr>
      <w:sz w:val="24"/>
      <w:szCs w:val="24"/>
    </w:rPr>
  </w:style>
  <w:style w:styleId="Date" w:type="paragraph">
    <w:name w:val="Date"/>
    <w:basedOn w:val="Title"/>
    <w:next w:val="BodyText"/>
    <w:qFormat/>
    <w:pPr>
      <w:keepNext/>
      <w:keepLines/>
    </w:pPr>
    <w:rPr>
      <w:sz w:val="24"/>
      <w:szCs w:val="24"/>
    </w:rPr>
  </w:style>
  <w:style w:customStyle="1" w:styleId="AbstractTitle" w:type="paragraph">
    <w:name w:val="Abstract Title"/>
    <w:basedOn w:val="Normal"/>
    <w:next w:val="Abstract"/>
    <w:qFormat/>
    <w:pPr>
      <w:keepNext/>
      <w:keepLines/>
      <w:spacing w:after="0" w:before="300"/>
      <w:jc w:val="center"/>
    </w:pPr>
    <w:rPr>
      <w:b/>
      <w:sz w:val="20"/>
      <w:szCs w:val="20"/>
    </w:rPr>
  </w:style>
  <w:style w:customStyle="1" w:styleId="Abstract" w:type="paragraph">
    <w:name w:val="Abstract"/>
    <w:basedOn w:val="Normal"/>
    <w:next w:val="BodyText"/>
    <w:qFormat/>
    <w:pPr>
      <w:keepNext/>
      <w:keepLines/>
      <w:spacing w:after="300" w:before="100"/>
    </w:pPr>
    <w:rPr>
      <w:sz w:val="20"/>
      <w:szCs w:val="20"/>
    </w:rPr>
  </w:style>
  <w:style w:styleId="Bibliography" w:type="paragraph">
    <w:name w:val="Bibliography"/>
    <w:basedOn w:val="Normal"/>
    <w:next w:val="Bibliography"/>
    <w:qFormat/>
    <w:pPr/>
    <w:rPr/>
  </w:style>
  <w:style w:styleId="Heading1" w:type="paragraph">
    <w:name w:val="heading 1"/>
    <w:basedOn w:val="Normal"/>
    <w:next w:val="BodyText"/>
    <w:link w:val="Heading1Char"/>
    <w:uiPriority w:val="9"/>
    <w:qFormat/>
    <w:rsid w:val="00A10FD9"/>
    <w:pPr>
      <w:keepNext/>
      <w:keepLines/>
      <w:spacing w:after="80" w:before="360"/>
      <w:outlineLvl w:val="0"/>
    </w:pPr>
    <w:rPr>
      <w:rFonts w:asciiTheme="majorHAnsi" w:cstheme="majorBidi" w:eastAsiaTheme="majorEastAsia" w:hAnsiTheme="majorHAnsi"/>
      <w:color w:themeColor="accent1" w:themeShade="BF" w:val="0F4761"/>
      <w:sz w:val="40"/>
      <w:szCs w:val="40"/>
    </w:rPr>
  </w:style>
  <w:style w:styleId="Heading2" w:type="paragraph">
    <w:name w:val="heading 2"/>
    <w:basedOn w:val="Normal"/>
    <w:next w:val="BodyText"/>
    <w:link w:val="Heading2Char"/>
    <w:uiPriority w:val="9"/>
    <w:semiHidden/>
    <w:unhideWhenUsed/>
    <w:qFormat/>
    <w:rsid w:val="00A10FD9"/>
    <w:pPr>
      <w:keepNext/>
      <w:keepLines/>
      <w:spacing w:after="80" w:before="160"/>
      <w:outlineLvl w:val="1"/>
    </w:pPr>
    <w:rPr>
      <w:rFonts w:asciiTheme="majorHAnsi" w:cstheme="majorBidi" w:eastAsiaTheme="majorEastAsia" w:hAnsiTheme="majorHAnsi"/>
      <w:color w:themeColor="accent1" w:themeShade="BF" w:val="0F4761"/>
      <w:sz w:val="32"/>
      <w:szCs w:val="32"/>
    </w:rPr>
  </w:style>
  <w:style w:styleId="Heading3" w:type="paragraph">
    <w:name w:val="heading 3"/>
    <w:basedOn w:val="Normal"/>
    <w:next w:val="BodyText"/>
    <w:link w:val="Heading3Char"/>
    <w:uiPriority w:val="9"/>
    <w:semiHidden/>
    <w:unhideWhenUsed/>
    <w:qFormat/>
    <w:rsid w:val="00A10FD9"/>
    <w:pPr>
      <w:keepNext/>
      <w:keepLines/>
      <w:spacing w:after="80" w:before="160"/>
      <w:outlineLvl w:val="2"/>
    </w:pPr>
    <w:rPr>
      <w:rFonts w:cstheme="majorBidi" w:eastAsiaTheme="majorEastAsia"/>
      <w:color w:themeColor="accent1" w:themeShade="BF" w:val="0F4761"/>
      <w:sz w:val="28"/>
      <w:szCs w:val="28"/>
    </w:rPr>
  </w:style>
  <w:style w:styleId="Heading4" w:type="paragraph">
    <w:name w:val="heading 4"/>
    <w:basedOn w:val="Normal"/>
    <w:next w:val="BodyText"/>
    <w:link w:val="Heading4Char"/>
    <w:uiPriority w:val="9"/>
    <w:semiHidden/>
    <w:unhideWhenUsed/>
    <w:qFormat/>
    <w:rsid w:val="00A10FD9"/>
    <w:pPr>
      <w:keepNext/>
      <w:keepLines/>
      <w:spacing w:after="40" w:before="80"/>
      <w:outlineLvl w:val="3"/>
    </w:pPr>
    <w:rPr>
      <w:rFonts w:cstheme="majorBidi" w:eastAsiaTheme="majorEastAsia"/>
      <w:i/>
      <w:iCs/>
      <w:color w:themeColor="accent1" w:themeShade="BF" w:val="0F4761"/>
    </w:rPr>
  </w:style>
  <w:style w:styleId="Heading5" w:type="paragraph">
    <w:name w:val="heading 5"/>
    <w:basedOn w:val="Normal"/>
    <w:next w:val="BodyText"/>
    <w:link w:val="Heading5Char"/>
    <w:uiPriority w:val="9"/>
    <w:semiHidden/>
    <w:unhideWhenUsed/>
    <w:qFormat/>
    <w:rsid w:val="00A10FD9"/>
    <w:pPr>
      <w:keepNext/>
      <w:keepLines/>
      <w:spacing w:after="40" w:before="80"/>
      <w:outlineLvl w:val="4"/>
    </w:pPr>
    <w:rPr>
      <w:rFonts w:cstheme="majorBidi" w:eastAsiaTheme="majorEastAsia"/>
      <w:color w:themeColor="accent1" w:themeShade="BF" w:val="0F4761"/>
    </w:rPr>
  </w:style>
  <w:style w:styleId="Heading6" w:type="paragraph">
    <w:name w:val="heading 6"/>
    <w:basedOn w:val="Normal"/>
    <w:next w:val="BodyText"/>
    <w:link w:val="Heading6Char"/>
    <w:uiPriority w:val="9"/>
    <w:semiHidden/>
    <w:unhideWhenUsed/>
    <w:qFormat/>
    <w:rsid w:val="00A10FD9"/>
    <w:pPr>
      <w:keepNext/>
      <w:keepLines/>
      <w:spacing w:after="0" w:before="40"/>
      <w:outlineLvl w:val="5"/>
    </w:pPr>
    <w:rPr>
      <w:rFonts w:cstheme="majorBidi" w:eastAsiaTheme="majorEastAsia"/>
      <w:i/>
      <w:iCs/>
      <w:color w:themeColor="text1" w:themeTint="A6" w:val="595959"/>
    </w:rPr>
  </w:style>
  <w:style w:styleId="Heading7" w:type="paragraph">
    <w:name w:val="heading 7"/>
    <w:basedOn w:val="Normal"/>
    <w:next w:val="BodyText"/>
    <w:link w:val="Heading7Char"/>
    <w:uiPriority w:val="9"/>
    <w:semiHidden/>
    <w:unhideWhenUsed/>
    <w:qFormat/>
    <w:rsid w:val="00A10FD9"/>
    <w:pPr>
      <w:keepNext/>
      <w:keepLines/>
      <w:spacing w:after="0" w:before="40"/>
      <w:outlineLvl w:val="6"/>
    </w:pPr>
    <w:rPr>
      <w:rFonts w:cstheme="majorBidi" w:eastAsiaTheme="majorEastAsia"/>
      <w:color w:themeColor="text1" w:themeTint="A6" w:val="595959"/>
    </w:rPr>
  </w:style>
  <w:style w:styleId="Heading8" w:type="paragraph">
    <w:name w:val="heading 8"/>
    <w:basedOn w:val="Normal"/>
    <w:next w:val="BodyText"/>
    <w:link w:val="Heading8Char"/>
    <w:uiPriority w:val="9"/>
    <w:semiHidden/>
    <w:unhideWhenUsed/>
    <w:qFormat/>
    <w:rsid w:val="00A10FD9"/>
    <w:pPr>
      <w:keepNext/>
      <w:keepLines/>
      <w:spacing w:after="0"/>
      <w:outlineLvl w:val="7"/>
    </w:pPr>
    <w:rPr>
      <w:rFonts w:cstheme="majorBidi" w:eastAsiaTheme="majorEastAsia"/>
      <w:i/>
      <w:iCs/>
      <w:color w:themeColor="text1" w:themeTint="D8" w:val="272727"/>
    </w:rPr>
  </w:style>
  <w:style w:styleId="Heading9" w:type="paragraph">
    <w:name w:val="heading 9"/>
    <w:basedOn w:val="Normal"/>
    <w:next w:val="BodyText"/>
    <w:link w:val="Heading9Char"/>
    <w:uiPriority w:val="9"/>
    <w:semiHidden/>
    <w:unhideWhenUsed/>
    <w:qFormat/>
    <w:rsid w:val="00A10FD9"/>
    <w:pPr>
      <w:keepNext/>
      <w:keepLines/>
      <w:spacing w:after="0"/>
      <w:outlineLvl w:val="8"/>
    </w:pPr>
    <w:rPr>
      <w:rFonts w:cstheme="majorBidi" w:eastAsiaTheme="majorEastAsia"/>
      <w:color w:themeColor="text1" w:themeTint="D8" w:val="272727"/>
    </w:rPr>
  </w:style>
  <w:style w:customStyle="1" w:styleId="Heading1Char" w:type="character">
    <w:name w:val="Heading 1 Char"/>
    <w:basedOn w:val="DefaultParagraphFont"/>
    <w:link w:val="Heading1"/>
    <w:uiPriority w:val="9"/>
    <w:rsid w:val="00A10FD9"/>
    <w:rPr>
      <w:rFonts w:asciiTheme="majorHAnsi" w:cstheme="majorBidi" w:eastAsiaTheme="majorEastAsia" w:hAnsiTheme="majorHAnsi"/>
      <w:color w:themeColor="accent1" w:themeShade="BF" w:val="0F4761"/>
      <w:sz w:val="40"/>
      <w:szCs w:val="40"/>
    </w:rPr>
  </w:style>
  <w:style w:customStyle="1" w:styleId="Heading2Char" w:type="character">
    <w:name w:val="Heading 2 Char"/>
    <w:basedOn w:val="DefaultParagraphFont"/>
    <w:link w:val="Heading2"/>
    <w:uiPriority w:val="9"/>
    <w:semiHidden/>
    <w:rsid w:val="00A10FD9"/>
    <w:rPr>
      <w:rFonts w:asciiTheme="majorHAnsi" w:cstheme="majorBidi" w:eastAsiaTheme="majorEastAsia" w:hAnsiTheme="majorHAnsi"/>
      <w:color w:themeColor="accent1" w:themeShade="BF" w:val="0F4761"/>
      <w:sz w:val="32"/>
      <w:szCs w:val="32"/>
    </w:rPr>
  </w:style>
  <w:style w:customStyle="1" w:styleId="Heading3Char" w:type="character">
    <w:name w:val="Heading 3 Char"/>
    <w:basedOn w:val="DefaultParagraphFont"/>
    <w:link w:val="Heading3"/>
    <w:uiPriority w:val="9"/>
    <w:semiHidden/>
    <w:rsid w:val="00A10FD9"/>
    <w:rPr>
      <w:rFonts w:cstheme="majorBidi" w:eastAsiaTheme="majorEastAsia"/>
      <w:color w:themeColor="accent1" w:themeShade="BF" w:val="0F4761"/>
      <w:sz w:val="28"/>
      <w:szCs w:val="28"/>
    </w:rPr>
  </w:style>
  <w:style w:customStyle="1" w:styleId="Heading4Char" w:type="character">
    <w:name w:val="Heading 4 Char"/>
    <w:basedOn w:val="DefaultParagraphFont"/>
    <w:link w:val="Heading4"/>
    <w:uiPriority w:val="9"/>
    <w:semiHidden/>
    <w:rsid w:val="00A10FD9"/>
    <w:rPr>
      <w:rFonts w:cstheme="majorBidi" w:eastAsiaTheme="majorEastAsia"/>
      <w:i/>
      <w:iCs/>
      <w:color w:themeColor="accent1" w:themeShade="BF" w:val="0F4761"/>
    </w:rPr>
  </w:style>
  <w:style w:customStyle="1" w:styleId="Heading5Char" w:type="character">
    <w:name w:val="Heading 5 Char"/>
    <w:basedOn w:val="DefaultParagraphFont"/>
    <w:link w:val="Heading5"/>
    <w:uiPriority w:val="9"/>
    <w:semiHidden/>
    <w:rsid w:val="00A10FD9"/>
    <w:rPr>
      <w:rFonts w:cstheme="majorBidi" w:eastAsiaTheme="majorEastAsia"/>
      <w:color w:themeColor="accent1" w:themeShade="BF" w:val="0F4761"/>
    </w:rPr>
  </w:style>
  <w:style w:customStyle="1" w:styleId="Heading6Char" w:type="character">
    <w:name w:val="Heading 6 Char"/>
    <w:basedOn w:val="DefaultParagraphFont"/>
    <w:link w:val="Heading6"/>
    <w:uiPriority w:val="9"/>
    <w:semiHidden/>
    <w:rsid w:val="00A10FD9"/>
    <w:rPr>
      <w:rFonts w:cstheme="majorBidi" w:eastAsiaTheme="majorEastAsia"/>
      <w:i/>
      <w:iCs/>
      <w:color w:themeColor="text1" w:themeTint="A6" w:val="595959"/>
    </w:rPr>
  </w:style>
  <w:style w:customStyle="1" w:styleId="Heading7Char" w:type="character">
    <w:name w:val="Heading 7 Char"/>
    <w:basedOn w:val="DefaultParagraphFont"/>
    <w:link w:val="Heading7"/>
    <w:uiPriority w:val="9"/>
    <w:semiHidden/>
    <w:rsid w:val="00A10FD9"/>
    <w:rPr>
      <w:rFonts w:cstheme="majorBidi" w:eastAsiaTheme="majorEastAsia"/>
      <w:color w:themeColor="text1" w:themeTint="A6" w:val="595959"/>
    </w:rPr>
  </w:style>
  <w:style w:customStyle="1" w:styleId="Heading8Char" w:type="character">
    <w:name w:val="Heading 8 Char"/>
    <w:basedOn w:val="DefaultParagraphFont"/>
    <w:link w:val="Heading8"/>
    <w:uiPriority w:val="9"/>
    <w:semiHidden/>
    <w:rsid w:val="00A10FD9"/>
    <w:rPr>
      <w:rFonts w:cstheme="majorBidi" w:eastAsiaTheme="majorEastAsia"/>
      <w:i/>
      <w:iCs/>
      <w:color w:themeColor="text1" w:themeTint="D8" w:val="272727"/>
    </w:rPr>
  </w:style>
  <w:style w:customStyle="1" w:styleId="Heading9Char" w:type="character">
    <w:name w:val="Heading 9 Char"/>
    <w:basedOn w:val="DefaultParagraphFont"/>
    <w:link w:val="Heading9"/>
    <w:uiPriority w:val="9"/>
    <w:semiHidden/>
    <w:rsid w:val="00A10FD9"/>
    <w:rPr>
      <w:rFonts w:cstheme="majorBidi" w:eastAsiaTheme="majorEastAsia"/>
      <w:color w:themeColor="text1" w:themeTint="D8" w:val="272727"/>
    </w:rPr>
  </w:style>
  <w:style w:styleId="BlockText" w:type="paragraph">
    <w:name w:val="Block Text"/>
    <w:basedOn w:val="BodyText"/>
    <w:next w:val="BodyText"/>
    <w:uiPriority w:val="9"/>
    <w:unhideWhenUsed/>
    <w:qFormat/>
    <w:pPr>
      <w:spacing w:after="100" w:before="100"/>
      <w:ind w:firstLine="0" w:left="480" w:right="480"/>
    </w:pPr>
  </w:style>
  <w:style w:styleId="FootnoteText" w:type="paragraph">
    <w:name w:val="Footnote Text"/>
    <w:basedOn w:val="Normal"/>
    <w:next w:val="FootnoteText"/>
    <w:uiPriority w:val="9"/>
    <w:unhideWhenUsed/>
    <w:qFormat/>
  </w:style>
  <w:style w:styleId="FootnoteBlockText" w:type="paragraph">
    <w:name w:val="Footnote Block Text"/>
    <w:basedOn w:val="FootnoteText"/>
    <w:next w:val="FootnoteText"/>
    <w:uiPriority w:val="9"/>
    <w:unhideWhenUsed/>
    <w:qFormat/>
    <w:pPr>
      <w:spacing w:after="100" w:before="100"/>
      <w:ind w:firstLine="0" w:left="480" w:right="480"/>
    </w:pPr>
  </w:style>
  <w:style w:default="1" w:styleId="DefaultParagraphFont" w:type="character">
    <w:name w:val="Default Paragraph Font"/>
    <w:semiHidden/>
    <w:unhideWhenUsed/>
  </w:style>
  <w:style w:default="1" w:styleId="Table" w:type="table">
    <w:name w:val="Table"/>
    <w:basedOn w:val="TableNormal"/>
    <w:semiHidden/>
    <w:unhideWhenUsed/>
    <w:qFormat/>
    <w:tblPr>
      <w:tblInd w:type="dxa" w:w="0"/>
      <w:tblCellMar>
        <w:top w:type="dxa" w:w="0"/>
        <w:left w:type="dxa" w:w="108"/>
        <w:bottom w:type="dxa" w:w="0"/>
        <w:right w:type="dxa" w:w="108"/>
      </w:tblCellMar>
    </w:tblPr>
    <w:tblStylePr w:type="firstRow">
      <w:tcPr>
        <w:tcBorders>
          <w:bottom w:val="single"/>
        </w:tcBorders>
        <w:vAlign w:val="bottom"/>
      </w:tcPr>
    </w:tblStylePr>
  </w:style>
  <w:style w:customStyle="1" w:styleId="DefinitionTerm" w:type="paragraph">
    <w:name w:val="Definition Term"/>
    <w:basedOn w:val="Normal"/>
    <w:next w:val="Definition"/>
    <w:pPr>
      <w:keepNext/>
      <w:keepLines/>
      <w:spacing w:after="0"/>
    </w:pPr>
    <w:rPr>
      <w:b/>
    </w:rPr>
  </w:style>
  <w:style w:customStyle="1" w:styleId="Definition" w:type="paragraph">
    <w:name w:val="Definition"/>
    <w:basedOn w:val="Normal"/>
  </w:style>
  <w:style w:styleId="Caption" w:type="paragraph">
    <w:name w:val="Caption"/>
    <w:basedOn w:val="Normal"/>
    <w:link w:val="BodyTextChar"/>
    <w:pPr>
      <w:spacing w:after="120" w:before="0"/>
    </w:pPr>
    <w:rPr>
      <w:i/>
    </w:rPr>
  </w:style>
  <w:style w:customStyle="1" w:styleId="TableCaption" w:type="paragraph">
    <w:name w:val="Table Caption"/>
    <w:basedOn w:val="Caption"/>
    <w:pPr>
      <w:keepNext/>
    </w:pPr>
  </w:style>
  <w:style w:customStyle="1" w:styleId="ImageCaption" w:type="paragraph">
    <w:name w:val="Image Caption"/>
    <w:basedOn w:val="Caption"/>
  </w:style>
  <w:style w:customStyle="1" w:styleId="Figure" w:type="paragraph">
    <w:name w:val="Figure"/>
    <w:basedOn w:val="Normal"/>
  </w:style>
  <w:style w:customStyle="1" w:styleId="CaptionedFigure" w:type="paragraph">
    <w:name w:val="Captioned Figure"/>
    <w:basedOn w:val="Figure"/>
    <w:pPr>
      <w:keepNext/>
    </w:pPr>
  </w:style>
  <w:style w:customStyle="1" w:styleId="BodyTextChar" w:type="character">
    <w:name w:val="Body Text Char"/>
    <w:basedOn w:val="DefaultParagraphFont"/>
    <w:link w:val="BodyText"/>
  </w:style>
  <w:style w:customStyle="1" w:styleId="VerbatimChar" w:type="character">
    <w:name w:val="Verbatim Char"/>
    <w:basedOn w:val="BodyTextChar"/>
    <w:rPr>
      <w:rFonts w:ascii="Consolas" w:hAnsi="Consolas"/>
      <w:sz w:val="22"/>
    </w:rPr>
  </w:style>
  <w:style w:customStyle="1" w:styleId="SectionNumber" w:type="character">
    <w:name w:val="Section Number"/>
    <w:basedOn w:val="BodyTextChar"/>
  </w:style>
  <w:style w:styleId="FootnoteReference" w:type="character">
    <w:name w:val="Footnote Reference"/>
    <w:basedOn w:val="BodyTextChar"/>
    <w:rPr>
      <w:vertAlign w:val="superscript"/>
    </w:rPr>
  </w:style>
  <w:style w:styleId="Hyperlink" w:type="character">
    <w:name w:val="Hyperlink"/>
    <w:basedOn w:val="BodyTextChar"/>
    <w:rPr>
      <w:color w:themeColor="accent1" w:val="4F81BD"/>
    </w:rPr>
  </w:style>
  <w:style w:styleId="TOCHeading" w:type="paragraph">
    <w:name w:val="TOC Heading"/>
    <w:basedOn w:val="Heading1"/>
    <w:next w:val="BodyText"/>
    <w:uiPriority w:val="39"/>
    <w:unhideWhenUsed/>
    <w:qFormat/>
    <w:pPr>
      <w:spacing w:before="240" w:line="259" w:lineRule="auto"/>
      <w:outlineLvl w:val="9"/>
    </w:pPr>
    <w:rPr>
      <w:rFonts w:asciiTheme="majorHAnsi" w:cstheme="majorBidi" w:eastAsiaTheme="majorEastAsia" w:hAnsiTheme="majorHAnsi"/>
      <w:b w:val="0"/>
      <w:bCs w:val="0"/>
      <w:color w:themeColor="accent1" w:themeShade="BF" w:val="365F91"/>
    </w:rPr>
  </w:style>
  <w:style w:type="paragraph" w:customStyle="1" w:styleId="SourceCode">
    <w:name w:val="Source Code"/>
    <w:basedOn w:val="Normal"/>
    <w:link w:val="VerbatimChar"/>
    <w:pPr>
      <w:wordWrap w:val="off"/>
    </w:pPr>
  </w:style>
  <w:style w:type="character" w:customStyle="1" w:styleId="KeywordTok">
    <w:name w:val="KeywordTok"/>
    <w:basedOn w:val="VerbatimChar"/>
    <w:rPr>
      <w:b/>
      <w:color w:val="007020"/>
    </w:rPr>
  </w:style>
  <w:style w:type="character" w:customStyle="1" w:styleId="DataTypeTok">
    <w:name w:val="DataTypeTok"/>
    <w:basedOn w:val="VerbatimChar"/>
    <w:rPr>
      <w:color w:val="902000"/>
    </w:rPr>
  </w:style>
  <w:style w:type="character" w:customStyle="1" w:styleId="DecValTok">
    <w:name w:val="DecValTok"/>
    <w:basedOn w:val="VerbatimChar"/>
    <w:rPr>
      <w:color w:val="40a070"/>
    </w:rPr>
  </w:style>
  <w:style w:type="character" w:customStyle="1" w:styleId="BaseNTok">
    <w:name w:val="BaseNTok"/>
    <w:basedOn w:val="VerbatimChar"/>
    <w:rPr>
      <w:color w:val="40a070"/>
    </w:rPr>
  </w:style>
  <w:style w:type="character" w:customStyle="1" w:styleId="FloatTok">
    <w:name w:val="FloatTok"/>
    <w:basedOn w:val="VerbatimChar"/>
    <w:rPr>
      <w:color w:val="40a070"/>
    </w:rPr>
  </w:style>
  <w:style w:type="character" w:customStyle="1" w:styleId="ConstantTok">
    <w:name w:val="ConstantTok"/>
    <w:basedOn w:val="VerbatimChar"/>
    <w:rPr>
      <w:color w:val="880000"/>
    </w:rPr>
  </w:style>
  <w:style w:type="character" w:customStyle="1" w:styleId="CharTok">
    <w:name w:val="CharTok"/>
    <w:basedOn w:val="VerbatimChar"/>
    <w:rPr>
      <w:color w:val="4070a0"/>
    </w:rPr>
  </w:style>
  <w:style w:type="character" w:customStyle="1" w:styleId="SpecialCharTok">
    <w:name w:val="SpecialCharTok"/>
    <w:basedOn w:val="VerbatimChar"/>
    <w:rPr>
      <w:color w:val="4070a0"/>
    </w:rPr>
  </w:style>
  <w:style w:type="character" w:customStyle="1" w:styleId="StringTok">
    <w:name w:val="StringTok"/>
    <w:basedOn w:val="VerbatimChar"/>
    <w:rPr>
      <w:color w:val="4070a0"/>
    </w:rPr>
  </w:style>
  <w:style w:type="character" w:customStyle="1" w:styleId="VerbatimStringTok">
    <w:name w:val="VerbatimStringTok"/>
    <w:basedOn w:val="VerbatimChar"/>
    <w:rPr>
      <w:color w:val="4070a0"/>
    </w:rPr>
  </w:style>
  <w:style w:type="character" w:customStyle="1" w:styleId="SpecialStringTok">
    <w:name w:val="SpecialStringTok"/>
    <w:basedOn w:val="VerbatimChar"/>
    <w:rPr>
      <w:color w:val="bb6688"/>
    </w:rPr>
  </w:style>
  <w:style w:type="character" w:customStyle="1" w:styleId="ImportTok">
    <w:name w:val="ImportTok"/>
    <w:basedOn w:val="VerbatimChar"/>
    <w:rPr>
      <w:b/>
      <w:color w:val="008000"/>
    </w:rPr>
  </w:style>
  <w:style w:type="character" w:customStyle="1" w:styleId="CommentTok">
    <w:name w:val="CommentTok"/>
    <w:basedOn w:val="VerbatimChar"/>
    <w:rPr>
      <w:i/>
      <w:color w:val="60a0b0"/>
    </w:rPr>
  </w:style>
  <w:style w:type="character" w:customStyle="1" w:styleId="DocumentationTok">
    <w:name w:val="DocumentationTok"/>
    <w:basedOn w:val="VerbatimChar"/>
    <w:rPr>
      <w:i/>
      <w:color w:val="ba2121"/>
    </w:rPr>
  </w:style>
  <w:style w:type="character" w:customStyle="1" w:styleId="AnnotationTok">
    <w:name w:val="AnnotationTok"/>
    <w:basedOn w:val="VerbatimChar"/>
    <w:rPr>
      <w:b/>
      <w:i/>
      <w:color w:val="60a0b0"/>
    </w:rPr>
  </w:style>
  <w:style w:type="character" w:customStyle="1" w:styleId="CommentVarTok">
    <w:name w:val="CommentVarTok"/>
    <w:basedOn w:val="VerbatimChar"/>
    <w:rPr>
      <w:b/>
      <w:i/>
      <w:color w:val="60a0b0"/>
    </w:rPr>
  </w:style>
  <w:style w:type="character" w:customStyle="1" w:styleId="OtherTok">
    <w:name w:val="OtherTok"/>
    <w:basedOn w:val="VerbatimChar"/>
    <w:rPr>
      <w:color w:val="007020"/>
    </w:rPr>
  </w:style>
  <w:style w:type="character" w:customStyle="1" w:styleId="FunctionTok">
    <w:name w:val="FunctionTok"/>
    <w:basedOn w:val="VerbatimChar"/>
    <w:rPr>
      <w:color w:val="06287e"/>
    </w:rPr>
  </w:style>
  <w:style w:type="character" w:customStyle="1" w:styleId="VariableTok">
    <w:name w:val="VariableTok"/>
    <w:basedOn w:val="VerbatimChar"/>
    <w:rPr>
      <w:color w:val="19177c"/>
    </w:rPr>
  </w:style>
  <w:style w:type="character" w:customStyle="1" w:styleId="ControlFlowTok">
    <w:name w:val="ControlFlowTok"/>
    <w:basedOn w:val="VerbatimChar"/>
    <w:rPr>
      <w:b/>
      <w:color w:val="007020"/>
    </w:rPr>
  </w:style>
  <w:style w:type="character" w:customStyle="1" w:styleId="OperatorTok">
    <w:name w:val="OperatorTok"/>
    <w:basedOn w:val="VerbatimChar"/>
    <w:rPr>
      <w:color w:val="666666"/>
    </w:rPr>
  </w:style>
  <w:style w:type="character" w:customStyle="1" w:styleId="BuiltInTok">
    <w:name w:val="BuiltInTok"/>
    <w:basedOn w:val="VerbatimChar"/>
    <w:rPr>
      <w:color w:val="008000"/>
    </w:rPr>
  </w:style>
  <w:style w:type="character" w:customStyle="1" w:styleId="ExtensionTok">
    <w:name w:val="ExtensionTok"/>
    <w:basedOn w:val="VerbatimChar"/>
    <w:rPr/>
  </w:style>
  <w:style w:type="character" w:customStyle="1" w:styleId="PreprocessorTok">
    <w:name w:val="PreprocessorTok"/>
    <w:basedOn w:val="VerbatimChar"/>
    <w:rPr>
      <w:color w:val="bc7a00"/>
    </w:rPr>
  </w:style>
  <w:style w:type="character" w:customStyle="1" w:styleId="AttributeTok">
    <w:name w:val="AttributeTok"/>
    <w:basedOn w:val="VerbatimChar"/>
    <w:rPr>
      <w:color w:val="7d9029"/>
    </w:rPr>
  </w:style>
  <w:style w:type="character" w:customStyle="1" w:styleId="RegionMarkerTok">
    <w:name w:val="RegionMarkerTok"/>
    <w:basedOn w:val="VerbatimChar"/>
    <w:rPr/>
  </w:style>
  <w:style w:type="character" w:customStyle="1" w:styleId="InformationTok">
    <w:name w:val="InformationTok"/>
    <w:basedOn w:val="VerbatimChar"/>
    <w:rPr>
      <w:b/>
      <w:i/>
      <w:color w:val="60a0b0"/>
    </w:rPr>
  </w:style>
  <w:style w:type="character" w:customStyle="1" w:styleId="WarningTok">
    <w:name w:val="WarningTok"/>
    <w:basedOn w:val="VerbatimChar"/>
    <w:rPr>
      <w:b/>
      <w:i/>
      <w:color w:val="60a0b0"/>
    </w:rPr>
  </w:style>
  <w:style w:type="character" w:customStyle="1" w:styleId="AlertTok">
    <w:name w:val="AlertTok"/>
    <w:basedOn w:val="VerbatimChar"/>
    <w:rPr>
      <w:b/>
      <w:color w:val="ff0000"/>
    </w:rPr>
  </w:style>
  <w:style w:type="character" w:customStyle="1" w:styleId="ErrorTok">
    <w:name w:val="ErrorTok"/>
    <w:basedOn w:val="VerbatimChar"/>
    <w:rPr>
      <w:b/>
      <w:color w:val="ff0000"/>
    </w:rPr>
  </w:style>
  <w:style w:type="character" w:customStyle="1" w:styleId="NormalTok">
    <w:name w:val="NormalTok"/>
    <w:basedOn w:val="VerbatimChar"/>
    <w:rPr/>
  </w:style>
</w:styles>
</file>

<file path=word/webSettings.xml><?xml version="1.0" encoding="utf-8"?>
<ns0:webSettings xmlns:ns0="http://schemas.openxmlformats.org/wordprocessingml/2006/main">
  <ns0:allowPNG/>
  <ns0:doNotSaveAsSingleFile/>
</ns0:webSettings>
</file>

<file path=word/_rels/document.xml.rels><?xml version="1.0" encoding="UTF-8"?><Relationships xmlns="http://schemas.openxmlformats.org/package/2006/relationships"><Relationship Type="http://schemas.openxmlformats.org/officeDocument/2006/relationships/numbering" Id="rId8" Target="numbering.xml" /><Relationship Type="http://schemas.openxmlformats.org/officeDocument/2006/relationships/styles" Id="rId7" Target="styles.xml" /><Relationship Type="http://schemas.openxmlformats.org/officeDocument/2006/relationships/settings" Id="rId6" Target="settings.xml" /><Relationship Type="http://schemas.openxmlformats.org/officeDocument/2006/relationships/webSettings" Id="rId5" Target="webSettings.xml" /><Relationship Type="http://schemas.openxmlformats.org/officeDocument/2006/relationships/fontTable" Id="rId4" Target="fontTable.xml" /><Relationship Type="http://schemas.openxmlformats.org/officeDocument/2006/relationships/theme" Id="rId3" Target="theme/theme1.xml" /><Relationship Type="http://schemas.openxmlformats.org/officeDocument/2006/relationships/footnotes" Id="rId2" Target="footnotes.xml" /><Relationship Type="http://schemas.openxmlformats.org/officeDocument/2006/relationships/comments" Id="rId1" Target="comments.xml" /><Relationship Type="http://schemas.openxmlformats.org/officeDocument/2006/relationships/hyperlink" Id="rId9" Target="https://github.com/ahb-sjsu/turboquant-pro" TargetMode="External" /></Relationships>
</file>

<file path=word/_rels/footnotes.xml.rels><?xml version="1.0" encoding="UTF-8"?><Relationships xmlns="http://schemas.openxmlformats.org/package/2006/relationships"><Relationship Type="http://schemas.openxmlformats.org/officeDocument/2006/relationships/hyperlink" Id="rId9" Target="https://github.com/ahb-sjsu/turboquant-pro"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Words>83</Words>
  <SharedDoc>false</SharedDoc>
  <HyperlinksChanged>false</HyperlinksChanged>
  <Lines>12</Lines>
  <AppVersion>12.0000</AppVersion>
  <LinksUpToDate>false</LinksUpToDate>
  <Application>Microsoft Word 12.0.0</Application>
  <CharactersWithSpaces>583</CharactersWithSpaces>
  <Template>Normal.dotm</Template>
  <DocSecurity>0</DocSecurity>
  <TotalTime>6</TotalTime>
  <ScaleCrop>false</ScaleCrop>
  <Characters>475</Characters>
  <Paragraphs>8</Paragraphs>
  <Pages>1</Pag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TurboQuant Pro: Open-Source TurboQuant Implementation for LLM KV Cache Compression on Consumer GPUs</dc:title>
  <dc:creator>Andrew H. Bond Department of Computer Engineering San Jose State University andrew.bond@sjsu.edu</dc:creator>
  <cp:keywords/>
  <dcterms:created xsi:type="dcterms:W3CDTF">2026-06-21T11:07:46Z</dcterms:created>
  <dcterms:modified xsi:type="dcterms:W3CDTF">2026-06-21T11:07:46Z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bstract">
    <vt:lpwstr>We present TurboQuant Pro, the first open-source implementation of the TurboQuant algorithm (Zandieh et al., ICLR 2026) for compressing the key-value (KV) cache in large language model inference. Our implementation achieves 5.12\times compression at 0.978 mean cosine similarity using 3-bit quantization with bit-packing, and includes a novel streaming two-tier cache with L1 (hot, uncompressed) and L2 (cold, bit-packed) storage for autoregressive generation. The system runs on consumer Volta-class GPUs via CuPy CUDA kernels and falls back to vectorized NumPy on CPU. We benchmark compression quality, throughput, and memory savings across multiple model configurations including Llama 3.1, Gemma 4, and Mistral, and provide integration examples for llama.cpp and vLLM. The package is released under the MIT license at https://github.com/ahb-sjsu/turboquant-pro.</vt:lpwstr>
  </property>
  <property fmtid="{D5CDD505-2E9C-101B-9397-08002B2CF9AE}" pid="3" name="bibliography">
    <vt:lpwstr/>
  </property>
</Properties>
</file>