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Bracket-Prefixed Reference List Reconstruction</w:t>
      </w:r>
    </w:p>
    <w:p>
      <w:pPr>
        <w:pStyle w:val="Heading1"/>
      </w:pPr>
      <w:r>
        <w:t>Introduction</w:t>
      </w:r>
    </w:p>
    <w:p>
      <w:r>
        <w:t>The superconducting widget array platform [2] built on earlier calibration work. Subsequent studies [3,5] refined the growth process, and the foundational sequence of results [1-3] established the platform's core physics.</w:t>
      </w:r>
    </w:p>
    <w:p>
      <w:pPr>
        <w:pStyle w:val="Heading1"/>
      </w:pPr>
      <w:r>
        <w:t>References</w:t>
      </w:r>
    </w:p>
    <w:p>
      <w:r>
        <w:t>[1] Alpha, A. Foundational widget calibration techniques. Journal of Widget Physics 10, 100-110 (2020).</w:t>
      </w:r>
    </w:p>
    <w:p>
      <w:r>
        <w:t>[2] Bravo, B. Superconducting widget arrays at low temperature. Journal of Widget Physics 11, 200-210 (2019).</w:t>
      </w:r>
    </w:p>
    <w:p>
      <w:r>
        <w:t>[3] Charlie, C. Magnetotransport in doped widget thin films. Journal of Widget Physics 12, 300-310 (2018).</w:t>
      </w:r>
    </w:p>
    <w:p>
      <w:r>
        <w:t>[4]Delta, D. Widget growth via molecular beam epitaxy. Journal of Widget Physics 13, 400-410 (2017).</w:t>
      </w:r>
    </w:p>
    <w:p>
      <w:r>
        <w:t>[5] Echo, E. Spectroscopic signatures of widget defects. Journal of Widget Physics 14, 500-510 (2016).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