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Introduction</w:t>
      </w:r>
    </w:p>
    <w:p>
      <w:r>
        <w:t>This manuscript exercises Word equation-editor math.</w:t>
      </w:r>
    </w:p>
    <w:p>
      <w:pPr>
        <w:pStyle w:val="Heading2"/>
      </w:pPr>
      <w:r>
        <w:t>Method</w:t>
      </w:r>
    </w:p>
    <w:p>
      <w:r>
        <w:t xml:space="preserve">The result follows from </w:t>
      </w:r>
      <m:oMath>
        <m:f>
          <m:fPr>
            <m:type m:val="bar"/>
          </m:fPr>
          <m:num>
            <m:r>
              <m:t>a</m:t>
            </m:r>
          </m:num>
          <m:den>
            <m:r>
              <m:t>b</m:t>
            </m:r>
          </m:den>
        </m:f>
      </m:oMath>
      <w:r>
        <w:t xml:space="preserve"> as shown below.</w:t>
      </w:r>
    </w:p>
    <w:p>
      <w:pPr>
        <w:pStyle w:val="Heading3"/>
      </w:pPr>
      <w:r>
        <w:t>Results</w:t>
      </w:r>
    </w:p>
    <w:p>
      <w:r>
        <w:t>The final expression is:</w:t>
      </w:r>
    </w:p>
    <w:p>
      <m:oMathPara>
        <m:oMathParaPr>
          <m:jc m:val="center"/>
        </m:oMathParaPr>
        <m:oMath>
          <m:f>
            <m:fPr>
              <m:type m:val="bar"/>
            </m:fPr>
            <m:num>
              <m:r>
                <m:t>a</m:t>
              </m:r>
            </m:num>
            <m:den>
              <m:r>
                <m:t>b</m:t>
              </m:r>
            </m:den>
          </m:f>
        </m:oMath>
      </m:oMathPara>
    </w:p>
    <w:p>
      <w:r>
        <w:t>This concludes the derivation.</w:t>
      </w:r>
    </w:p>
    <w:p>
      <w:pPr>
        <w:pStyle w:val="Heading2"/>
      </w:pPr>
      <w:r>
        <w:t>Special Forms</w:t>
      </w:r>
    </w:p>
    <w:p>
      <w:r>
        <w:t>A two-by-two matrix:</w:t>
      </w:r>
    </w:p>
    <w:p>
      <m:oMathPara>
        <m:oMathParaPr>
          <m:jc m:val="center"/>
        </m:oMathParaPr>
        <m:oMath>
          <m:d>
            <m:dPr>
              <m:begChr m:val="("/>
              <m:sepChr m:val=""/>
              <m:endChr m:val=")"/>
              <m:grow/>
            </m:dPr>
            <m:e>
              <m:m>
                <m:mPr>
                  <m:baseJc m:val="center"/>
                  <m:plcHide m:val="on"/>
                  <m:mcs>
                    <m:mc>
                      <m:mcPr>
                        <m:mcJc m:val="center"/>
                        <m:count m:val="1"/>
                      </m:mcPr>
                    </m:mc>
                    <m:mc>
                      <m:mcPr>
                        <m:mcJc m:val="center"/>
                        <m:count m:val="1"/>
                      </m:mcPr>
                    </m:mc>
                  </m:mcs>
                </m:mPr>
                <m:mr>
                  <m:e>
                    <m:r>
                      <m:t>a</m:t>
                    </m:r>
                  </m:e>
                  <m:e>
                    <m:r>
                      <m:t>b</m:t>
                    </m:r>
                  </m:e>
                </m:mr>
                <m:mr>
                  <m:e>
                    <m:r>
                      <m:t>c</m:t>
                    </m:r>
                  </m:e>
                  <m:e>
                    <m:r>
                      <m:t>d</m:t>
                    </m:r>
                  </m:e>
                </m:mr>
              </m:m>
            </m:e>
          </m:d>
        </m:oMath>
      </m:oMathPara>
    </w:p>
    <w:p>
      <w:r>
        <w:t>A piecewise-defined function:</w:t>
      </w:r>
    </w:p>
    <w:p>
      <m:oMathPara>
        <m:oMathParaPr>
          <m:jc m:val="center"/>
        </m:oMathParaPr>
        <m:oMath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=</m:t>
          </m:r>
          <m:d>
            <m:dPr>
              <m:begChr m:val="{"/>
              <m:sepChr m:val=""/>
              <m:endChr m:val=""/>
              <m:grow/>
            </m:dPr>
            <m:e>
              <m:m>
                <m:mPr>
                  <m:baseJc m:val="center"/>
                  <m:plcHide m:val="on"/>
                  <m:mcs>
                    <m:mc>
                      <m:mcPr>
                        <m:mcJc m:val="left"/>
                        <m:count m:val="1"/>
                      </m:mcPr>
                    </m:mc>
                    <m:mc>
                      <m:mcPr>
                        <m:mcJc m:val="left"/>
                        <m:count m:val="1"/>
                      </m:mcPr>
                    </m:mc>
                  </m:mcs>
                </m:mPr>
                <m:mr>
                  <m:e>
                    <m:r>
                      <m:t>1</m:t>
                    </m:r>
                  </m:e>
                  <m:e>
                    <m:r>
                      <m:t>x</m:t>
                    </m:r>
                    <m:r>
                      <m:rPr>
                        <m:sty m:val="p"/>
                      </m:rPr>
                      <m:t>&gt;</m:t>
                    </m:r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x</m:t>
                    </m:r>
                    <m:r>
                      <m:rPr>
                        <m:sty m:val="p"/>
                      </m:rPr>
                      <m:t>≤</m:t>
                    </m:r>
                    <m:r>
                      <m:t>0</m:t>
                    </m:r>
                  </m:e>
                </m:mr>
              </m:m>
            </m:e>
          </m:d>
        </m:oMath>
      </m:oMathPara>
    </w:p>
    <w:p>
      <w:r>
        <w:t>A system of aligned equations:</w:t>
      </w:r>
    </w:p>
    <w:p>
      <m:oMathPara>
        <m:oMathParaPr>
          <m:jc m:val="center"/>
        </m:oMathParaPr>
        <m:oMath>
          <m:eqArr>
            <m:e>
              <m:r>
                <m:t>a</m:t>
              </m:r>
              <m:r>
                <m:t>&amp;</m:t>
              </m:r>
              <m:r>
                <m:rPr>
                  <m:sty m:val="p"/>
                </m:rPr>
                <m:t>=</m:t>
              </m:r>
              <m:r>
                <m:t>b</m:t>
              </m:r>
              <m:r>
                <m:rPr>
                  <m:sty m:val="p"/>
                </m:rPr>
                <m:t>+</m:t>
              </m:r>
              <m:r>
                <m:t>c</m:t>
              </m:r>
            </m:e>
            <m:e>
              <m:r>
                <m:t>d</m:t>
              </m:r>
              <m:r>
                <m:t>&amp;</m:t>
              </m:r>
              <m:r>
                <m:rPr>
                  <m:sty m:val="p"/>
                </m:rPr>
                <m:t>=</m:t>
              </m:r>
              <m:r>
                <m:t>e</m:t>
              </m:r>
              <m:r>
                <m:rPr>
                  <m:sty m:val="p"/>
                </m:rPr>
                <m:t>−</m:t>
              </m:r>
              <m:r>
                <m:t>f</m:t>
              </m:r>
            </m:e>
          </m:eqArr>
        </m:oMath>
      </m:oMathPara>
    </w:p>
    <w:p>
      <w:r>
        <w:t xml:space="preserve">An equation the author started and abandoned: </w:t>
      </w:r>
      <m:oMath/>
      <w:r>
        <w:t xml:space="preserve"> (nothing should appear between those parentheses).</w:t>
      </w:r>
    </w:p>
    <w:p>
      <w:pPr>
        <w:pStyle w:val="Heading4"/>
      </w:pPr>
      <w:r>
        <w:t>Too Deep A Section</w:t>
      </w:r>
    </w:p>
    <w:p>
      <w:r>
        <w:t>This paragraph lives under the clamped heading.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