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9C21C" w14:textId="77777777" w:rsidR="00DC11F9" w:rsidRDefault="003E4B29">
      <w:pPr>
        <w:spacing w:before="480" w:after="120"/>
        <w:jc w:val="center"/>
      </w:pPr>
      <w:r>
        <w:rPr>
          <w:b/>
          <w:bCs/>
          <w:color w:val="1B5E20"/>
          <w:sz w:val="56"/>
          <w:szCs w:val="56"/>
        </w:rPr>
        <w:t>🌴 PALMA</w:t>
      </w:r>
    </w:p>
    <w:p w14:paraId="4D98706E" w14:textId="77777777" w:rsidR="00DC11F9" w:rsidRDefault="003E4B29">
      <w:pPr>
        <w:spacing w:before="60" w:after="60"/>
        <w:jc w:val="center"/>
      </w:pPr>
      <w:r>
        <w:rPr>
          <w:b/>
          <w:bCs/>
          <w:i/>
          <w:iCs/>
          <w:color w:val="2E7D32"/>
          <w:sz w:val="32"/>
          <w:szCs w:val="32"/>
        </w:rPr>
        <w:t>Oasis Systems as Living Techno-Ecological Machines</w:t>
      </w:r>
    </w:p>
    <w:p w14:paraId="6C1E1801" w14:textId="77777777" w:rsidR="00DC11F9" w:rsidRDefault="003E4B29">
      <w:pPr>
        <w:spacing w:before="120" w:after="360"/>
        <w:jc w:val="center"/>
      </w:pPr>
      <w:r>
        <w:rPr>
          <w:color w:val="555555"/>
          <w:sz w:val="26"/>
          <w:szCs w:val="26"/>
        </w:rPr>
        <w:t>A Multi-Parameter Physico-Ecological Framework for Real-Time Analysis of Oasis Resilience, Hydro-Thermal Dynamics, and Adaptive Sustainability</w:t>
      </w:r>
    </w:p>
    <w:p w14:paraId="598BDBB8" w14:textId="77777777" w:rsidR="00DC11F9" w:rsidRDefault="003E4B29">
      <w:pPr>
        <w:spacing w:before="120" w:after="60"/>
      </w:pPr>
      <w:r>
        <w:rPr>
          <w:b/>
          <w:bCs/>
          <w:color w:val="212121"/>
          <w:sz w:val="24"/>
          <w:szCs w:val="24"/>
        </w:rPr>
        <w:t>Authors:</w:t>
      </w:r>
    </w:p>
    <w:p w14:paraId="6578F756" w14:textId="77777777" w:rsidR="00DC11F9" w:rsidRDefault="003E4B29">
      <w:pPr>
        <w:spacing w:before="60" w:after="180"/>
      </w:pPr>
      <w:r>
        <w:t>Samir Baladi¹* · Dr. Leila Nassar² · Prof. Tariq Al-Rashidi³ · Dr. Amina Oufkir⁴ · Dr. Youssef Hamdan⁵</w:t>
      </w:r>
    </w:p>
    <w:p w14:paraId="14C63B94" w14:textId="77777777" w:rsidR="007D3D74" w:rsidRDefault="003E4B29">
      <w:pPr>
        <w:spacing w:before="40" w:after="40"/>
        <w:rPr>
          <w:i/>
          <w:iCs/>
          <w:color w:val="555555"/>
          <w:sz w:val="20"/>
          <w:szCs w:val="20"/>
        </w:rPr>
      </w:pPr>
      <w:r>
        <w:rPr>
          <w:i/>
          <w:iCs/>
          <w:color w:val="555555"/>
          <w:sz w:val="20"/>
          <w:szCs w:val="20"/>
        </w:rPr>
        <w:t xml:space="preserve">¹ Ronin Institute / Rite of Renaissance, </w:t>
      </w:r>
      <w:r w:rsidR="00944BC5">
        <w:rPr>
          <w:i/>
          <w:iCs/>
          <w:color w:val="555555"/>
          <w:sz w:val="20"/>
          <w:szCs w:val="20"/>
        </w:rPr>
        <w:t>Interdisciplinary</w:t>
      </w:r>
      <w:r w:rsidR="00597764">
        <w:rPr>
          <w:i/>
          <w:iCs/>
          <w:color w:val="555555"/>
          <w:sz w:val="20"/>
          <w:szCs w:val="20"/>
        </w:rPr>
        <w:t xml:space="preserve"> AI Researcher</w:t>
      </w:r>
      <w:r w:rsidR="00BF0AC8">
        <w:rPr>
          <w:i/>
          <w:iCs/>
          <w:color w:val="555555"/>
          <w:sz w:val="20"/>
          <w:szCs w:val="20"/>
        </w:rPr>
        <w:t xml:space="preserve"> </w:t>
      </w:r>
    </w:p>
    <w:p w14:paraId="72D7F5EA" w14:textId="77777777" w:rsidR="00813281" w:rsidRDefault="00813281">
      <w:pPr>
        <w:spacing w:before="40" w:after="40"/>
        <w:rPr>
          <w:i/>
          <w:iCs/>
          <w:color w:val="555555"/>
          <w:sz w:val="20"/>
          <w:szCs w:val="20"/>
        </w:rPr>
      </w:pPr>
    </w:p>
    <w:p w14:paraId="6CB581BF" w14:textId="4F545F47" w:rsidR="00DC11F9" w:rsidRDefault="003E4B29">
      <w:pPr>
        <w:spacing w:before="40" w:after="40"/>
      </w:pPr>
      <w:r>
        <w:rPr>
          <w:i/>
          <w:iCs/>
          <w:color w:val="555555"/>
          <w:sz w:val="20"/>
          <w:szCs w:val="20"/>
        </w:rPr>
        <w:t>— Oasis Ecology &amp; Hydro-Thermal Systems</w:t>
      </w:r>
    </w:p>
    <w:p w14:paraId="0A3F5E9F" w14:textId="77777777" w:rsidR="00DC11F9" w:rsidRDefault="003E4B29">
      <w:pPr>
        <w:spacing w:before="40" w:after="40"/>
      </w:pPr>
      <w:r>
        <w:rPr>
          <w:i/>
          <w:iCs/>
          <w:color w:val="555555"/>
          <w:sz w:val="20"/>
          <w:szCs w:val="20"/>
        </w:rPr>
        <w:t>² Desert Ecology Research Center, Saharan Biome Dynamics Laboratory, Ouargla, Algeria</w:t>
      </w:r>
    </w:p>
    <w:p w14:paraId="3C1DB255" w14:textId="77777777" w:rsidR="00DC11F9" w:rsidRDefault="003E4B29">
      <w:pPr>
        <w:spacing w:before="40" w:after="40"/>
      </w:pPr>
      <w:r>
        <w:rPr>
          <w:i/>
          <w:iCs/>
          <w:color w:val="555555"/>
          <w:sz w:val="20"/>
          <w:szCs w:val="20"/>
        </w:rPr>
        <w:t>³ Arabian Peninsula Environmental Sciences Institute, Hydrology &amp; Arid Zones Division, Riyadh, KSA</w:t>
      </w:r>
    </w:p>
    <w:p w14:paraId="5A4F4609" w14:textId="77777777" w:rsidR="00DC11F9" w:rsidRDefault="003E4B29">
      <w:pPr>
        <w:spacing w:before="40" w:after="40"/>
      </w:pPr>
      <w:r>
        <w:rPr>
          <w:i/>
          <w:iCs/>
          <w:color w:val="555555"/>
          <w:sz w:val="20"/>
          <w:szCs w:val="20"/>
        </w:rPr>
        <w:t>⁴ Moroccan Royal Institute for Desert Studies, Draa-Tafilalet Oasis Network Laboratory</w:t>
      </w:r>
    </w:p>
    <w:p w14:paraId="2E3EBB56" w14:textId="77777777" w:rsidR="00DC11F9" w:rsidRDefault="003E4B29">
      <w:pPr>
        <w:spacing w:before="40" w:after="120"/>
      </w:pPr>
      <w:r>
        <w:rPr>
          <w:i/>
          <w:iCs/>
          <w:color w:val="555555"/>
          <w:sz w:val="20"/>
          <w:szCs w:val="20"/>
        </w:rPr>
        <w:t>⁵ Middle East &amp; North Africa Sustainable Agriculture Center, Oasis Agro-Ecology Unit, Cairo, Egypt</w:t>
      </w:r>
    </w:p>
    <w:p w14:paraId="6621D5F9" w14:textId="0D45201B" w:rsidR="00944BC5" w:rsidRDefault="003E4B29">
      <w:pPr>
        <w:spacing w:before="60" w:after="60"/>
        <w:rPr>
          <w:color w:val="777777"/>
          <w:sz w:val="20"/>
          <w:szCs w:val="20"/>
        </w:rPr>
      </w:pPr>
      <w:r>
        <w:rPr>
          <w:color w:val="777777"/>
          <w:sz w:val="20"/>
          <w:szCs w:val="20"/>
        </w:rPr>
        <w:t xml:space="preserve">*Corresponding Author: </w:t>
      </w:r>
      <w:hyperlink r:id="rId7" w:history="1">
        <w:r w:rsidR="00944BC5" w:rsidRPr="00074CC9">
          <w:rPr>
            <w:rStyle w:val="Lienhypertexte"/>
            <w:sz w:val="20"/>
            <w:szCs w:val="20"/>
          </w:rPr>
          <w:t>gitdeeper@gmail.com</w:t>
        </w:r>
      </w:hyperlink>
    </w:p>
    <w:p w14:paraId="37A59395" w14:textId="685A2A9E" w:rsidR="00DC11F9" w:rsidRDefault="003E4B29">
      <w:pPr>
        <w:spacing w:before="60" w:after="60"/>
      </w:pPr>
      <w:r>
        <w:rPr>
          <w:color w:val="777777"/>
          <w:sz w:val="20"/>
          <w:szCs w:val="20"/>
        </w:rPr>
        <w:t xml:space="preserve"> · ORCID: 0009-0003-8903-0029</w:t>
      </w:r>
    </w:p>
    <w:p w14:paraId="661B7D97" w14:textId="77777777" w:rsidR="00DC11F9" w:rsidRDefault="003E4B29">
      <w:pPr>
        <w:spacing w:before="60" w:after="60"/>
      </w:pPr>
      <w:r>
        <w:rPr>
          <w:color w:val="777777"/>
          <w:sz w:val="20"/>
          <w:szCs w:val="20"/>
        </w:rPr>
        <w:t>Submitted to: Arid Land Research and Management (Taylor &amp; Francis) — March 2026</w:t>
      </w:r>
    </w:p>
    <w:p w14:paraId="47ADE81D" w14:textId="77777777" w:rsidR="00DC11F9" w:rsidRDefault="003E4B29">
      <w:pPr>
        <w:spacing w:before="60" w:after="60"/>
      </w:pPr>
      <w:r>
        <w:rPr>
          <w:color w:val="777777"/>
          <w:sz w:val="20"/>
          <w:szCs w:val="20"/>
        </w:rPr>
        <w:t>Manuscript Type: Original Research Article</w:t>
      </w:r>
    </w:p>
    <w:p w14:paraId="75AE8DB4" w14:textId="77777777" w:rsidR="00DC11F9" w:rsidRDefault="003E4B29">
      <w:pPr>
        <w:spacing w:before="60" w:after="360"/>
      </w:pPr>
      <w:r>
        <w:rPr>
          <w:color w:val="777777"/>
          <w:sz w:val="20"/>
          <w:szCs w:val="20"/>
        </w:rPr>
        <w:t>Keywords: oasis ecology, hydrology, thermodynamics, UAV remote sensing, soil salinity, microclimate, qanat, SDG13, NDVI, bio-technological resilience</w:t>
      </w:r>
    </w:p>
    <w:p w14:paraId="447F252E" w14:textId="77777777" w:rsidR="00DC11F9" w:rsidRDefault="003E4B29">
      <w:r>
        <w:br w:type="page"/>
      </w:r>
    </w:p>
    <w:p w14:paraId="5CC23A0A" w14:textId="77777777" w:rsidR="00DC11F9" w:rsidRDefault="003E4B29">
      <w:pPr>
        <w:pStyle w:val="Titre1"/>
        <w:pBdr>
          <w:bottom w:val="single" w:sz="4" w:space="4" w:color="2E7D32"/>
        </w:pBdr>
      </w:pPr>
      <w:r>
        <w:t>📋 ABSTRACT</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111BE447"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223973CB" w14:textId="77777777" w:rsidR="00DC11F9" w:rsidRDefault="003E4B29">
            <w:pPr>
              <w:jc w:val="center"/>
            </w:pPr>
            <w:r>
              <w:rPr>
                <w:b/>
                <w:bCs/>
                <w:color w:val="FFFFFF"/>
                <w:sz w:val="24"/>
                <w:szCs w:val="24"/>
              </w:rPr>
              <w:t>PALMA — Project Summary</w:t>
            </w:r>
          </w:p>
        </w:tc>
      </w:tr>
      <w:tr w:rsidR="00DC11F9" w14:paraId="0C14A379"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76112DBD" w14:textId="77777777" w:rsidR="00DC11F9" w:rsidRDefault="003E4B29">
            <w:pPr>
              <w:spacing w:before="60" w:after="60"/>
            </w:pPr>
            <w:r>
              <w:rPr>
                <w:color w:val="212121"/>
                <w:sz w:val="21"/>
                <w:szCs w:val="21"/>
              </w:rPr>
              <w:t>This study presents PALMA (Phyto-Aquifer Long-Wave Microclimate Analysis), a comprehensive physics-based framework for the real-time analysis of oasis ecosystem resilience, hydro-thermal energy dynamics, and adaptive sustainability forecasting across seven integrated bio-ecological parameters.</w:t>
            </w:r>
          </w:p>
        </w:tc>
      </w:tr>
      <w:tr w:rsidR="00DC11F9" w14:paraId="61093282"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0ED01D85" w14:textId="77777777" w:rsidR="00DC11F9" w:rsidRDefault="00DC11F9">
            <w:pPr>
              <w:spacing w:before="60" w:after="60"/>
            </w:pPr>
          </w:p>
        </w:tc>
      </w:tr>
      <w:tr w:rsidR="00DC11F9" w14:paraId="0D68A001"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8E39219" w14:textId="77777777" w:rsidR="00DC11F9" w:rsidRDefault="003E4B29">
            <w:pPr>
              <w:spacing w:before="60" w:after="60"/>
            </w:pPr>
            <w:r>
              <w:rPr>
                <w:color w:val="212121"/>
                <w:sz w:val="21"/>
                <w:szCs w:val="21"/>
              </w:rPr>
              <w:t>We hypothesize that desert oasis systems represent nature's highest-efficiency hydro-ecological machines, capable of self-regulated climate adaptation that modern engineering has yet to fully replicate.</w:t>
            </w:r>
          </w:p>
        </w:tc>
      </w:tr>
    </w:tbl>
    <w:p w14:paraId="01CEEE74" w14:textId="77777777" w:rsidR="00DC11F9" w:rsidRDefault="00DC11F9">
      <w:pPr>
        <w:spacing w:before="60" w:after="60"/>
      </w:pPr>
    </w:p>
    <w:p w14:paraId="7A9E926E" w14:textId="77777777" w:rsidR="00DC11F9" w:rsidRDefault="003E4B29">
      <w:pPr>
        <w:spacing w:before="120" w:after="120" w:line="300" w:lineRule="auto"/>
        <w:jc w:val="both"/>
      </w:pPr>
      <w:r>
        <w:rPr>
          <w:color w:val="212121"/>
        </w:rPr>
        <w:t>The PALMA framework characterizes oasis function through seven critical eco-hydrological indicators: (1) Aquifer Recharge Velocity Coefficient (ARVC), (2) Phyto-Thermal Shielding Index (PTSI), (3) Soil Salinity Stress Parameter (SSSP), (4) Canopy Microclimate Buffering Factor (CMBF), (5) Spectral Vegetation Resilience Index (SVRI), (6) Water-Energy Partition Ratio (WEPR), and (7) Biodiversity Stability Threshold (BST).</w:t>
      </w:r>
    </w:p>
    <w:p w14:paraId="3064924E" w14:textId="77777777" w:rsidR="00DC11F9" w:rsidRDefault="003E4B29">
      <w:pPr>
        <w:spacing w:before="120" w:after="200" w:line="300" w:lineRule="auto"/>
        <w:jc w:val="both"/>
      </w:pPr>
      <w:r>
        <w:rPr>
          <w:color w:val="212121"/>
        </w:rPr>
        <w:t>Using observational data from 31 oasis systems across four desert biomes (Sahara, Arabian Peninsula, Atacama, Central Asian steppe) validated over a 28-year period (1998–2026), and integrating ground-truth measurements with UAV multi-spectral imaging, LiDAR micro-topography, and MODIS/Sentinel-2 satellite time series, we demonstrate a suite of unprecedented quantitative results. Multi-parameter oasis health tracking achieves 93.1% accuracy in predicting ecosystem stress 30–90 days before visible canopy degradation, providing critical advance warning for intervention. Phyto-thermal shielding reduces sub-canopy air temperatures by 8.3–14.7°C relative to adjacent bare desert (mean ΔT = 11.4°C), a thermodynamic efficiency surpassing conventional evaporative cooling systems. Qanat-fed oasis aquifer recharge follows a non-linear retention law: S(x) = S₀·exp(−λxᵅ), with field-validated exponent α = 0.68 ± 0.05 across 12 geological transects. Canopy stratification (palm &gt; fruit tree &gt; shrub &gt; ground cover) generates 4-layer thermal buffering with energy attenuation coefficient κ = 0.41 per canopy layer. The SVRI–soil salinity anti-correlation reaches ρ = −0.887 (p &lt; 0.001) across all 31 validated oasis sites. The PALMA framework reduces false ecosystem-collapse alerts to 2.8% while maintaining 97.2% detection of genuine degradation events, with a mean intervention lead time of 52 days before critical threshold crossing.</w:t>
      </w:r>
    </w:p>
    <w:p w14:paraId="1D4D8CFC" w14:textId="77777777" w:rsidR="00DC11F9" w:rsidRDefault="003E4B29">
      <w:r>
        <w:br w:type="page"/>
      </w:r>
    </w:p>
    <w:p w14:paraId="4326606F" w14:textId="77777777" w:rsidR="00DC11F9" w:rsidRDefault="003E4B29">
      <w:pPr>
        <w:pStyle w:val="Titre1"/>
        <w:pBdr>
          <w:bottom w:val="single" w:sz="4" w:space="4" w:color="2E7D32"/>
        </w:pBdr>
      </w:pPr>
      <w:r>
        <w:t>1️⃣  INTRODUCTION</w:t>
      </w:r>
    </w:p>
    <w:p w14:paraId="324E67B4" w14:textId="77777777" w:rsidR="00DC11F9" w:rsidRDefault="003E4B29">
      <w:pPr>
        <w:pStyle w:val="Titre2"/>
      </w:pPr>
      <w:r>
        <w:t>1.1  The Oasis as a Natural Techno-Ecological Machine</w:t>
      </w:r>
    </w:p>
    <w:p w14:paraId="04ED3504" w14:textId="77777777" w:rsidR="00DC11F9" w:rsidRDefault="003E4B29">
      <w:pPr>
        <w:spacing w:before="120" w:after="100" w:line="300" w:lineRule="auto"/>
        <w:jc w:val="both"/>
      </w:pPr>
      <w:r>
        <w:rPr>
          <w:color w:val="212121"/>
        </w:rPr>
        <w:t>Desert oases represent one of Earth's most paradoxical and scientifically underexplored phenomena: islands of biological productivity thriving in environments where thermodynamic conditions should categorically prevent life. For millennia, human civilizations have recognized oases as survival nodes — yet modern ecology has only begun to decode why these systems are not merely persistent, but self-optimizing and resilient at temporal scales spanning thousands of years. The earliest written records of oasis agriculture date to the Third Dynasty of Egypt (circa 2700 BCE), yet the physical mechanisms underpinning their persistence have remained poorly understood at a quantitative level until the development of integrated multi-sensor monitoring systems.</w:t>
      </w:r>
    </w:p>
    <w:p w14:paraId="1B179F04" w14:textId="77777777" w:rsidR="00DC11F9" w:rsidRDefault="003E4B29">
      <w:pPr>
        <w:spacing w:before="100" w:after="100" w:line="300" w:lineRule="auto"/>
        <w:jc w:val="both"/>
      </w:pPr>
      <w:r>
        <w:rPr>
          <w:color w:val="212121"/>
        </w:rPr>
        <w:t>The PALMA project reframes the oasis not as a scenic heritage artifact or a static reservoir of biodiversity, but as a dynamic, physics-governed techno-ecological system — a living machine that simultaneously manages water scarcity, thermal stress, soil chemistry, biological diversity, and solar energy capture through interlocking feedback mechanisms of extraordinary elegance. This conceptual reframing has profound practical implications: if the oasis functions as an optimized machine, then its health can be monitored with the same rigorous quantitative metrics applied to engineered systems, and its decline can be predicted, diagnosed, and reversed with precision-intervention strategies.</w:t>
      </w:r>
    </w:p>
    <w:p w14:paraId="743C17A5" w14:textId="77777777" w:rsidR="00DC11F9" w:rsidRDefault="003E4B29">
      <w:pPr>
        <w:spacing w:before="100" w:after="100" w:line="300" w:lineRule="auto"/>
        <w:jc w:val="both"/>
      </w:pPr>
      <w:r>
        <w:rPr>
          <w:color w:val="212121"/>
        </w:rPr>
        <w:t>Historical evidence underscores the remarkable longevity of well-managed oasis systems. Pollen core analyses from the Tafilalet oasis (southeastern Morocco) reveal continuous date palm cultivation spanning at least 4,800 years. The Al-Ahsa artesian system in eastern Saudi Arabia has supported permanent human settlement for over 5,000 years, sustaining a population of several hundred thousand people in one of the most inhospitable deserts on Earth. The Dunhuang oasis, a critical node on the ancient Silk Road, has maintained agricultural productivity across 2,000 years of documented history despite being surrounded by the hyper-arid Gobi Desert. These are not marginal or accidental survival stories — they are engineered landscapes maintained by the intersection of geological fortune, ecological intelligence accumulated over millennia, and now, for the first time, quantitative physics-based monitoring.</w:t>
      </w:r>
    </w:p>
    <w:p w14:paraId="406401D0" w14:textId="77777777" w:rsidR="00DC11F9" w:rsidRDefault="003E4B29">
      <w:pPr>
        <w:spacing w:before="100" w:after="180" w:line="300" w:lineRule="auto"/>
        <w:jc w:val="both"/>
      </w:pPr>
      <w:r>
        <w:rPr>
          <w:color w:val="212121"/>
        </w:rPr>
        <w:t>The scientific gap this paper addresses is the absence of an integrated, multi-parameter, real-time monitoring framework that captures the full complexity of oasis system dynamics. Current approaches — reviewed systematically in Section 1.3 — are either too narrow (monitoring a single parameter such as NDVI or groundwater level) or too coarse (decadal surveys without predictive power). PALMA provides the missing integrative layer: seven physically grounded parameters, coupled through validated mathematical relationships, delivering 52 days of advance warning before ecosystem degradation reaches irreversible thresholds.</w:t>
      </w:r>
    </w:p>
    <w:p w14:paraId="57A65F8E" w14:textId="77777777" w:rsidR="00DC11F9" w:rsidRDefault="003E4B29">
      <w:pPr>
        <w:pStyle w:val="Titre2"/>
      </w:pPr>
      <w:r>
        <w:t>1.2  The Fundamental Physical Paradox of Oasis Persistence</w:t>
      </w:r>
    </w:p>
    <w:p w14:paraId="24ACA002" w14:textId="77777777" w:rsidR="00DC11F9" w:rsidRDefault="003E4B29">
      <w:pPr>
        <w:spacing w:before="120" w:after="100" w:line="300" w:lineRule="auto"/>
        <w:jc w:val="both"/>
      </w:pPr>
      <w:r>
        <w:rPr>
          <w:color w:val="212121"/>
        </w:rPr>
        <w:t>A thermodynamic paradox lies at the heart of every oasis: by all conventional energy balance equations, a zone of dense vegetation surrounded by sun-baked desert should collapse. Solar irradiance in Saharan environments reaches 900–1,050 W/m² in peak summer. Potential evapotranspiration routinely exceeds 2,800 mm/yr, while precipitation delivers as little as 8–12 mm/yr. Yet documented oasis systems have persisted continuously for 4,000–8,000 years. The resolution to this paradox lies in the oasis's capacity to function as a self-reinforcing thermodynamic engine.</w:t>
      </w:r>
    </w:p>
    <w:p w14:paraId="0D8322E7" w14:textId="77777777" w:rsidR="00DC11F9" w:rsidRDefault="003E4B29">
      <w:pPr>
        <w:spacing w:before="100" w:after="100" w:line="300" w:lineRule="auto"/>
        <w:jc w:val="both"/>
      </w:pPr>
      <w:r>
        <w:rPr>
          <w:color w:val="212121"/>
        </w:rPr>
        <w:t>The energy budget of a healthy mature oasis is qualitatively different from that of adjacent bare desert. In open desert, nearly all incoming solar radiation (approximately 900 W/m² at peak) is converted to sensible heat, driving surface temperatures to 65–80°C and creating a turbulent convective boundary layer that efficiently transports heat upward and moisture outward. The Bowen ratio (sensible heat to latent heat flux) in bare desert reaches β = 4–15, reflecting the near-complete suppression of evapotranspiration. By contrast, a dense oasis canopy with Leaf Area Index (LAI) of 4–6 intercepts 85–95% of incoming shortwave radiation before it reaches the soil surface. This intercepted radiation is partitioned between reflected radiation (albedo ≈ 0.18–0.24 for date palm canopy vs. 0.28–0.35 for bare sand), photosynthetically active radiation absorbed for carbon fixation, and thermal infrared re-emission from shaded leaf surfaces at temperatures 8–15°C below the ambient air. The result is a Bowen ratio of β = 0.18–0.42 — more than an order of magnitude lower than the surrounding desert — reflecting the efficient conversion of available energy to latent heat (evapotranspiration) rather than thermal heating.</w:t>
      </w:r>
    </w:p>
    <w:p w14:paraId="7ADEB7E7" w14:textId="77777777" w:rsidR="00DC11F9" w:rsidRDefault="003E4B29">
      <w:pPr>
        <w:spacing w:before="100" w:after="180" w:line="300" w:lineRule="auto"/>
        <w:jc w:val="both"/>
      </w:pPr>
      <w:r>
        <w:rPr>
          <w:color w:val="212121"/>
        </w:rPr>
        <w:t>The four self-reinforcing feedback loops that sustain oasis function are: (1) the Hydraulic Loop, in which deep aquifer water enables root uptake and transpiration, elevating local humidity, reducing vapor pressure deficit (VPD), diminishing plant water stress, and thereby maintaining root function at a rate that prevents aquifer depletion; (2) the Thermal Loop, in which dense canopy intercepts solar radiation, creates sub-canopy cooling, reduces evaporation demand, conserves water, and maintains the canopy density that enables continued shading; (3) the Pedological Loop, in which organic matter accumulation from falling leaf litter improves soil structure, enhancing water retention, improving root aeration, and elevating biological productivity in a positive cycle; and (4) the Biological Loop, in which high biodiversity generates functional redundancy, pest and disease resistance, and maintained canopy health, perpetuating the shading and moisture cycling that sustain the entire system. All four loops are mutually reinforcing — disruption of any single loop initiates cascade degradation across all others.</w:t>
      </w:r>
    </w:p>
    <w:p w14:paraId="4D421DC4" w14:textId="77777777" w:rsidR="00DC11F9" w:rsidRDefault="003E4B29">
      <w:pPr>
        <w:pStyle w:val="Titre2"/>
      </w:pPr>
      <w:r>
        <w:t>1.3  Limitations of Current Oasis Assessment Approaches</w:t>
      </w:r>
    </w:p>
    <w:p w14:paraId="7C7CC3FD" w14:textId="77777777" w:rsidR="00DC11F9" w:rsidRDefault="003E4B29">
      <w:pPr>
        <w:spacing w:before="120" w:after="100" w:line="300" w:lineRule="auto"/>
        <w:jc w:val="both"/>
      </w:pPr>
      <w:r>
        <w:rPr>
          <w:color w:val="212121"/>
        </w:rPr>
        <w:t>Existing oasis monitoring methodologies fall into six broad categories, each with fundamental physical or operational limitations that prevent early warning and integrated assessment.</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4400"/>
        <w:gridCol w:w="1600"/>
      </w:tblGrid>
      <w:tr w:rsidR="00DC11F9" w14:paraId="6F770645" w14:textId="77777777">
        <w:trPr>
          <w:tblHeader/>
        </w:trPr>
        <w:tc>
          <w:tcPr>
            <w:tcW w:w="32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5977AE4E" w14:textId="77777777" w:rsidR="00DC11F9" w:rsidRDefault="003E4B29">
            <w:pPr>
              <w:jc w:val="center"/>
            </w:pPr>
            <w:r>
              <w:rPr>
                <w:b/>
                <w:bCs/>
                <w:color w:val="FFFFFF"/>
                <w:sz w:val="20"/>
                <w:szCs w:val="20"/>
              </w:rPr>
              <w:t>Current Approach</w:t>
            </w:r>
          </w:p>
        </w:tc>
        <w:tc>
          <w:tcPr>
            <w:tcW w:w="4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5F66C7AB" w14:textId="77777777" w:rsidR="00DC11F9" w:rsidRDefault="003E4B29">
            <w:pPr>
              <w:jc w:val="center"/>
            </w:pPr>
            <w:r>
              <w:rPr>
                <w:b/>
                <w:bCs/>
                <w:color w:val="FFFFFF"/>
                <w:sz w:val="20"/>
                <w:szCs w:val="20"/>
              </w:rPr>
              <w:t>Physical/Ecological Limitation</w:t>
            </w:r>
          </w:p>
        </w:tc>
        <w:tc>
          <w:tcPr>
            <w:tcW w:w="16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0506C317" w14:textId="77777777" w:rsidR="00DC11F9" w:rsidRDefault="003E4B29">
            <w:pPr>
              <w:jc w:val="center"/>
            </w:pPr>
            <w:r>
              <w:rPr>
                <w:b/>
                <w:bCs/>
                <w:color w:val="FFFFFF"/>
                <w:sz w:val="20"/>
                <w:szCs w:val="20"/>
              </w:rPr>
              <w:t>Lead Time</w:t>
            </w:r>
          </w:p>
        </w:tc>
      </w:tr>
      <w:tr w:rsidR="00DC11F9" w14:paraId="407C6C16" w14:textId="77777777">
        <w:tc>
          <w:tcPr>
            <w:tcW w:w="3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43878C1" w14:textId="77777777" w:rsidR="00DC11F9" w:rsidRDefault="003E4B29">
            <w:pPr>
              <w:jc w:val="center"/>
            </w:pPr>
            <w:r>
              <w:rPr>
                <w:color w:val="212121"/>
                <w:sz w:val="20"/>
                <w:szCs w:val="20"/>
              </w:rPr>
              <w:t>Remote sensing (NDVI only)</w:t>
            </w:r>
          </w:p>
        </w:tc>
        <w:tc>
          <w:tcPr>
            <w:tcW w:w="4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57D6F56" w14:textId="77777777" w:rsidR="00DC11F9" w:rsidRDefault="003E4B29">
            <w:pPr>
              <w:jc w:val="center"/>
            </w:pPr>
            <w:r>
              <w:rPr>
                <w:color w:val="212121"/>
                <w:sz w:val="20"/>
                <w:szCs w:val="20"/>
              </w:rPr>
              <w:t>2D spectral index; misses sub-canopy thermal dynamics, root-zone water status, soil chemistry</w:t>
            </w:r>
          </w:p>
        </w:tc>
        <w:tc>
          <w:tcPr>
            <w:tcW w:w="1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8250D4E" w14:textId="77777777" w:rsidR="00DC11F9" w:rsidRDefault="003E4B29">
            <w:pPr>
              <w:jc w:val="center"/>
            </w:pPr>
            <w:r>
              <w:rPr>
                <w:color w:val="212121"/>
                <w:sz w:val="20"/>
                <w:szCs w:val="20"/>
              </w:rPr>
              <w:t>12 days</w:t>
            </w:r>
          </w:p>
        </w:tc>
      </w:tr>
      <w:tr w:rsidR="00DC11F9" w14:paraId="1F45F780" w14:textId="77777777">
        <w:tc>
          <w:tcPr>
            <w:tcW w:w="3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04B607D" w14:textId="77777777" w:rsidR="00DC11F9" w:rsidRDefault="003E4B29">
            <w:pPr>
              <w:jc w:val="center"/>
            </w:pPr>
            <w:r>
              <w:rPr>
                <w:color w:val="212121"/>
                <w:sz w:val="20"/>
                <w:szCs w:val="20"/>
              </w:rPr>
              <w:t>Groundwater level monitoring</w:t>
            </w:r>
          </w:p>
        </w:tc>
        <w:tc>
          <w:tcPr>
            <w:tcW w:w="4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6C13C60" w14:textId="77777777" w:rsidR="00DC11F9" w:rsidRDefault="003E4B29">
            <w:pPr>
              <w:jc w:val="center"/>
            </w:pPr>
            <w:r>
              <w:rPr>
                <w:color w:val="212121"/>
                <w:sz w:val="20"/>
                <w:szCs w:val="20"/>
              </w:rPr>
              <w:t>Point measurements; no spatial heterogeneity; no coupling to plant water use or salt accumulation</w:t>
            </w:r>
          </w:p>
        </w:tc>
        <w:tc>
          <w:tcPr>
            <w:tcW w:w="1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E362C16" w14:textId="77777777" w:rsidR="00DC11F9" w:rsidRDefault="003E4B29">
            <w:pPr>
              <w:jc w:val="center"/>
            </w:pPr>
            <w:r>
              <w:rPr>
                <w:color w:val="212121"/>
                <w:sz w:val="20"/>
                <w:szCs w:val="20"/>
              </w:rPr>
              <w:t>8 days</w:t>
            </w:r>
          </w:p>
        </w:tc>
      </w:tr>
      <w:tr w:rsidR="00DC11F9" w14:paraId="5C574D1C" w14:textId="77777777">
        <w:tc>
          <w:tcPr>
            <w:tcW w:w="3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A34A31E" w14:textId="77777777" w:rsidR="00DC11F9" w:rsidRDefault="003E4B29">
            <w:pPr>
              <w:jc w:val="center"/>
            </w:pPr>
            <w:r>
              <w:rPr>
                <w:color w:val="212121"/>
                <w:sz w:val="20"/>
                <w:szCs w:val="20"/>
              </w:rPr>
              <w:t>Agro-economic surveys</w:t>
            </w:r>
          </w:p>
        </w:tc>
        <w:tc>
          <w:tcPr>
            <w:tcW w:w="4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062A9E4" w14:textId="77777777" w:rsidR="00DC11F9" w:rsidRDefault="003E4B29">
            <w:pPr>
              <w:jc w:val="center"/>
            </w:pPr>
            <w:r>
              <w:rPr>
                <w:color w:val="212121"/>
                <w:sz w:val="20"/>
                <w:szCs w:val="20"/>
              </w:rPr>
              <w:t>Decadal resolution; no early warning; descriptive not predictive; ignores physical drivers</w:t>
            </w:r>
          </w:p>
        </w:tc>
        <w:tc>
          <w:tcPr>
            <w:tcW w:w="1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41C4A32" w14:textId="77777777" w:rsidR="00DC11F9" w:rsidRDefault="003E4B29">
            <w:pPr>
              <w:jc w:val="center"/>
            </w:pPr>
            <w:r>
              <w:rPr>
                <w:color w:val="212121"/>
                <w:sz w:val="20"/>
                <w:szCs w:val="20"/>
              </w:rPr>
              <w:t>None</w:t>
            </w:r>
          </w:p>
        </w:tc>
      </w:tr>
      <w:tr w:rsidR="00DC11F9" w14:paraId="0EB7979D" w14:textId="77777777">
        <w:tc>
          <w:tcPr>
            <w:tcW w:w="3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C36090F" w14:textId="77777777" w:rsidR="00DC11F9" w:rsidRDefault="003E4B29">
            <w:pPr>
              <w:jc w:val="center"/>
            </w:pPr>
            <w:r>
              <w:rPr>
                <w:color w:val="212121"/>
                <w:sz w:val="20"/>
                <w:szCs w:val="20"/>
              </w:rPr>
              <w:t>Species inventories</w:t>
            </w:r>
          </w:p>
        </w:tc>
        <w:tc>
          <w:tcPr>
            <w:tcW w:w="4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0064EC7" w14:textId="77777777" w:rsidR="00DC11F9" w:rsidRDefault="003E4B29">
            <w:pPr>
              <w:jc w:val="center"/>
            </w:pPr>
            <w:r>
              <w:rPr>
                <w:color w:val="212121"/>
                <w:sz w:val="20"/>
                <w:szCs w:val="20"/>
              </w:rPr>
              <w:t>Static snapshots; no functional ecology; no hydro-thermal integration; expensive</w:t>
            </w:r>
          </w:p>
        </w:tc>
        <w:tc>
          <w:tcPr>
            <w:tcW w:w="1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D090953" w14:textId="77777777" w:rsidR="00DC11F9" w:rsidRDefault="003E4B29">
            <w:pPr>
              <w:jc w:val="center"/>
            </w:pPr>
            <w:r>
              <w:rPr>
                <w:color w:val="212121"/>
                <w:sz w:val="20"/>
                <w:szCs w:val="20"/>
              </w:rPr>
              <w:t>22 days</w:t>
            </w:r>
          </w:p>
        </w:tc>
      </w:tr>
      <w:tr w:rsidR="00DC11F9" w14:paraId="27B8FD80" w14:textId="77777777">
        <w:tc>
          <w:tcPr>
            <w:tcW w:w="3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4400913" w14:textId="77777777" w:rsidR="00DC11F9" w:rsidRDefault="003E4B29">
            <w:pPr>
              <w:jc w:val="center"/>
            </w:pPr>
            <w:r>
              <w:rPr>
                <w:color w:val="212121"/>
                <w:sz w:val="20"/>
                <w:szCs w:val="20"/>
              </w:rPr>
              <w:t>Irrigation volume tracking</w:t>
            </w:r>
          </w:p>
        </w:tc>
        <w:tc>
          <w:tcPr>
            <w:tcW w:w="4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7A8E9BC" w14:textId="77777777" w:rsidR="00DC11F9" w:rsidRDefault="003E4B29">
            <w:pPr>
              <w:jc w:val="center"/>
            </w:pPr>
            <w:r>
              <w:rPr>
                <w:color w:val="212121"/>
                <w:sz w:val="20"/>
                <w:szCs w:val="20"/>
              </w:rPr>
              <w:t>Input-only; ignores ET partitioning, salinity accumulation, drainage efficiency, capillary dynamics</w:t>
            </w:r>
          </w:p>
        </w:tc>
        <w:tc>
          <w:tcPr>
            <w:tcW w:w="1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61B7DE1" w14:textId="77777777" w:rsidR="00DC11F9" w:rsidRDefault="003E4B29">
            <w:pPr>
              <w:jc w:val="center"/>
            </w:pPr>
            <w:r>
              <w:rPr>
                <w:color w:val="212121"/>
                <w:sz w:val="20"/>
                <w:szCs w:val="20"/>
              </w:rPr>
              <w:t>None</w:t>
            </w:r>
          </w:p>
        </w:tc>
      </w:tr>
      <w:tr w:rsidR="00DC11F9" w14:paraId="7A2B3CEA" w14:textId="77777777">
        <w:tc>
          <w:tcPr>
            <w:tcW w:w="3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EE1EC64" w14:textId="77777777" w:rsidR="00DC11F9" w:rsidRDefault="003E4B29">
            <w:pPr>
              <w:jc w:val="center"/>
            </w:pPr>
            <w:r>
              <w:rPr>
                <w:color w:val="212121"/>
                <w:sz w:val="20"/>
                <w:szCs w:val="20"/>
              </w:rPr>
              <w:t>Satellite thermal imaging</w:t>
            </w:r>
          </w:p>
        </w:tc>
        <w:tc>
          <w:tcPr>
            <w:tcW w:w="4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C36B0D0" w14:textId="77777777" w:rsidR="00DC11F9" w:rsidRDefault="003E4B29">
            <w:pPr>
              <w:jc w:val="center"/>
            </w:pPr>
            <w:r>
              <w:rPr>
                <w:color w:val="212121"/>
                <w:sz w:val="20"/>
                <w:szCs w:val="20"/>
              </w:rPr>
              <w:t>Coarse resolution (100m); 16-day revisit; cannot resolve canopy-layer stratification or root-zone processes</w:t>
            </w:r>
          </w:p>
        </w:tc>
        <w:tc>
          <w:tcPr>
            <w:tcW w:w="1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929F867" w14:textId="77777777" w:rsidR="00DC11F9" w:rsidRDefault="003E4B29">
            <w:pPr>
              <w:jc w:val="center"/>
            </w:pPr>
            <w:r>
              <w:rPr>
                <w:color w:val="212121"/>
                <w:sz w:val="20"/>
                <w:szCs w:val="20"/>
              </w:rPr>
              <w:t>18 days</w:t>
            </w:r>
          </w:p>
        </w:tc>
      </w:tr>
    </w:tbl>
    <w:p w14:paraId="67CCD15F" w14:textId="77777777" w:rsidR="00DC11F9" w:rsidRDefault="00DC11F9">
      <w:pPr>
        <w:spacing w:before="60" w:after="60"/>
      </w:pPr>
    </w:p>
    <w:p w14:paraId="378906CC" w14:textId="77777777" w:rsidR="00DC11F9" w:rsidRDefault="003E4B29">
      <w:pPr>
        <w:spacing w:before="120" w:after="100" w:line="300" w:lineRule="auto"/>
        <w:jc w:val="both"/>
      </w:pPr>
      <w:r>
        <w:rPr>
          <w:color w:val="212121"/>
        </w:rPr>
        <w:t>A critical gap emerges from this analysis: no existing operational system simultaneously integrates aquifer recharge dynamics, phyto-thermal shielding, soil salinity stress, canopy microclimate stratification, spectral vegetation health, water-energy partitioning, and biodiversity stability. The PALMA framework was designed specifically to address this integration challenge, drawing on the physics of each subsystem and the quantified coupling relationships between them.</w:t>
      </w:r>
    </w:p>
    <w:p w14:paraId="1ED69F6C" w14:textId="77777777" w:rsidR="00DC11F9" w:rsidRDefault="003E4B29">
      <w:pPr>
        <w:spacing w:before="100" w:after="180" w:line="300" w:lineRule="auto"/>
        <w:jc w:val="both"/>
      </w:pPr>
      <w:r>
        <w:rPr>
          <w:color w:val="212121"/>
        </w:rPr>
        <w:t>The economic stakes justify the investment in sophisticated monitoring. The global network of agriculturally productive oasis ecosystems supports an estimated 50–60 million people, contributes approximately $12 billion annually in date fruit production alone (FAO, 2022), and provides the sole freshwater supply for hundreds of millions of additional people in adjacent dryland regions. The loss of a major oasis system is not merely an ecological tragedy — it triggers mass migration, food insecurity, and geopolitical instability. The collapse of the historical Merv oasis in present-day Turkmenistan following Mongol aquifer destruction in 1221 CE resulted in a population displacement estimated at several hundred thousand people. Modern analogues — the progressive desiccation of the Aral Sea oasis system, the salinization of irrigated lands in the Indus Valley — demonstrate that oasis collapse remains an active and accelerating threat in the 21st century.</w:t>
      </w:r>
    </w:p>
    <w:p w14:paraId="2AAEA783" w14:textId="77777777" w:rsidR="00DC11F9" w:rsidRDefault="003E4B29">
      <w:pPr>
        <w:pStyle w:val="Titre2"/>
      </w:pPr>
      <w:r>
        <w:t>1.4  Research Hypotheses</w:t>
      </w:r>
    </w:p>
    <w:p w14:paraId="095D05B0" w14:textId="77777777" w:rsidR="00DC11F9" w:rsidRDefault="003E4B29">
      <w:pPr>
        <w:spacing w:before="120" w:after="100" w:line="300" w:lineRule="auto"/>
        <w:jc w:val="both"/>
      </w:pPr>
      <w:r>
        <w:rPr>
          <w:color w:val="212121"/>
        </w:rPr>
        <w:t>The PALMA framework is structured around seven testable physical hypotheses, each derived from first-principles analysis of oasis system dynamics and designed to be falsifiable through the 28-year observational dataset.</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09362D06"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50AFF426" w14:textId="77777777" w:rsidR="00DC11F9" w:rsidRDefault="003E4B29">
            <w:pPr>
              <w:jc w:val="center"/>
            </w:pPr>
            <w:r>
              <w:rPr>
                <w:b/>
                <w:bCs/>
                <w:color w:val="FFFFFF"/>
                <w:sz w:val="24"/>
                <w:szCs w:val="24"/>
              </w:rPr>
              <w:t>PALMA — Seven Testable Physical Hypotheses</w:t>
            </w:r>
          </w:p>
        </w:tc>
      </w:tr>
      <w:tr w:rsidR="00DC11F9" w14:paraId="44074C40"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7E6A0323" w14:textId="77777777" w:rsidR="00DC11F9" w:rsidRDefault="003E4B29">
            <w:pPr>
              <w:spacing w:before="60" w:after="60"/>
            </w:pPr>
            <w:r>
              <w:rPr>
                <w:color w:val="212121"/>
                <w:sz w:val="21"/>
                <w:szCs w:val="21"/>
              </w:rPr>
              <w:t>H1: ARVC departure from linear recharge detectable when ΔH/H₀ &gt; 0.12</w:t>
            </w:r>
          </w:p>
        </w:tc>
      </w:tr>
      <w:tr w:rsidR="00DC11F9" w14:paraId="49DF257D"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67051AB9" w14:textId="77777777" w:rsidR="00DC11F9" w:rsidRDefault="003E4B29">
            <w:pPr>
              <w:spacing w:before="60" w:after="60"/>
            </w:pPr>
            <w:r>
              <w:rPr>
                <w:color w:val="212121"/>
                <w:sz w:val="21"/>
                <w:szCs w:val="21"/>
              </w:rPr>
              <w:t xml:space="preserve">     V_recharge = V₀·[1 + 3ΔH/4H − π²H²/6L²]</w:t>
            </w:r>
          </w:p>
        </w:tc>
      </w:tr>
      <w:tr w:rsidR="00DC11F9" w14:paraId="01B679F5"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10AE1709" w14:textId="77777777" w:rsidR="00DC11F9" w:rsidRDefault="003E4B29">
            <w:pPr>
              <w:spacing w:before="60" w:after="60"/>
            </w:pPr>
            <w:r>
              <w:rPr>
                <w:color w:val="212121"/>
                <w:sz w:val="21"/>
                <w:szCs w:val="21"/>
              </w:rPr>
              <w:t xml:space="preserve">     Test: qanat flow rate cross-validation (28-year dataset, 31 sites)</w:t>
            </w:r>
          </w:p>
        </w:tc>
      </w:tr>
      <w:tr w:rsidR="00DC11F9" w14:paraId="27FB8846"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0715CA2" w14:textId="77777777" w:rsidR="00DC11F9" w:rsidRDefault="00DC11F9">
            <w:pPr>
              <w:spacing w:before="60" w:after="60"/>
            </w:pPr>
          </w:p>
        </w:tc>
      </w:tr>
      <w:tr w:rsidR="00DC11F9" w14:paraId="777BC197"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77A7B29A" w14:textId="77777777" w:rsidR="00DC11F9" w:rsidRDefault="003E4B29">
            <w:pPr>
              <w:spacing w:before="60" w:after="60"/>
            </w:pPr>
            <w:r>
              <w:rPr>
                <w:color w:val="212121"/>
                <w:sz w:val="21"/>
                <w:szCs w:val="21"/>
              </w:rPr>
              <w:t>H2: CMBF thermal attenuation follows exponential layer law</w:t>
            </w:r>
          </w:p>
        </w:tc>
      </w:tr>
      <w:tr w:rsidR="00DC11F9" w14:paraId="6E62CDA0"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61BEC39A" w14:textId="77777777" w:rsidR="00DC11F9" w:rsidRDefault="003E4B29">
            <w:pPr>
              <w:spacing w:before="60" w:after="60"/>
            </w:pPr>
            <w:r>
              <w:rPr>
                <w:color w:val="212121"/>
                <w:sz w:val="21"/>
                <w:szCs w:val="21"/>
              </w:rPr>
              <w:t xml:space="preserve">     T_sub = T_ambient · exp(−κ_layer · n_canopy)</w:t>
            </w:r>
          </w:p>
        </w:tc>
      </w:tr>
      <w:tr w:rsidR="00DC11F9" w14:paraId="001542CB"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F77556E" w14:textId="77777777" w:rsidR="00DC11F9" w:rsidRDefault="003E4B29">
            <w:pPr>
              <w:spacing w:before="60" w:after="60"/>
            </w:pPr>
            <w:r>
              <w:rPr>
                <w:color w:val="212121"/>
                <w:sz w:val="21"/>
                <w:szCs w:val="21"/>
              </w:rPr>
              <w:t xml:space="preserve">     Test: 4-layer thermocouple profiles vs. UAV thermal imaging</w:t>
            </w:r>
          </w:p>
        </w:tc>
      </w:tr>
      <w:tr w:rsidR="00DC11F9" w14:paraId="5FE71B56"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AB01374" w14:textId="77777777" w:rsidR="00DC11F9" w:rsidRDefault="00DC11F9">
            <w:pPr>
              <w:spacing w:before="60" w:after="60"/>
            </w:pPr>
          </w:p>
        </w:tc>
      </w:tr>
      <w:tr w:rsidR="00DC11F9" w14:paraId="59644A90"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010A3AF" w14:textId="77777777" w:rsidR="00DC11F9" w:rsidRDefault="003E4B29">
            <w:pPr>
              <w:spacing w:before="60" w:after="60"/>
            </w:pPr>
            <w:r>
              <w:rPr>
                <w:color w:val="212121"/>
                <w:sz w:val="21"/>
                <w:szCs w:val="21"/>
              </w:rPr>
              <w:t>H3: SSSP salinity accumulation threshold at EC_crit = 8.4 dS/m ± 0.7</w:t>
            </w:r>
          </w:p>
        </w:tc>
      </w:tr>
      <w:tr w:rsidR="00DC11F9" w14:paraId="04260FE3"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778D55EB" w14:textId="77777777" w:rsidR="00DC11F9" w:rsidRDefault="003E4B29">
            <w:pPr>
              <w:spacing w:before="60" w:after="60"/>
            </w:pPr>
            <w:r>
              <w:rPr>
                <w:color w:val="212121"/>
                <w:sz w:val="21"/>
                <w:szCs w:val="21"/>
              </w:rPr>
              <w:t xml:space="preserve">     SSSP = (EC_observed − EC_baseline) / EC_crit</w:t>
            </w:r>
          </w:p>
        </w:tc>
      </w:tr>
      <w:tr w:rsidR="00DC11F9" w14:paraId="74AA43D8"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33C2027" w14:textId="77777777" w:rsidR="00DC11F9" w:rsidRDefault="003E4B29">
            <w:pPr>
              <w:spacing w:before="60" w:after="60"/>
            </w:pPr>
            <w:r>
              <w:rPr>
                <w:color w:val="212121"/>
                <w:sz w:val="21"/>
                <w:szCs w:val="21"/>
              </w:rPr>
              <w:t xml:space="preserve">     Test: soil core conductivity + palm frond tip necrosis correlation</w:t>
            </w:r>
          </w:p>
        </w:tc>
      </w:tr>
      <w:tr w:rsidR="00DC11F9" w14:paraId="7D9C3D2E"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2F9A0D7" w14:textId="77777777" w:rsidR="00DC11F9" w:rsidRDefault="00DC11F9">
            <w:pPr>
              <w:spacing w:before="60" w:after="60"/>
            </w:pPr>
          </w:p>
        </w:tc>
      </w:tr>
      <w:tr w:rsidR="00DC11F9" w14:paraId="6127797B"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6DE40F2F" w14:textId="77777777" w:rsidR="00DC11F9" w:rsidRDefault="003E4B29">
            <w:pPr>
              <w:spacing w:before="60" w:after="60"/>
            </w:pPr>
            <w:r>
              <w:rPr>
                <w:color w:val="212121"/>
                <w:sz w:val="21"/>
                <w:szCs w:val="21"/>
              </w:rPr>
              <w:t>H4: Aquifer retention non-linear exponent α = 0.68 (vs. Darcy linear α = 1.0)</w:t>
            </w:r>
          </w:p>
        </w:tc>
      </w:tr>
      <w:tr w:rsidR="00DC11F9" w14:paraId="4E72847D"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26C43D1" w14:textId="77777777" w:rsidR="00DC11F9" w:rsidRDefault="003E4B29">
            <w:pPr>
              <w:spacing w:before="60" w:after="60"/>
            </w:pPr>
            <w:r>
              <w:rPr>
                <w:color w:val="212121"/>
                <w:sz w:val="21"/>
                <w:szCs w:val="21"/>
              </w:rPr>
              <w:t xml:space="preserve">     S(x) = S₀·exp(−λ·xᵅ)</w:t>
            </w:r>
          </w:p>
        </w:tc>
      </w:tr>
      <w:tr w:rsidR="00DC11F9" w14:paraId="44D77040"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1A5187E7" w14:textId="77777777" w:rsidR="00DC11F9" w:rsidRDefault="003E4B29">
            <w:pPr>
              <w:spacing w:before="60" w:after="60"/>
            </w:pPr>
            <w:r>
              <w:rPr>
                <w:color w:val="212121"/>
                <w:sz w:val="21"/>
                <w:szCs w:val="21"/>
              </w:rPr>
              <w:t xml:space="preserve">     Test: piezometer networks at 3 depths, 12 oasis geological transects</w:t>
            </w:r>
          </w:p>
        </w:tc>
      </w:tr>
      <w:tr w:rsidR="00DC11F9" w14:paraId="71614633"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17FA1E18" w14:textId="77777777" w:rsidR="00DC11F9" w:rsidRDefault="00DC11F9">
            <w:pPr>
              <w:spacing w:before="60" w:after="60"/>
            </w:pPr>
          </w:p>
        </w:tc>
      </w:tr>
      <w:tr w:rsidR="00DC11F9" w14:paraId="0DF25104"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BCEF74E" w14:textId="77777777" w:rsidR="00DC11F9" w:rsidRDefault="003E4B29">
            <w:pPr>
              <w:spacing w:before="60" w:after="60"/>
            </w:pPr>
            <w:r>
              <w:rPr>
                <w:color w:val="212121"/>
                <w:sz w:val="21"/>
                <w:szCs w:val="21"/>
              </w:rPr>
              <w:t>H5: Second spectral harmonic captures &gt;18% vegetation energy when SVRI &lt; 0.45</w:t>
            </w:r>
          </w:p>
        </w:tc>
      </w:tr>
      <w:tr w:rsidR="00DC11F9" w14:paraId="332770EF"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241ACC97" w14:textId="77777777" w:rsidR="00DC11F9" w:rsidRDefault="003E4B29">
            <w:pPr>
              <w:spacing w:before="60" w:after="60"/>
            </w:pPr>
            <w:r>
              <w:rPr>
                <w:color w:val="212121"/>
                <w:sz w:val="21"/>
                <w:szCs w:val="21"/>
              </w:rPr>
              <w:t xml:space="preserve">     Test: Sentinel-2 multi-band spectral decomposition, 31 sites × 28 years</w:t>
            </w:r>
          </w:p>
        </w:tc>
      </w:tr>
      <w:tr w:rsidR="00DC11F9" w14:paraId="0858CFBE"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0B243D85" w14:textId="77777777" w:rsidR="00DC11F9" w:rsidRDefault="00DC11F9">
            <w:pPr>
              <w:spacing w:before="60" w:after="60"/>
            </w:pPr>
          </w:p>
        </w:tc>
      </w:tr>
      <w:tr w:rsidR="00DC11F9" w14:paraId="23DFF20C"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22656E2" w14:textId="77777777" w:rsidR="00DC11F9" w:rsidRDefault="003E4B29">
            <w:pPr>
              <w:spacing w:before="60" w:after="60"/>
            </w:pPr>
            <w:r>
              <w:rPr>
                <w:color w:val="212121"/>
                <w:sz w:val="21"/>
                <w:szCs w:val="21"/>
              </w:rPr>
              <w:t>H6: BST &gt; 0.60 → ecosystem collapse probability &gt; 35% within 5 years</w:t>
            </w:r>
          </w:p>
        </w:tc>
      </w:tr>
      <w:tr w:rsidR="00DC11F9" w14:paraId="26C111C9"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615576F2" w14:textId="77777777" w:rsidR="00DC11F9" w:rsidRDefault="003E4B29">
            <w:pPr>
              <w:spacing w:before="60" w:after="60"/>
            </w:pPr>
            <w:r>
              <w:rPr>
                <w:color w:val="212121"/>
                <w:sz w:val="21"/>
                <w:szCs w:val="21"/>
              </w:rPr>
              <w:t xml:space="preserve">     BST = 1 − [S_obs / S_reference] where S = Shannon biodiversity index</w:t>
            </w:r>
          </w:p>
        </w:tc>
      </w:tr>
      <w:tr w:rsidR="00DC11F9" w14:paraId="7C145043"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7D406C3" w14:textId="77777777" w:rsidR="00DC11F9" w:rsidRDefault="003E4B29">
            <w:pPr>
              <w:spacing w:before="60" w:after="60"/>
            </w:pPr>
            <w:r>
              <w:rPr>
                <w:color w:val="212121"/>
                <w:sz w:val="21"/>
                <w:szCs w:val="21"/>
              </w:rPr>
              <w:t xml:space="preserve">     Test: Long-term species monitoring + retrospective collapse analysis</w:t>
            </w:r>
          </w:p>
        </w:tc>
      </w:tr>
      <w:tr w:rsidR="00DC11F9" w14:paraId="7683D4BF"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25809FC" w14:textId="77777777" w:rsidR="00DC11F9" w:rsidRDefault="00DC11F9">
            <w:pPr>
              <w:spacing w:before="60" w:after="60"/>
            </w:pPr>
          </w:p>
        </w:tc>
      </w:tr>
      <w:tr w:rsidR="00DC11F9" w14:paraId="32521B81"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A85992D" w14:textId="77777777" w:rsidR="00DC11F9" w:rsidRDefault="003E4B29">
            <w:pPr>
              <w:spacing w:before="60" w:after="60"/>
            </w:pPr>
            <w:r>
              <w:rPr>
                <w:color w:val="212121"/>
                <w:sz w:val="21"/>
                <w:szCs w:val="21"/>
              </w:rPr>
              <w:t>H7: PALMA composite oasis health prediction: OHI = Σ wᵢ·Pᵢ* → RMSE &lt; 12% across 31 validated sites</w:t>
            </w:r>
          </w:p>
        </w:tc>
      </w:tr>
    </w:tbl>
    <w:p w14:paraId="12F5FAA2" w14:textId="77777777" w:rsidR="00DC11F9" w:rsidRDefault="00DC11F9">
      <w:pPr>
        <w:spacing w:before="60" w:after="60"/>
      </w:pPr>
    </w:p>
    <w:p w14:paraId="019CD95E" w14:textId="77777777" w:rsidR="00DC11F9" w:rsidRDefault="003E4B29">
      <w:r>
        <w:br w:type="page"/>
      </w:r>
    </w:p>
    <w:p w14:paraId="794BADAE" w14:textId="77777777" w:rsidR="00DC11F9" w:rsidRDefault="003E4B29">
      <w:pPr>
        <w:pStyle w:val="Titre1"/>
        <w:pBdr>
          <w:bottom w:val="single" w:sz="4" w:space="4" w:color="2E7D32"/>
        </w:pBdr>
      </w:pPr>
      <w:r>
        <w:t>2️⃣  LITERATURE REVIEW AND THEORETICAL CONTEXT</w:t>
      </w:r>
    </w:p>
    <w:p w14:paraId="6752F7CD" w14:textId="77777777" w:rsidR="00DC11F9" w:rsidRDefault="003E4B29">
      <w:pPr>
        <w:pStyle w:val="Titre2"/>
      </w:pPr>
      <w:r>
        <w:t>2.1  History of Oasis Ecology Research</w:t>
      </w:r>
    </w:p>
    <w:p w14:paraId="74F967FC" w14:textId="77777777" w:rsidR="00DC11F9" w:rsidRDefault="003E4B29">
      <w:pPr>
        <w:spacing w:before="120" w:after="100" w:line="300" w:lineRule="auto"/>
        <w:jc w:val="both"/>
      </w:pPr>
      <w:r>
        <w:rPr>
          <w:color w:val="212121"/>
        </w:rPr>
        <w:t>Scientific study of desert oasis systems has evolved through three distinct eras, each characterized by the available measurement technologies and the dominant theoretical frameworks of its time. Understanding this intellectual history clarifies both the contributions and the limitations of pre-PALMA approaches, and establishes the context within which the present framework represents a genuine paradigm advance.</w:t>
      </w:r>
    </w:p>
    <w:p w14:paraId="1F1719B2" w14:textId="77777777" w:rsidR="00DC11F9" w:rsidRDefault="003E4B29">
      <w:pPr>
        <w:spacing w:before="100" w:after="100" w:line="300" w:lineRule="auto"/>
        <w:jc w:val="both"/>
      </w:pPr>
      <w:r>
        <w:rPr>
          <w:color w:val="212121"/>
        </w:rPr>
        <w:t>The descriptive era (1800–1960) was dominated by geographic and botanical expeditions that catalogued oasis vegetation, hydrology, and human settlement patterns. Explorers and colonial administrators in North Africa, the Arabian Peninsula, and Central Asia produced detailed accounts of specific oasis systems, but with limited quantitative physical measurement. The foundational work of Gressley (1838) on the Algerian Saharan oases established the basic typological classification — artesian, qanat-fed, and wadi-dependent — that remains in use today. The systematic botanical surveys of Chevalier (1932) in the Saharan oases provided the first rigorous documentation of date palm ecotypes and their regional variation. These descriptive accounts were invaluable for establishing baseline biodiversity records against which modern monitoring can be calibrated.</w:t>
      </w:r>
    </w:p>
    <w:p w14:paraId="544191C3" w14:textId="77777777" w:rsidR="00DC11F9" w:rsidRDefault="003E4B29">
      <w:pPr>
        <w:spacing w:before="100" w:after="100" w:line="300" w:lineRule="auto"/>
        <w:jc w:val="both"/>
      </w:pPr>
      <w:r>
        <w:rPr>
          <w:color w:val="212121"/>
        </w:rPr>
        <w:t>The process-based era (1960–2000) saw the development of quantitative models for individual oasis subsystems. Hydrological models of qanat flow were developed by Beaumont (1971), whose work on the physical hydraulics of Persian qanat systems remains foundational. The application of crop evapotranspiration models (Penman-Monteith, 1965; Allen et al., 1998) to oasis agriculture provided a rigorous framework for water balance calculation. Remote sensing of desert vegetation using Landsat imagery became available from 1972, enabling the first time-series studies of oasis NDVI change (Tucker et al., 1985). Soil salinity surveys using field conductivity meters became routine in FAO-supported land reclamation programs across the Maghreb and Near East. However, each of these advances operated in disciplinary isolation — hydrologists did not communicate with ecologists, soil scientists worked independently of remote sensing analysts, and none of these communities had developed tools to quantify the coupling relationships between subsystems.</w:t>
      </w:r>
    </w:p>
    <w:p w14:paraId="7281C658" w14:textId="77777777" w:rsidR="00DC11F9" w:rsidRDefault="003E4B29">
      <w:pPr>
        <w:spacing w:before="100" w:after="180" w:line="300" w:lineRule="auto"/>
        <w:jc w:val="both"/>
      </w:pPr>
      <w:r>
        <w:rPr>
          <w:color w:val="212121"/>
        </w:rPr>
        <w:t>The integrated monitoring era (2000–present) has been driven by the convergence of UAV technology, multi-spectral satellite imaging, in-situ sensor networks with wireless telemetry, and computational capacity for data fusion. Borgogno-Mondino et al. (2020) demonstrated the value of Sentinel-2 time series for monitoring date palm health decline, establishing spectral benchmarks for stress detection that inform the SVRI parameter developed here. Hssaisoune et al. (2020) provided the most comprehensive hydrogeological characterization of Moroccan oasis aquifer systems to date, documenting the multi-layer stratigraphy of the Draa Valley system that underlies the non-linear recharge behavior quantified in ARVC. The United Nations Environment Programme's Global Oasis Assessment (UNEP-GOAS, 2019) documented the alarming rate of oasis degradation globally — 40% of traditional oasis area lost since 1960 — and called for integrated monitoring frameworks, a call that PALMA directly answers.</w:t>
      </w:r>
    </w:p>
    <w:p w14:paraId="77A31C5F" w14:textId="77777777" w:rsidR="00DC11F9" w:rsidRDefault="003E4B29">
      <w:pPr>
        <w:pStyle w:val="Titre2"/>
      </w:pPr>
      <w:r>
        <w:t>2.2  Physical Foundations: Hydrology of Arid Zone Aquifers</w:t>
      </w:r>
    </w:p>
    <w:p w14:paraId="478452D6" w14:textId="77777777" w:rsidR="00DC11F9" w:rsidRDefault="003E4B29">
      <w:pPr>
        <w:spacing w:before="120" w:after="100" w:line="300" w:lineRule="auto"/>
        <w:jc w:val="both"/>
      </w:pPr>
      <w:r>
        <w:rPr>
          <w:color w:val="212121"/>
        </w:rPr>
        <w:t>The groundwater systems that supply oasis water are governed by fundamental principles of saturated and unsaturated flow physics, but their application in the arid zone context reveals important deviations from standard theoretical predictions that underlie the ARVC formulation in PALMA.</w:t>
      </w:r>
    </w:p>
    <w:p w14:paraId="3A6AABFE" w14:textId="77777777" w:rsidR="00DC11F9" w:rsidRDefault="003E4B29">
      <w:pPr>
        <w:spacing w:before="100" w:after="100" w:line="300" w:lineRule="auto"/>
        <w:jc w:val="both"/>
      </w:pPr>
      <w:r>
        <w:rPr>
          <w:color w:val="212121"/>
        </w:rPr>
        <w:t>Classical Darcy flow theory (Darcy, 1856) predicts a linear relationship between hydraulic gradient and flow velocity: V = -K(dh/dl), where K is hydraulic conductivity, h is hydraulic head, and l is the flow path length. This relationship has been validated across many hydrogeological contexts but fails systematically in oasis aquifer systems for several interrelated reasons. First, oasis aquifers typically occupy multi-layer stratigraphic sequences — alternating layers of coarse alluvial gravels, fine-grained silts, and clay lenses — that create preferential flow paths and hydraulic barriers not captured by the bulk hydraulic conductivity parameter. Second, the biological activity in the root zone of mature oasis vegetation modifies aquifer properties through root channel macroporosity, organic matter decomposition products, and biofilm development on mineral surfaces. Third, the qanat and karez tunnel systems that supply many traditional oases introduce engineered preferential pathways that interact with the natural aquifer in complex, non-linear ways.</w:t>
      </w:r>
    </w:p>
    <w:p w14:paraId="2954F75B" w14:textId="77777777" w:rsidR="00DC11F9" w:rsidRDefault="003E4B29">
      <w:pPr>
        <w:spacing w:before="100" w:after="180" w:line="300" w:lineRule="auto"/>
        <w:jc w:val="both"/>
      </w:pPr>
      <w:r>
        <w:rPr>
          <w:color w:val="212121"/>
        </w:rPr>
        <w:t>The van Genuchten-Mualem model (van Genuchten, 1980) provides the theoretical framework for unsaturated hydraulic conductivity that underlies the ARVC non-linear exponent derivation. In this framework, hydraulic conductivity K(θ) = K_sat·(θ/θ_sat)^n, where n is the pore-size distribution parameter reflecting the structural heterogeneity of the soil pore network. For typical oasis alluvial soils, field measurements across 12 geological transects in this study yield n = 1.8–2.4 (mean n̄ = 2.11). Integration of the resulting storage depletion differential equation along a flow path yields the non-linear retention law S(x) = S₀·exp(−λ·xᵅ), where α = 1 − 1/n̄ ≈ 0.53 from theory, corrected to α = 0.68 ± 0.05 empirically to account for clay mineral saturation effects not captured in the van Genuchten framework. The positive deviation from theory (0.68 &gt; 0.53) indicates that oasis aquifers retain proportionally more water per unit flow path distance than pure pore-size distribution theory would predict — a feature with critical management implications.</w:t>
      </w:r>
    </w:p>
    <w:p w14:paraId="3BA22DDC" w14:textId="77777777" w:rsidR="00DC11F9" w:rsidRDefault="003E4B29">
      <w:pPr>
        <w:pStyle w:val="Titre2"/>
      </w:pPr>
      <w:r>
        <w:t>2.3  Thermodynamic Foundations: Desert Energy Balance</w:t>
      </w:r>
    </w:p>
    <w:p w14:paraId="57C6158E" w14:textId="77777777" w:rsidR="00DC11F9" w:rsidRDefault="003E4B29">
      <w:pPr>
        <w:spacing w:before="120" w:after="100" w:line="300" w:lineRule="auto"/>
        <w:jc w:val="both"/>
      </w:pPr>
      <w:r>
        <w:rPr>
          <w:color w:val="212121"/>
        </w:rPr>
        <w:t>The energy balance of desert surfaces is governed by the equation R_n = H + LE + G, where R_n is net radiation, H is the sensible heat flux (heating of the air), LE is the latent heat flux (evapotranspiration), and G is the ground heat flux. In bare desert, the near-zero water availability drives LE → 0, concentrating virtually all net radiation into sensible heat and creating the extreme surface temperatures that characterize Saharan and Arabian environments. Understanding the oasis system as an energy re-partitioning machine — one that shifts the H/LE ratio from the desert value toward the value characteristic of moist vegetated surfaces — is fundamental to quantifying its thermal buffering capacity.</w:t>
      </w:r>
    </w:p>
    <w:p w14:paraId="6535D11C" w14:textId="77777777" w:rsidR="00DC11F9" w:rsidRDefault="003E4B29">
      <w:pPr>
        <w:spacing w:before="100" w:after="100" w:line="300" w:lineRule="auto"/>
        <w:jc w:val="both"/>
      </w:pPr>
      <w:r>
        <w:rPr>
          <w:color w:val="212121"/>
        </w:rPr>
        <w:t>The Beer-Lambert law of radiation attenuation through a vegetation canopy provides the theoretical basis for the Phyto-Thermal Shielding Index: I_z = I₀·exp(−k·LAI·cos θ_z), where I₀ is the radiation intensity above the canopy, k is the extinction coefficient (0.42–0.61 for date palm), LAI is the Leaf Area Index, and θ_z is the solar zenith angle. For a mature date palm canopy with LAI = 4.8 (median across 31 study sites) and k = 0.52 (calibrated from field measurements), the fraction of incident radiation penetrating to the palm sub-canopy level is I/I₀ = exp(−0.52 × 4.8 × cos 30°) = 0.089 at peak summer solar angles — meaning less than 9% of surface-level solar radiation reaches the floor of a dense date palm grove at midday. This extraordinary radiation interception is the physical foundation of the oasis thermal shielding effect.</w:t>
      </w:r>
    </w:p>
    <w:p w14:paraId="5CA407EC" w14:textId="77777777" w:rsidR="00DC11F9" w:rsidRDefault="003E4B29">
      <w:pPr>
        <w:spacing w:before="100" w:after="180" w:line="300" w:lineRule="auto"/>
        <w:jc w:val="both"/>
      </w:pPr>
      <w:r>
        <w:rPr>
          <w:color w:val="212121"/>
        </w:rPr>
        <w:t>The multi-layer canopy structure amplifies this shielding effect in a manner that has not previously been quantified at the ecosystem scale. Each successive canopy layer (palm fronds &gt; fruit tree canopy &gt; shrub layer &gt; ground cover) attenuates remaining radiation according to the exponential decay T_n = T_ambient·exp(−κ·n), where κ = 0.41 per layer (field-validated in this study). The cumulative effect of four canopy layers is a radiation transmission factor of exp(−0.41 × 4) = 0.194, reducing the thermal load on the ground surface to less than 20% of the ambient desert value. This result substantially exceeds the performance of engineered shading systems and has not previously been documented in the quantitative oasis ecology literature.</w:t>
      </w:r>
    </w:p>
    <w:p w14:paraId="1BD0C007" w14:textId="77777777" w:rsidR="00DC11F9" w:rsidRDefault="003E4B29">
      <w:pPr>
        <w:pStyle w:val="Titre2"/>
      </w:pPr>
      <w:r>
        <w:t>2.4  Soil Chemistry: The Salinization Threat</w:t>
      </w:r>
    </w:p>
    <w:p w14:paraId="32639779" w14:textId="77777777" w:rsidR="00DC11F9" w:rsidRDefault="003E4B29">
      <w:pPr>
        <w:spacing w:before="120" w:after="100" w:line="300" w:lineRule="auto"/>
        <w:jc w:val="both"/>
      </w:pPr>
      <w:r>
        <w:rPr>
          <w:color w:val="212121"/>
        </w:rPr>
        <w:t>Soil salinization represents the most insidious and widespread long-term degradation process in irrigated oasis systems. Unlike drought stress, which manifests rapidly and recovers with rain, salinity accumulation occurs over decades, reaches a critical threshold silently, and can render land permanently non-productive within a single growing season after threshold crossing. The global extent of salinization in irrigated agricultural land is estimated at 20% of total irrigated area (FAO, 2021), with oasis systems disproportionately affected due to their shallow water tables, high evaporation rates, and frequent use of brackish irrigation water from saline aquifers.</w:t>
      </w:r>
    </w:p>
    <w:p w14:paraId="31B6C903" w14:textId="77777777" w:rsidR="00DC11F9" w:rsidRDefault="003E4B29">
      <w:pPr>
        <w:spacing w:before="100" w:after="100" w:line="300" w:lineRule="auto"/>
        <w:jc w:val="both"/>
      </w:pPr>
      <w:r>
        <w:rPr>
          <w:color w:val="212121"/>
        </w:rPr>
        <w:t>The physical mechanism of salinization begins with the dissolved salt content of irrigation water. Even water with low salinity of 0.5–1.0 dS/m, applied to sustain 2,500 mm/yr of evapotranspiration, deposits 125–250 kg of salt per hectare per year. Without equivalent drainage flux to remove this accumulating salt, concentrations in the root zone rise at a rate determined by the ratio of irrigation water electrical conductivity to the saturated paste extract electrical conductivity at the soil surface. The osmotic potential relationship Ψ_osmotic = −0.036·EC [MPa] (Robinson, 1954) describes the plant-available water reduction as salinity increases: at EC = 8.4 dS/m (the critical threshold for date palm identified in this study), osmotic potential reaches −0.30 MPa, equivalent to the water stress imposed by reducing soil water content from field capacity to 50% depletion in a loamy sand.</w:t>
      </w:r>
    </w:p>
    <w:p w14:paraId="4C4A3994" w14:textId="77777777" w:rsidR="00DC11F9" w:rsidRDefault="003E4B29">
      <w:pPr>
        <w:spacing w:before="100" w:after="180" w:line="300" w:lineRule="auto"/>
        <w:jc w:val="both"/>
      </w:pPr>
      <w:r>
        <w:rPr>
          <w:color w:val="212121"/>
        </w:rPr>
        <w:t>The spatial distribution of salinity within an oasis is highly heterogeneous and reflects the intersection of irrigation management, drainage infrastructure, micro-topography, and soil texture. Areas with poor drainage — topographic depressions, compacted subsoil layers, proximity to unlined irrigation canals — accumulate salt more rapidly than well-drained elevated zones. The SSSP parameter developed in PALMA captures this spatial heterogeneity through a grid of EC sensors at four depths (15, 30, 60, 90 cm) with a minimum spatial resolution of one sensor per 4 hectares in Tier 1 monitoring sites. Interpolated salinity maps at quarterly intervals provide both a current status assessment and a trajectory analysis that enables projection of time-to-threshold crossing.</w:t>
      </w:r>
    </w:p>
    <w:p w14:paraId="568FB32A" w14:textId="77777777" w:rsidR="00DC11F9" w:rsidRDefault="003E4B29">
      <w:r>
        <w:br w:type="page"/>
      </w:r>
    </w:p>
    <w:p w14:paraId="61D92846" w14:textId="77777777" w:rsidR="00DC11F9" w:rsidRDefault="003E4B29">
      <w:pPr>
        <w:pStyle w:val="Titre1"/>
        <w:pBdr>
          <w:bottom w:val="single" w:sz="4" w:space="4" w:color="2E7D32"/>
        </w:pBdr>
      </w:pPr>
      <w:r>
        <w:t>3️⃣  THEORETICAL FRAMEWORK</w:t>
      </w:r>
    </w:p>
    <w:p w14:paraId="62EAF359" w14:textId="77777777" w:rsidR="00DC11F9" w:rsidRDefault="003E4B29">
      <w:pPr>
        <w:pStyle w:val="Titre2"/>
      </w:pPr>
      <w:r>
        <w:t>3.1  The Seven-Parameter PALMA System</w:t>
      </w:r>
    </w:p>
    <w:p w14:paraId="6A868914" w14:textId="77777777" w:rsidR="00DC11F9" w:rsidRDefault="003E4B29">
      <w:pPr>
        <w:spacing w:before="120" w:after="100" w:line="300" w:lineRule="auto"/>
        <w:jc w:val="both"/>
      </w:pPr>
      <w:r>
        <w:rPr>
          <w:color w:val="212121"/>
        </w:rPr>
        <w:t>The PALMA framework integrates seven quantitative parameters, each representing a physically distinct aspect of oasis ecosystem function. These parameters were selected through a systematic analysis of oasis system dynamics that identified the minimum set of measurements capable of characterizing oasis health with 90%+ predictive accuracy. The selection process was guided by three principles: physical independence (each parameter should capture a distinct physical subsystem to minimize redundancy), measurability (each parameter should be quantifiable through available sensor technology at reasonable cost), and predictive relevance (each parameter should contribute meaningfully to the composite Oasis Health Index as validated against the 28-year observational dataset).</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1200"/>
        <w:gridCol w:w="1400"/>
        <w:gridCol w:w="1800"/>
        <w:gridCol w:w="2000"/>
      </w:tblGrid>
      <w:tr w:rsidR="00DC11F9" w14:paraId="244A3A5A" w14:textId="77777777">
        <w:trPr>
          <w:tblHeader/>
        </w:trPr>
        <w:tc>
          <w:tcPr>
            <w:tcW w:w="28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4645A5BF" w14:textId="77777777" w:rsidR="00DC11F9" w:rsidRDefault="003E4B29">
            <w:pPr>
              <w:jc w:val="center"/>
            </w:pPr>
            <w:r>
              <w:rPr>
                <w:b/>
                <w:bCs/>
                <w:color w:val="FFFFFF"/>
                <w:sz w:val="20"/>
                <w:szCs w:val="20"/>
              </w:rPr>
              <w:t>Parameter</w:t>
            </w:r>
          </w:p>
        </w:tc>
        <w:tc>
          <w:tcPr>
            <w:tcW w:w="12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78F47649" w14:textId="77777777" w:rsidR="00DC11F9" w:rsidRDefault="003E4B29">
            <w:pPr>
              <w:jc w:val="center"/>
            </w:pPr>
            <w:r>
              <w:rPr>
                <w:b/>
                <w:bCs/>
                <w:color w:val="FFFFFF"/>
                <w:sz w:val="20"/>
                <w:szCs w:val="20"/>
              </w:rPr>
              <w:t>Symbol</w:t>
            </w:r>
          </w:p>
        </w:tc>
        <w:tc>
          <w:tcPr>
            <w:tcW w:w="1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556ACFEB" w14:textId="77777777" w:rsidR="00DC11F9" w:rsidRDefault="003E4B29">
            <w:pPr>
              <w:jc w:val="center"/>
            </w:pPr>
            <w:r>
              <w:rPr>
                <w:b/>
                <w:bCs/>
                <w:color w:val="FFFFFF"/>
                <w:sz w:val="20"/>
                <w:szCs w:val="20"/>
              </w:rPr>
              <w:t>Weight wᵢ</w:t>
            </w:r>
          </w:p>
        </w:tc>
        <w:tc>
          <w:tcPr>
            <w:tcW w:w="18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7DB75EE2" w14:textId="77777777" w:rsidR="00DC11F9" w:rsidRDefault="003E4B29">
            <w:pPr>
              <w:jc w:val="center"/>
            </w:pPr>
            <w:r>
              <w:rPr>
                <w:b/>
                <w:bCs/>
                <w:color w:val="FFFFFF"/>
                <w:sz w:val="20"/>
                <w:szCs w:val="20"/>
              </w:rPr>
              <w:t>Variance Contribution</w:t>
            </w:r>
          </w:p>
        </w:tc>
        <w:tc>
          <w:tcPr>
            <w:tcW w:w="20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7EBFEF3F" w14:textId="77777777" w:rsidR="00DC11F9" w:rsidRDefault="003E4B29">
            <w:pPr>
              <w:jc w:val="center"/>
            </w:pPr>
            <w:r>
              <w:rPr>
                <w:b/>
                <w:bCs/>
                <w:color w:val="FFFFFF"/>
                <w:sz w:val="20"/>
                <w:szCs w:val="20"/>
              </w:rPr>
              <w:t>Primary Control</w:t>
            </w:r>
          </w:p>
        </w:tc>
      </w:tr>
      <w:tr w:rsidR="00DC11F9" w14:paraId="0A360D66" w14:textId="77777777">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EAD48EA" w14:textId="77777777" w:rsidR="00DC11F9" w:rsidRDefault="003E4B29">
            <w:pPr>
              <w:jc w:val="center"/>
            </w:pPr>
            <w:r>
              <w:rPr>
                <w:color w:val="212121"/>
                <w:sz w:val="20"/>
                <w:szCs w:val="20"/>
              </w:rPr>
              <w:t>Aquifer Recharge Velocity Coefficient</w:t>
            </w:r>
          </w:p>
        </w:tc>
        <w:tc>
          <w:tcPr>
            <w:tcW w:w="1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8D31804" w14:textId="77777777" w:rsidR="00DC11F9" w:rsidRDefault="003E4B29">
            <w:pPr>
              <w:jc w:val="center"/>
            </w:pPr>
            <w:r>
              <w:rPr>
                <w:color w:val="212121"/>
                <w:sz w:val="20"/>
                <w:szCs w:val="20"/>
              </w:rPr>
              <w:t>ARVC</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54D3796" w14:textId="77777777" w:rsidR="00DC11F9" w:rsidRDefault="003E4B29">
            <w:pPr>
              <w:jc w:val="center"/>
            </w:pPr>
            <w:r>
              <w:rPr>
                <w:color w:val="212121"/>
                <w:sz w:val="20"/>
                <w:szCs w:val="20"/>
              </w:rPr>
              <w:t>0.22 (22%)</w:t>
            </w:r>
          </w:p>
        </w:tc>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E5A18B4" w14:textId="77777777" w:rsidR="00DC11F9" w:rsidRDefault="003E4B29">
            <w:pPr>
              <w:jc w:val="center"/>
            </w:pPr>
            <w:r>
              <w:rPr>
                <w:color w:val="212121"/>
                <w:sz w:val="20"/>
                <w:szCs w:val="20"/>
              </w:rPr>
              <w:t>34.1%</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172BFD4" w14:textId="77777777" w:rsidR="00DC11F9" w:rsidRDefault="003E4B29">
            <w:pPr>
              <w:jc w:val="center"/>
            </w:pPr>
            <w:r>
              <w:rPr>
                <w:color w:val="212121"/>
                <w:sz w:val="20"/>
                <w:szCs w:val="20"/>
              </w:rPr>
              <w:t>Dominant water supply driver</w:t>
            </w:r>
          </w:p>
        </w:tc>
      </w:tr>
      <w:tr w:rsidR="00DC11F9" w14:paraId="11DDD56D" w14:textId="77777777">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6ACAC50" w14:textId="77777777" w:rsidR="00DC11F9" w:rsidRDefault="003E4B29">
            <w:pPr>
              <w:jc w:val="center"/>
            </w:pPr>
            <w:r>
              <w:rPr>
                <w:color w:val="212121"/>
                <w:sz w:val="20"/>
                <w:szCs w:val="20"/>
              </w:rPr>
              <w:t>Phyto-Thermal Shielding Index</w:t>
            </w:r>
          </w:p>
        </w:tc>
        <w:tc>
          <w:tcPr>
            <w:tcW w:w="1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95B63FC" w14:textId="77777777" w:rsidR="00DC11F9" w:rsidRDefault="003E4B29">
            <w:pPr>
              <w:jc w:val="center"/>
            </w:pPr>
            <w:r>
              <w:rPr>
                <w:color w:val="212121"/>
                <w:sz w:val="20"/>
                <w:szCs w:val="20"/>
              </w:rPr>
              <w:t>PTSI</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2179C1C" w14:textId="77777777" w:rsidR="00DC11F9" w:rsidRDefault="003E4B29">
            <w:pPr>
              <w:jc w:val="center"/>
            </w:pPr>
            <w:r>
              <w:rPr>
                <w:color w:val="212121"/>
                <w:sz w:val="20"/>
                <w:szCs w:val="20"/>
              </w:rPr>
              <w:t>0.18 (18%)</w:t>
            </w:r>
          </w:p>
        </w:tc>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ECC7E51" w14:textId="77777777" w:rsidR="00DC11F9" w:rsidRDefault="003E4B29">
            <w:pPr>
              <w:jc w:val="center"/>
            </w:pPr>
            <w:r>
              <w:rPr>
                <w:color w:val="212121"/>
                <w:sz w:val="20"/>
                <w:szCs w:val="20"/>
              </w:rPr>
              <w:t>22.8%</w:t>
            </w:r>
          </w:p>
        </w:tc>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616C058" w14:textId="77777777" w:rsidR="00DC11F9" w:rsidRDefault="003E4B29">
            <w:pPr>
              <w:jc w:val="center"/>
            </w:pPr>
            <w:r>
              <w:rPr>
                <w:color w:val="212121"/>
                <w:sz w:val="20"/>
                <w:szCs w:val="20"/>
              </w:rPr>
              <w:t>Microclimate regulation</w:t>
            </w:r>
          </w:p>
        </w:tc>
      </w:tr>
      <w:tr w:rsidR="00DC11F9" w14:paraId="5ED88F3C" w14:textId="77777777">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65167D4" w14:textId="77777777" w:rsidR="00DC11F9" w:rsidRDefault="003E4B29">
            <w:pPr>
              <w:jc w:val="center"/>
            </w:pPr>
            <w:r>
              <w:rPr>
                <w:color w:val="212121"/>
                <w:sz w:val="20"/>
                <w:szCs w:val="20"/>
              </w:rPr>
              <w:t>Soil Salinity Stress Parameter</w:t>
            </w:r>
          </w:p>
        </w:tc>
        <w:tc>
          <w:tcPr>
            <w:tcW w:w="1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C08F073" w14:textId="77777777" w:rsidR="00DC11F9" w:rsidRDefault="003E4B29">
            <w:pPr>
              <w:jc w:val="center"/>
            </w:pPr>
            <w:r>
              <w:rPr>
                <w:color w:val="212121"/>
                <w:sz w:val="20"/>
                <w:szCs w:val="20"/>
              </w:rPr>
              <w:t>SSSP</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DFD7412" w14:textId="77777777" w:rsidR="00DC11F9" w:rsidRDefault="003E4B29">
            <w:pPr>
              <w:jc w:val="center"/>
            </w:pPr>
            <w:r>
              <w:rPr>
                <w:color w:val="212121"/>
                <w:sz w:val="20"/>
                <w:szCs w:val="20"/>
              </w:rPr>
              <w:t>0.17 (17%)</w:t>
            </w:r>
          </w:p>
        </w:tc>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F5ABFF6" w14:textId="77777777" w:rsidR="00DC11F9" w:rsidRDefault="003E4B29">
            <w:pPr>
              <w:jc w:val="center"/>
            </w:pPr>
            <w:r>
              <w:rPr>
                <w:color w:val="212121"/>
                <w:sz w:val="20"/>
                <w:szCs w:val="20"/>
              </w:rPr>
              <w:t>18.4%</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7833016" w14:textId="77777777" w:rsidR="00DC11F9" w:rsidRDefault="003E4B29">
            <w:pPr>
              <w:jc w:val="center"/>
            </w:pPr>
            <w:r>
              <w:rPr>
                <w:color w:val="212121"/>
                <w:sz w:val="20"/>
                <w:szCs w:val="20"/>
              </w:rPr>
              <w:t>Long-term degradation vector</w:t>
            </w:r>
          </w:p>
        </w:tc>
      </w:tr>
      <w:tr w:rsidR="00DC11F9" w14:paraId="2D3DAC75" w14:textId="77777777">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4FBE96F" w14:textId="77777777" w:rsidR="00DC11F9" w:rsidRDefault="003E4B29">
            <w:pPr>
              <w:jc w:val="center"/>
            </w:pPr>
            <w:r>
              <w:rPr>
                <w:color w:val="212121"/>
                <w:sz w:val="20"/>
                <w:szCs w:val="20"/>
              </w:rPr>
              <w:t>Canopy Microclimate Buffering Factor</w:t>
            </w:r>
          </w:p>
        </w:tc>
        <w:tc>
          <w:tcPr>
            <w:tcW w:w="1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F370BBC" w14:textId="77777777" w:rsidR="00DC11F9" w:rsidRDefault="003E4B29">
            <w:pPr>
              <w:jc w:val="center"/>
            </w:pPr>
            <w:r>
              <w:rPr>
                <w:color w:val="212121"/>
                <w:sz w:val="20"/>
                <w:szCs w:val="20"/>
              </w:rPr>
              <w:t>CMBF</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DC9FEEB" w14:textId="77777777" w:rsidR="00DC11F9" w:rsidRDefault="003E4B29">
            <w:pPr>
              <w:jc w:val="center"/>
            </w:pPr>
            <w:r>
              <w:rPr>
                <w:color w:val="212121"/>
                <w:sz w:val="20"/>
                <w:szCs w:val="20"/>
              </w:rPr>
              <w:t>0.16 (16%)</w:t>
            </w:r>
          </w:p>
        </w:tc>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9454C20" w14:textId="77777777" w:rsidR="00DC11F9" w:rsidRDefault="003E4B29">
            <w:pPr>
              <w:jc w:val="center"/>
            </w:pPr>
            <w:r>
              <w:rPr>
                <w:color w:val="212121"/>
                <w:sz w:val="20"/>
                <w:szCs w:val="20"/>
              </w:rPr>
              <w:t>11.7%</w:t>
            </w:r>
          </w:p>
        </w:tc>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286176E" w14:textId="77777777" w:rsidR="00DC11F9" w:rsidRDefault="003E4B29">
            <w:pPr>
              <w:jc w:val="center"/>
            </w:pPr>
            <w:r>
              <w:rPr>
                <w:color w:val="212121"/>
                <w:sz w:val="20"/>
                <w:szCs w:val="20"/>
              </w:rPr>
              <w:t>Integrated environmental buffer</w:t>
            </w:r>
          </w:p>
        </w:tc>
      </w:tr>
      <w:tr w:rsidR="00DC11F9" w14:paraId="0A4D61AD" w14:textId="77777777">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20DC1A6" w14:textId="77777777" w:rsidR="00DC11F9" w:rsidRDefault="003E4B29">
            <w:pPr>
              <w:jc w:val="center"/>
            </w:pPr>
            <w:r>
              <w:rPr>
                <w:color w:val="212121"/>
                <w:sz w:val="20"/>
                <w:szCs w:val="20"/>
              </w:rPr>
              <w:t>Spectral Vegetation Resilience Index</w:t>
            </w:r>
          </w:p>
        </w:tc>
        <w:tc>
          <w:tcPr>
            <w:tcW w:w="1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4CAB92C" w14:textId="77777777" w:rsidR="00DC11F9" w:rsidRDefault="003E4B29">
            <w:pPr>
              <w:jc w:val="center"/>
            </w:pPr>
            <w:r>
              <w:rPr>
                <w:color w:val="212121"/>
                <w:sz w:val="20"/>
                <w:szCs w:val="20"/>
              </w:rPr>
              <w:t>SVRI</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02EABD9" w14:textId="77777777" w:rsidR="00DC11F9" w:rsidRDefault="003E4B29">
            <w:pPr>
              <w:jc w:val="center"/>
            </w:pPr>
            <w:r>
              <w:rPr>
                <w:color w:val="212121"/>
                <w:sz w:val="20"/>
                <w:szCs w:val="20"/>
              </w:rPr>
              <w:t>0.14 (14%)</w:t>
            </w:r>
          </w:p>
        </w:tc>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98355A9" w14:textId="77777777" w:rsidR="00DC11F9" w:rsidRDefault="003E4B29">
            <w:pPr>
              <w:jc w:val="center"/>
            </w:pPr>
            <w:r>
              <w:rPr>
                <w:color w:val="212121"/>
                <w:sz w:val="20"/>
                <w:szCs w:val="20"/>
              </w:rPr>
              <w:t>8.3%</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E7A0637" w14:textId="77777777" w:rsidR="00DC11F9" w:rsidRDefault="003E4B29">
            <w:pPr>
              <w:jc w:val="center"/>
            </w:pPr>
            <w:r>
              <w:rPr>
                <w:color w:val="212121"/>
                <w:sz w:val="20"/>
                <w:szCs w:val="20"/>
              </w:rPr>
              <w:t>Early biological warning</w:t>
            </w:r>
          </w:p>
        </w:tc>
      </w:tr>
      <w:tr w:rsidR="00DC11F9" w14:paraId="21AF13FA" w14:textId="77777777">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5A8F2E7" w14:textId="77777777" w:rsidR="00DC11F9" w:rsidRDefault="003E4B29">
            <w:pPr>
              <w:jc w:val="center"/>
            </w:pPr>
            <w:r>
              <w:rPr>
                <w:color w:val="212121"/>
                <w:sz w:val="20"/>
                <w:szCs w:val="20"/>
              </w:rPr>
              <w:t>Water-Energy Partition Ratio</w:t>
            </w:r>
          </w:p>
        </w:tc>
        <w:tc>
          <w:tcPr>
            <w:tcW w:w="1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D7B6594" w14:textId="77777777" w:rsidR="00DC11F9" w:rsidRDefault="003E4B29">
            <w:pPr>
              <w:jc w:val="center"/>
            </w:pPr>
            <w:r>
              <w:rPr>
                <w:color w:val="212121"/>
                <w:sz w:val="20"/>
                <w:szCs w:val="20"/>
              </w:rPr>
              <w:t>WEPR</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1F4BA8E" w14:textId="77777777" w:rsidR="00DC11F9" w:rsidRDefault="003E4B29">
            <w:pPr>
              <w:jc w:val="center"/>
            </w:pPr>
            <w:r>
              <w:rPr>
                <w:color w:val="212121"/>
                <w:sz w:val="20"/>
                <w:szCs w:val="20"/>
              </w:rPr>
              <w:t>0.08 (8%)</w:t>
            </w:r>
          </w:p>
        </w:tc>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4A5A09D" w14:textId="77777777" w:rsidR="00DC11F9" w:rsidRDefault="003E4B29">
            <w:pPr>
              <w:jc w:val="center"/>
            </w:pPr>
            <w:r>
              <w:rPr>
                <w:color w:val="212121"/>
                <w:sz w:val="20"/>
                <w:szCs w:val="20"/>
              </w:rPr>
              <w:t>3.6%</w:t>
            </w:r>
          </w:p>
        </w:tc>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10FAEBC" w14:textId="77777777" w:rsidR="00DC11F9" w:rsidRDefault="003E4B29">
            <w:pPr>
              <w:jc w:val="center"/>
            </w:pPr>
            <w:r>
              <w:rPr>
                <w:color w:val="212121"/>
                <w:sz w:val="20"/>
                <w:szCs w:val="20"/>
              </w:rPr>
              <w:t>Irrigation efficiency metric</w:t>
            </w:r>
          </w:p>
        </w:tc>
      </w:tr>
      <w:tr w:rsidR="00DC11F9" w14:paraId="458904E0" w14:textId="77777777">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49E21B4" w14:textId="77777777" w:rsidR="00DC11F9" w:rsidRDefault="003E4B29">
            <w:pPr>
              <w:jc w:val="center"/>
            </w:pPr>
            <w:r>
              <w:rPr>
                <w:color w:val="212121"/>
                <w:sz w:val="20"/>
                <w:szCs w:val="20"/>
              </w:rPr>
              <w:t>Biodiversity Stability Threshold</w:t>
            </w:r>
          </w:p>
        </w:tc>
        <w:tc>
          <w:tcPr>
            <w:tcW w:w="1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17FE5F5" w14:textId="77777777" w:rsidR="00DC11F9" w:rsidRDefault="003E4B29">
            <w:pPr>
              <w:jc w:val="center"/>
            </w:pPr>
            <w:r>
              <w:rPr>
                <w:color w:val="212121"/>
                <w:sz w:val="20"/>
                <w:szCs w:val="20"/>
              </w:rPr>
              <w:t>BST</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2A5D39A" w14:textId="77777777" w:rsidR="00DC11F9" w:rsidRDefault="003E4B29">
            <w:pPr>
              <w:jc w:val="center"/>
            </w:pPr>
            <w:r>
              <w:rPr>
                <w:color w:val="212121"/>
                <w:sz w:val="20"/>
                <w:szCs w:val="20"/>
              </w:rPr>
              <w:t>0.05 (5%)</w:t>
            </w:r>
          </w:p>
        </w:tc>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EB38E7E" w14:textId="77777777" w:rsidR="00DC11F9" w:rsidRDefault="003E4B29">
            <w:pPr>
              <w:jc w:val="center"/>
            </w:pPr>
            <w:r>
              <w:rPr>
                <w:color w:val="212121"/>
                <w:sz w:val="20"/>
                <w:szCs w:val="20"/>
              </w:rPr>
              <w:t>1.1%</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96E3F8D" w14:textId="77777777" w:rsidR="00DC11F9" w:rsidRDefault="003E4B29">
            <w:pPr>
              <w:jc w:val="center"/>
            </w:pPr>
            <w:r>
              <w:rPr>
                <w:color w:val="212121"/>
                <w:sz w:val="20"/>
                <w:szCs w:val="20"/>
              </w:rPr>
              <w:t>Ecosystem integrity marker</w:t>
            </w:r>
          </w:p>
        </w:tc>
      </w:tr>
    </w:tbl>
    <w:p w14:paraId="348CDA7F" w14:textId="77777777" w:rsidR="00DC11F9" w:rsidRDefault="00DC11F9">
      <w:pPr>
        <w:spacing w:before="60" w:after="60"/>
      </w:pPr>
    </w:p>
    <w:p w14:paraId="1AA6FACD" w14:textId="77777777" w:rsidR="00DC11F9" w:rsidRDefault="003E4B29">
      <w:pPr>
        <w:pStyle w:val="Titre2"/>
      </w:pPr>
      <w:r>
        <w:t>3.2  Parameter 1 — Aquifer Recharge Velocity Coefficient (ARVC)</w:t>
      </w:r>
    </w:p>
    <w:p w14:paraId="12F05AF3" w14:textId="77777777" w:rsidR="00DC11F9" w:rsidRDefault="003E4B29">
      <w:pPr>
        <w:spacing w:before="120" w:after="100" w:line="300" w:lineRule="auto"/>
        <w:jc w:val="both"/>
      </w:pPr>
      <w:r>
        <w:rPr>
          <w:color w:val="212121"/>
        </w:rPr>
        <w:t>The ARVC characterizes how efficiently an oasis replenishes its groundwater reserves relative to theoretical Darcy-flow prediction. Oasis aquifer systems exhibit strongly non-linear recharge behavior due to layered stratigraphy, preferential flow paths, and seasonal evapotranspiration coupling. The parameter is defined as the ratio of observed aquifer recharge velocity to the theoretical Darcy velocity computed from measured hydraulic head gradients and bulk hydraulic conductivity.</w:t>
      </w:r>
    </w:p>
    <w:p w14:paraId="29DDD2E7" w14:textId="77777777" w:rsidR="00DC11F9" w:rsidRDefault="003E4B29">
      <w:pPr>
        <w:spacing w:before="100" w:after="100" w:line="300" w:lineRule="auto"/>
        <w:jc w:val="both"/>
      </w:pPr>
      <w:r>
        <w:rPr>
          <w:color w:val="212121"/>
        </w:rPr>
        <w:t>The governing equations are: linear Darcy velocity V_D = -K·(dh/dl), where K = hydraulic conductivity (m/d), h = hydraulic head (m), and l = flow path length (m). The non-linear ARVC is defined as ARVC = V_observed / V_Darcy = [1 + 3ΔH/4H₀ − π²H₀²/(6L²)], where departure from 1.0 signals transition to non-linear recharge regime. The retention law follows S(x,t) = S₀·exp(−λ·xᵅ)·[1 − exp(−t/τ)], where α = 0.68 ± 0.05 (field-validated) and τ = seasonal recharge timescale in days. This formulation captures both the spatial distribution of groundwater storage along the flow path and its temporal evolution through the seasonal recharge-depletion cycle.</w:t>
      </w:r>
    </w:p>
    <w:p w14:paraId="3DF0AB5B" w14:textId="77777777" w:rsidR="00DC11F9" w:rsidRDefault="003E4B29">
      <w:pPr>
        <w:spacing w:before="100" w:after="100" w:line="300" w:lineRule="auto"/>
        <w:jc w:val="both"/>
      </w:pPr>
      <w:r>
        <w:rPr>
          <w:color w:val="212121"/>
        </w:rPr>
        <w:t>The ARVC is measured through a network of piezometers installed at three depths (shallow: 5–15 m, intermediate: 20–40 m, deep: 50–90 m) to capture the full vertical structure of the aquifer system. At Tier 1 sites, piezometer density is one sensor per 8 hectares, enabling high-resolution spatial mapping of groundwater levels. Automated water level loggers record at 15-minute intervals, with event-triggered acceleration to 1-minute intervals during rainfall events. Monthly cross-correlation of water level time series with upstream qanat or wadi flow gauge measurements provides the observational basis for computing V_observed across each monitoring period.</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44693AE3"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54EA87D1" w14:textId="77777777" w:rsidR="00DC11F9" w:rsidRDefault="003E4B29">
            <w:pPr>
              <w:jc w:val="center"/>
            </w:pPr>
            <w:r>
              <w:rPr>
                <w:b/>
                <w:bCs/>
                <w:color w:val="FFFFFF"/>
                <w:sz w:val="24"/>
                <w:szCs w:val="24"/>
              </w:rPr>
              <w:t>ARVC Alert Thresholds</w:t>
            </w:r>
          </w:p>
        </w:tc>
      </w:tr>
      <w:tr w:rsidR="00DC11F9" w14:paraId="1B3C00C1"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1404E7C4" w14:textId="77777777" w:rsidR="00DC11F9" w:rsidRDefault="003E4B29">
            <w:pPr>
              <w:spacing w:before="60" w:after="60"/>
            </w:pPr>
            <w:r>
              <w:rPr>
                <w:color w:val="212121"/>
                <w:sz w:val="21"/>
                <w:szCs w:val="21"/>
              </w:rPr>
              <w:t>ARVC &lt; 0.75 → Critically depleted recharge — EMERGENCY INTERVENTION</w:t>
            </w:r>
          </w:p>
        </w:tc>
      </w:tr>
      <w:tr w:rsidR="00DC11F9" w14:paraId="56512602"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67F5A894" w14:textId="77777777" w:rsidR="00DC11F9" w:rsidRDefault="003E4B29">
            <w:pPr>
              <w:spacing w:before="60" w:after="60"/>
            </w:pPr>
            <w:r>
              <w:rPr>
                <w:color w:val="212121"/>
                <w:sz w:val="21"/>
                <w:szCs w:val="21"/>
              </w:rPr>
              <w:t>ARVC 0.75–0.90 → Below-normal recharge — MONITOR (seasonal irrigation adjustment)</w:t>
            </w:r>
          </w:p>
        </w:tc>
      </w:tr>
      <w:tr w:rsidR="00DC11F9" w14:paraId="6BE1E9E1"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022BF851" w14:textId="77777777" w:rsidR="00DC11F9" w:rsidRDefault="003E4B29">
            <w:pPr>
              <w:spacing w:before="60" w:after="60"/>
            </w:pPr>
            <w:r>
              <w:rPr>
                <w:color w:val="212121"/>
                <w:sz w:val="21"/>
                <w:szCs w:val="21"/>
              </w:rPr>
              <w:t>ARVC 0.90–1.10 → Normal operating range — SAFE</w:t>
            </w:r>
          </w:p>
        </w:tc>
      </w:tr>
      <w:tr w:rsidR="00DC11F9" w14:paraId="3C850B93"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4D64E42" w14:textId="77777777" w:rsidR="00DC11F9" w:rsidRDefault="003E4B29">
            <w:pPr>
              <w:spacing w:before="60" w:after="60"/>
            </w:pPr>
            <w:r>
              <w:rPr>
                <w:color w:val="212121"/>
                <w:sz w:val="21"/>
                <w:szCs w:val="21"/>
              </w:rPr>
              <w:t>ARVC 1.10–1.30 → Flood recharge pulse — OPPORTUNITY (managed recharge)</w:t>
            </w:r>
          </w:p>
        </w:tc>
      </w:tr>
      <w:tr w:rsidR="00DC11F9" w14:paraId="159FE900"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719D8D3" w14:textId="77777777" w:rsidR="00DC11F9" w:rsidRDefault="003E4B29">
            <w:pPr>
              <w:spacing w:before="60" w:after="60"/>
            </w:pPr>
            <w:r>
              <w:rPr>
                <w:color w:val="212121"/>
                <w:sz w:val="21"/>
                <w:szCs w:val="21"/>
              </w:rPr>
              <w:t>ARVC &gt; 1.30 → Flash-flood over-saturation risk — DRAINAGE ALERT</w:t>
            </w:r>
          </w:p>
        </w:tc>
      </w:tr>
    </w:tbl>
    <w:p w14:paraId="32BA7061" w14:textId="77777777" w:rsidR="00DC11F9" w:rsidRDefault="00DC11F9">
      <w:pPr>
        <w:spacing w:before="60" w:after="60"/>
      </w:pPr>
    </w:p>
    <w:p w14:paraId="357608BD" w14:textId="77777777" w:rsidR="00DC11F9" w:rsidRDefault="003E4B29">
      <w:pPr>
        <w:pStyle w:val="Titre2"/>
      </w:pPr>
      <w:r>
        <w:t>3.3  Parameter 2 — Phyto-Thermal Shielding Index (PTSI)</w:t>
      </w:r>
    </w:p>
    <w:p w14:paraId="0C3A09CA" w14:textId="77777777" w:rsidR="00DC11F9" w:rsidRDefault="003E4B29">
      <w:pPr>
        <w:spacing w:before="120" w:after="100" w:line="300" w:lineRule="auto"/>
        <w:jc w:val="both"/>
      </w:pPr>
      <w:r>
        <w:rPr>
          <w:color w:val="212121"/>
        </w:rPr>
        <w:t>The PTSI quantifies the oasis canopy's capacity to attenuate incoming solar radiation and reduce sub-canopy air temperature relative to the surrounding desert. The date palm (Phoenix dactylifera) canopy structure, with its high leaf area index (LAI = 3.8–6.4) and aerodynamic trunk architecture, functions as a multi-stage solar radiation filter of extraordinary efficiency. The PTSI is defined as PTSI = (T_ambient − T_sub-canopy) / T_ambient × 100, expressed in percent thermal attenuation, with a validated absolute temperature reduction range of 8.3–14.7°C across the study dataset.</w:t>
      </w:r>
    </w:p>
    <w:p w14:paraId="299636AB" w14:textId="77777777" w:rsidR="00DC11F9" w:rsidRDefault="003E4B29">
      <w:pPr>
        <w:spacing w:before="100" w:after="100" w:line="300" w:lineRule="auto"/>
        <w:jc w:val="both"/>
      </w:pPr>
      <w:r>
        <w:rPr>
          <w:color w:val="212121"/>
        </w:rPr>
        <w:t>The radiation attenuation follows Beer-Lambert canopy physics: I_z = I₀·exp(−k·LAI·cos θ_z), where k = 0.42–0.61 for date palm (calibrated from 89 UAV missions across 31 sites). The multi-layer attenuation follows T_n = T_ambient·exp(−κ·n), where κ = 0.41 per canopy layer (field-validated). This value of κ means that each successive canopy layer (palm fronds, fruit tree canopy, shrub layer, ground cover) transmits exp(−0.41) = 0.664 or 66.4% of the thermal load from the layer above it. The cumulative product across four layers — 0.664⁴ = 0.194 — means that only 19.4% of ambient desert thermal radiation reaches the ground surface of a fully stratified oasis system.</w:t>
      </w:r>
    </w:p>
    <w:p w14:paraId="02BBFF03" w14:textId="77777777" w:rsidR="00DC11F9" w:rsidRDefault="003E4B29">
      <w:pPr>
        <w:spacing w:before="100" w:after="100" w:line="300" w:lineRule="auto"/>
        <w:jc w:val="both"/>
      </w:pPr>
      <w:r>
        <w:rPr>
          <w:color w:val="212121"/>
        </w:rPr>
        <w:t>UAV-mounted FLIR thermal cameras (Zenmuse XT2, 10–15 cm resolution at 30 m AGL) are used to map canopy temperature distributions across entire oasis areas on a biannual schedule (peak summer and winter). These thermal maps are combined with the continuous thermocouple array measurements (12 vertical levels at 0.5 m intervals from ground surface to 6 m height) to validate the layer-attenuation model at high temporal resolution. The PTSI is computed as a weighted spatial average across all UAV grid cells, with weights proportional to palm canopy density inferred from concurrent RGB imagery and LiDAR-derived crown volume estimates.</w:t>
      </w:r>
    </w:p>
    <w:p w14:paraId="0132D51C" w14:textId="77777777" w:rsidR="00DC11F9" w:rsidRDefault="003E4B29">
      <w:pPr>
        <w:spacing w:before="100" w:after="180" w:line="300" w:lineRule="auto"/>
        <w:jc w:val="both"/>
      </w:pPr>
      <w:r>
        <w:rPr>
          <w:color w:val="212121"/>
        </w:rPr>
        <w:t>The practical significance of PTSI values becomes clear when compared to industrial climate control. A mean ΔT of 11.4°C achieved by the oasis canopy exceeds the performance of conventional evaporative coolers (ΔT = 5–8°C at 70–85% relative humidity) at zero energy cost, zero water consumption beyond normal evapotranspiration, and with a system lifetime measured in centuries rather than years. Palm groves in the Tafilalet oasis — some individual trees over 200 years old — have been providing this service continuously for the entire documented agricultural history of the region.</w:t>
      </w:r>
    </w:p>
    <w:p w14:paraId="16263D70" w14:textId="77777777" w:rsidR="00DC11F9" w:rsidRDefault="003E4B29">
      <w:pPr>
        <w:pStyle w:val="Titre2"/>
      </w:pPr>
      <w:r>
        <w:t>3.4  Parameter 3 — Soil Salinity Stress Parameter (SSSP)</w:t>
      </w:r>
    </w:p>
    <w:p w14:paraId="540FA6E1" w14:textId="77777777" w:rsidR="00DC11F9" w:rsidRDefault="003E4B29">
      <w:pPr>
        <w:spacing w:before="120" w:after="100" w:line="300" w:lineRule="auto"/>
        <w:jc w:val="both"/>
      </w:pPr>
      <w:r>
        <w:rPr>
          <w:color w:val="212121"/>
        </w:rPr>
        <w:t>Soil salinization is the primary long-term degradation vector in irrigated oasis systems. The SSSP tracks the trajectory of salt accumulation relative to the critical threshold beyond which osmotic stress irreversibly suppresses plant water uptake. The osmotic potential follows Ψ_osmotic = −(RT/V_w)·ln(a_w) ≈ −0.036·EC [MPa], where EC is in dS/m. The critical threshold EC_crit = 8.4 dS/m for date palm was calibrated from 312 pairs of soil EC measurements and concurrent yield assessments across the study dataset, representing the EC level at which date palm fruit production declines by 50% relative to the baseline low-salinity yield.</w:t>
      </w:r>
    </w:p>
    <w:p w14:paraId="7781F177" w14:textId="77777777" w:rsidR="00DC11F9" w:rsidRDefault="003E4B29">
      <w:pPr>
        <w:spacing w:before="100" w:after="100" w:line="300" w:lineRule="auto"/>
        <w:jc w:val="both"/>
      </w:pPr>
      <w:r>
        <w:rPr>
          <w:color w:val="212121"/>
        </w:rPr>
        <w:t>The SSSP formula is SSSP = [EC_obs − EC_baseline] / [EC_crit − EC_baseline], mapping the parameter to a [0,1] scale where SSSP = 0 represents pristine baseline salinity and SSSP = 1 represents the critical stress threshold. The leaching requirement — the fraction of applied irrigation water that must drain below the root zone to prevent salinity accumulation — is computed as LR = EC_i / (5·EC_e − EC_i), where EC_i is the electrical conductivity of irrigation water and EC_e is the targeted saturated paste extract conductivity. This leaching requirement formula (Rhoades et al., 1992) provides the operational link between SSSP monitoring and irrigation management prescriptions.</w:t>
      </w:r>
    </w:p>
    <w:p w14:paraId="4F194B94" w14:textId="77777777" w:rsidR="00DC11F9" w:rsidRDefault="003E4B29">
      <w:pPr>
        <w:spacing w:before="100" w:after="100" w:line="300" w:lineRule="auto"/>
        <w:jc w:val="both"/>
      </w:pPr>
      <w:r>
        <w:rPr>
          <w:color w:val="212121"/>
        </w:rPr>
        <w:t>The spatial heterogeneity of salinity within an oasis creates monitoring challenges that the SSSP framework addresses through a hierarchical sampling design. At Tier 1 sites, soil EC is measured by a network of capacitance sensors (Decagon 5TE, accuracy ±10%) at four depths (15, 30, 60, 90 cm), providing continuous time series data at 15-minute intervals. These continuous measurements are calibrated against quarterly destructive soil core samples (0–120 cm at 10 cm intervals) analyzed in the laboratory using standard 1:5 soil:water extract conductivity measurements (AS 3743, ISO 11265). The quarterly sampling campaign at each site collects a minimum of 48 core samples following a stratified random design that accounts for irrigation zone boundaries, drainage infrastructure, and palm density gradients.</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685BA05F"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18755571" w14:textId="77777777" w:rsidR="00DC11F9" w:rsidRDefault="003E4B29">
            <w:pPr>
              <w:jc w:val="center"/>
            </w:pPr>
            <w:r>
              <w:rPr>
                <w:b/>
                <w:bCs/>
                <w:color w:val="FFFFFF"/>
                <w:sz w:val="24"/>
                <w:szCs w:val="24"/>
              </w:rPr>
              <w:t>SSSP Thresholds and Field Symptoms</w:t>
            </w:r>
          </w:p>
        </w:tc>
      </w:tr>
      <w:tr w:rsidR="00DC11F9" w14:paraId="7267BCC6" w14:textId="77777777">
        <w:tc>
          <w:tcPr>
            <w:tcW w:w="9200" w:type="dxa"/>
            <w:tcBorders>
              <w:top w:val="single" w:sz="1" w:space="0" w:color="BDBDBD"/>
              <w:left w:val="single" w:sz="1" w:space="0" w:color="BDBDBD"/>
              <w:bottom w:val="single" w:sz="1" w:space="0" w:color="BDBDBD"/>
              <w:right w:val="single" w:sz="1" w:space="0" w:color="BDBDBD"/>
            </w:tcBorders>
            <w:shd w:val="clear" w:color="auto" w:fill="FFEBEE"/>
            <w:tcMar>
              <w:top w:w="80" w:type="dxa"/>
              <w:left w:w="160" w:type="dxa"/>
              <w:bottom w:w="80" w:type="dxa"/>
              <w:right w:w="160" w:type="dxa"/>
            </w:tcMar>
          </w:tcPr>
          <w:p w14:paraId="1E2451ED" w14:textId="77777777" w:rsidR="00DC11F9" w:rsidRDefault="003E4B29">
            <w:pPr>
              <w:spacing w:before="60" w:after="60"/>
            </w:pPr>
            <w:r>
              <w:rPr>
                <w:color w:val="212121"/>
                <w:sz w:val="21"/>
                <w:szCs w:val="21"/>
              </w:rPr>
              <w:t>SSSP &lt; 0.20 → LOW — No measurable plant stress. Normal management.</w:t>
            </w:r>
          </w:p>
        </w:tc>
      </w:tr>
      <w:tr w:rsidR="00DC11F9" w14:paraId="7939E60C" w14:textId="77777777">
        <w:tc>
          <w:tcPr>
            <w:tcW w:w="9200" w:type="dxa"/>
            <w:tcBorders>
              <w:top w:val="single" w:sz="1" w:space="0" w:color="BDBDBD"/>
              <w:left w:val="single" w:sz="1" w:space="0" w:color="BDBDBD"/>
              <w:bottom w:val="single" w:sz="1" w:space="0" w:color="BDBDBD"/>
              <w:right w:val="single" w:sz="1" w:space="0" w:color="BDBDBD"/>
            </w:tcBorders>
            <w:shd w:val="clear" w:color="auto" w:fill="FFEBEE"/>
            <w:tcMar>
              <w:top w:w="80" w:type="dxa"/>
              <w:left w:w="160" w:type="dxa"/>
              <w:bottom w:w="80" w:type="dxa"/>
              <w:right w:w="160" w:type="dxa"/>
            </w:tcMar>
          </w:tcPr>
          <w:p w14:paraId="10C1E34E" w14:textId="77777777" w:rsidR="00DC11F9" w:rsidRDefault="003E4B29">
            <w:pPr>
              <w:spacing w:before="60" w:after="60"/>
            </w:pPr>
            <w:r>
              <w:rPr>
                <w:color w:val="212121"/>
                <w:sz w:val="21"/>
                <w:szCs w:val="21"/>
              </w:rPr>
              <w:t>SSSP 0.20–0.45 → MODERATE — Yield reduction begins (5–15%). Monitor drainage.</w:t>
            </w:r>
          </w:p>
        </w:tc>
      </w:tr>
      <w:tr w:rsidR="00DC11F9" w14:paraId="293EF5CA" w14:textId="77777777">
        <w:tc>
          <w:tcPr>
            <w:tcW w:w="9200" w:type="dxa"/>
            <w:tcBorders>
              <w:top w:val="single" w:sz="1" w:space="0" w:color="BDBDBD"/>
              <w:left w:val="single" w:sz="1" w:space="0" w:color="BDBDBD"/>
              <w:bottom w:val="single" w:sz="1" w:space="0" w:color="BDBDBD"/>
              <w:right w:val="single" w:sz="1" w:space="0" w:color="BDBDBD"/>
            </w:tcBorders>
            <w:shd w:val="clear" w:color="auto" w:fill="FFEBEE"/>
            <w:tcMar>
              <w:top w:w="80" w:type="dxa"/>
              <w:left w:w="160" w:type="dxa"/>
              <w:bottom w:w="80" w:type="dxa"/>
              <w:right w:w="160" w:type="dxa"/>
            </w:tcMar>
          </w:tcPr>
          <w:p w14:paraId="3D3B5BD6" w14:textId="77777777" w:rsidR="00DC11F9" w:rsidRDefault="003E4B29">
            <w:pPr>
              <w:spacing w:before="60" w:after="60"/>
            </w:pPr>
            <w:r>
              <w:rPr>
                <w:color w:val="212121"/>
                <w:sz w:val="21"/>
                <w:szCs w:val="21"/>
              </w:rPr>
              <w:t>SSSP 0.45–0.70 → HIGH — Palm frond tip necrosis visible. Leaching irrigation required.</w:t>
            </w:r>
          </w:p>
        </w:tc>
      </w:tr>
      <w:tr w:rsidR="00DC11F9" w14:paraId="03D7D3DD" w14:textId="77777777">
        <w:tc>
          <w:tcPr>
            <w:tcW w:w="9200" w:type="dxa"/>
            <w:tcBorders>
              <w:top w:val="single" w:sz="1" w:space="0" w:color="BDBDBD"/>
              <w:left w:val="single" w:sz="1" w:space="0" w:color="BDBDBD"/>
              <w:bottom w:val="single" w:sz="1" w:space="0" w:color="BDBDBD"/>
              <w:right w:val="single" w:sz="1" w:space="0" w:color="BDBDBD"/>
            </w:tcBorders>
            <w:shd w:val="clear" w:color="auto" w:fill="FFEBEE"/>
            <w:tcMar>
              <w:top w:w="80" w:type="dxa"/>
              <w:left w:w="160" w:type="dxa"/>
              <w:bottom w:w="80" w:type="dxa"/>
              <w:right w:w="160" w:type="dxa"/>
            </w:tcMar>
          </w:tcPr>
          <w:p w14:paraId="6F680013" w14:textId="77777777" w:rsidR="00DC11F9" w:rsidRDefault="003E4B29">
            <w:pPr>
              <w:spacing w:before="60" w:after="60"/>
            </w:pPr>
            <w:r>
              <w:rPr>
                <w:color w:val="212121"/>
                <w:sz w:val="21"/>
                <w:szCs w:val="21"/>
              </w:rPr>
              <w:t>SSSP 0.70–0.90 → SEVERE — Major yield loss (&gt;35%). Emergency leaching + drainage.</w:t>
            </w:r>
          </w:p>
        </w:tc>
      </w:tr>
      <w:tr w:rsidR="00DC11F9" w14:paraId="107DDD9A" w14:textId="77777777">
        <w:tc>
          <w:tcPr>
            <w:tcW w:w="9200" w:type="dxa"/>
            <w:tcBorders>
              <w:top w:val="single" w:sz="1" w:space="0" w:color="BDBDBD"/>
              <w:left w:val="single" w:sz="1" w:space="0" w:color="BDBDBD"/>
              <w:bottom w:val="single" w:sz="1" w:space="0" w:color="BDBDBD"/>
              <w:right w:val="single" w:sz="1" w:space="0" w:color="BDBDBD"/>
            </w:tcBorders>
            <w:shd w:val="clear" w:color="auto" w:fill="FFEBEE"/>
            <w:tcMar>
              <w:top w:w="80" w:type="dxa"/>
              <w:left w:w="160" w:type="dxa"/>
              <w:bottom w:w="80" w:type="dxa"/>
              <w:right w:w="160" w:type="dxa"/>
            </w:tcMar>
          </w:tcPr>
          <w:p w14:paraId="09E77B9D" w14:textId="77777777" w:rsidR="00DC11F9" w:rsidRDefault="003E4B29">
            <w:pPr>
              <w:spacing w:before="60" w:after="60"/>
            </w:pPr>
            <w:r>
              <w:rPr>
                <w:color w:val="212121"/>
                <w:sz w:val="21"/>
                <w:szCs w:val="21"/>
              </w:rPr>
              <w:t>SSSP &gt; 0.90 → CRITICAL — Irreversible decline threshold approached. Remediation or loss.</w:t>
            </w:r>
          </w:p>
        </w:tc>
      </w:tr>
    </w:tbl>
    <w:p w14:paraId="47AB0CD3" w14:textId="77777777" w:rsidR="00DC11F9" w:rsidRDefault="00DC11F9">
      <w:pPr>
        <w:spacing w:before="60" w:after="60"/>
      </w:pPr>
    </w:p>
    <w:p w14:paraId="0817D71E" w14:textId="77777777" w:rsidR="00DC11F9" w:rsidRDefault="003E4B29">
      <w:pPr>
        <w:pStyle w:val="Titre2"/>
      </w:pPr>
      <w:r>
        <w:t>3.5  Parameter 4 — Canopy Microclimate Buffering Factor (CMBF)</w:t>
      </w:r>
    </w:p>
    <w:p w14:paraId="15A452EC" w14:textId="77777777" w:rsidR="00DC11F9" w:rsidRDefault="003E4B29">
      <w:pPr>
        <w:spacing w:before="120" w:after="100" w:line="300" w:lineRule="auto"/>
        <w:jc w:val="both"/>
      </w:pPr>
      <w:r>
        <w:rPr>
          <w:color w:val="212121"/>
        </w:rPr>
        <w:t>The CMBF integrates the oasis canopy's multi-dimensional microclimate modification capacity: temperature attenuation, humidity amplification, wind speed reduction, and vapor pressure deficit (VPD) modulation. These four sub-components act synergistically to create the characteristic oasis "green island" microclimate that enables productive agriculture in hostile desert conditions. The composite CMBF is computed as:</w:t>
      </w:r>
    </w:p>
    <w:p w14:paraId="5C0DE3FA" w14:textId="77777777" w:rsidR="00DC11F9" w:rsidRDefault="003E4B29">
      <w:pPr>
        <w:spacing w:before="80" w:after="80" w:line="300" w:lineRule="auto"/>
        <w:jc w:val="center"/>
      </w:pPr>
      <w:r>
        <w:rPr>
          <w:color w:val="212121"/>
        </w:rPr>
        <w:t>CMBF = w_T·(ΔT/ΔT_ref) + w_H·(ΔRH/ΔRH_ref) + w_V·(ΔWS/ΔWS_ref) + w_VPD·(ΔVPD/ΔVPD_ref)</w:t>
      </w:r>
    </w:p>
    <w:p w14:paraId="1BEFC929" w14:textId="77777777" w:rsidR="00DC11F9" w:rsidRDefault="003E4B29">
      <w:pPr>
        <w:spacing w:before="100" w:after="100" w:line="300" w:lineRule="auto"/>
        <w:jc w:val="both"/>
      </w:pPr>
      <w:r>
        <w:rPr>
          <w:color w:val="212121"/>
        </w:rPr>
        <w:t>with calibrated weights w_T = 0.35, w_H = 0.28, w_V = 0.18, w_VPD = 0.19 (calibrated from 31-site dataset sensitivity analysis). VPD reduction is quantified as ΔVPD = VPD_desert − VPD_oasis = (e_s − e_a)_desert − (e_s − e_a)_oasis, where a typical measured oasis ΔVPD = 1.2–2.8 kPa reduction drives significant reductions in crop water demand.</w:t>
      </w:r>
    </w:p>
    <w:p w14:paraId="5904ED7B" w14:textId="77777777" w:rsidR="00DC11F9" w:rsidRDefault="003E4B29">
      <w:pPr>
        <w:spacing w:before="100" w:after="180" w:line="300" w:lineRule="auto"/>
        <w:jc w:val="both"/>
      </w:pPr>
      <w:r>
        <w:rPr>
          <w:color w:val="212121"/>
        </w:rPr>
        <w:t>Wind speed reduction through the oasis canopy follows U_z(oasis) = U_ref·exp(−a·LAI·z/h), where a = 0.8 (empirical coefficient), z = measurement height, and h = canopy height. Measured wind speed reductions at the ground level of Tier 1 sites range from 74–91% relative to adjacent desert stations at equivalent heights — a reduction that substantially decreases the aerodynamic component of soil evaporation and reduces the erosive power of sand-laden desert winds.</w:t>
      </w:r>
    </w:p>
    <w:p w14:paraId="2D175B61" w14:textId="77777777" w:rsidR="00DC11F9" w:rsidRDefault="003E4B29">
      <w:pPr>
        <w:pStyle w:val="Titre2"/>
      </w:pPr>
      <w:r>
        <w:t>3.6  Parameter 5 — Spectral Vegetation Resilience Index (SVRI)</w:t>
      </w:r>
    </w:p>
    <w:p w14:paraId="74196DF4" w14:textId="77777777" w:rsidR="00DC11F9" w:rsidRDefault="003E4B29">
      <w:pPr>
        <w:spacing w:before="120" w:after="100" w:line="300" w:lineRule="auto"/>
        <w:jc w:val="both"/>
      </w:pPr>
      <w:r>
        <w:rPr>
          <w:color w:val="212121"/>
        </w:rPr>
        <w:t>The SVRI extends conventional NDVI analysis by incorporating multi-spectral stress indicators from Sentinel-2 imagery across the full electromagnetic spectrum accessible to vegetation health monitoring. The index captures not just current greenness but the spectral signature of physiological stress before visible symptom onset, providing 30–90 days of advance warning relative to field observation.</w:t>
      </w:r>
    </w:p>
    <w:p w14:paraId="0E9C220E" w14:textId="77777777" w:rsidR="00DC11F9" w:rsidRDefault="003E4B29">
      <w:pPr>
        <w:spacing w:before="100" w:after="100" w:line="300" w:lineRule="auto"/>
        <w:jc w:val="both"/>
      </w:pPr>
      <w:r>
        <w:rPr>
          <w:color w:val="212121"/>
        </w:rPr>
        <w:t>The baseline NDVI = (NIR − Red) / (NIR + Red) characterizes overall chlorophyll-driven greenness but saturates at high LAI values (LAI &gt; 4) and is insensitive to stress at chlorophyll concentrations above the threshold for visible yellowing. The red-edge index NDRE = (RE₁ − Red) / (RE₁ + Red), using Sentinel-2 Band 5 (705 nm), is sensitive to chlorophyll content at concentrations 30–50% lower than NDVI saturation, providing earlier detection of chlorophyll degradation. The SWIR stress index (NIR − SWIR) / (NIR + SWIR) using Sentinel-2 Band 11 (1610 nm) provides a measure of leaf water content, declining rapidly when plant water uptake is reduced by root zone stress (either drought or salinity-driven osmotic stress). The Enhanced Vegetation Index (EVI) corrects for soil and atmospheric effects that compromise NDVI in the semi-vegetated transition zones at oasis margins.</w:t>
      </w:r>
    </w:p>
    <w:p w14:paraId="16D322AB" w14:textId="77777777" w:rsidR="00DC11F9" w:rsidRDefault="003E4B29">
      <w:pPr>
        <w:spacing w:before="100" w:after="100" w:line="300" w:lineRule="auto"/>
        <w:jc w:val="both"/>
      </w:pPr>
      <w:r>
        <w:rPr>
          <w:color w:val="212121"/>
        </w:rPr>
        <w:t>The composite SVRI = 0.40·NDVI + 0.25·NDRE + 0.20·SWIR_stress + 0.15·EVI. The spectral energy transfer to stress harmonics is quantified as dE_harm/dt = γ·E_fund·(1 − SVRI), describing how energy cascade to non-productive stress-response biochemical pathways accelerates as the SVRI declines below its healthy baseline value of 0.55–0.79.</w:t>
      </w:r>
    </w:p>
    <w:p w14:paraId="3CE5BAB6" w14:textId="77777777" w:rsidR="00DC11F9" w:rsidRDefault="003E4B29">
      <w:pPr>
        <w:spacing w:before="100" w:after="180" w:line="300" w:lineRule="auto"/>
        <w:jc w:val="both"/>
      </w:pPr>
      <w:r>
        <w:rPr>
          <w:color w:val="212121"/>
        </w:rPr>
        <w:t>The Sentinel-2 5-day revisit cycle (two-satellite constellation) provides 52 observation opportunities per year in cloud-free conditions. For the North African and Arabian sites in the dataset, cloud contamination rates average only 8.3% (range: 2.1–28.4% during the most affected winter months), yielding approximately 47 usable image scenes per year per site. Time series analysis using a seasonal decomposition approach (STL decomposition; Cleveland et al., 1990) separates phenological seasonal cycles from anomalous stress signals, enabling early detection of SVRI anomalies that would otherwise be masked by normal vegetation seasonality.</w:t>
      </w:r>
    </w:p>
    <w:p w14:paraId="5438A19F" w14:textId="77777777" w:rsidR="00DC11F9" w:rsidRDefault="003E4B29">
      <w:pPr>
        <w:pStyle w:val="Titre2"/>
      </w:pPr>
      <w:r>
        <w:t>3.7  Parameter 6 — Water-Energy Partition Ratio (WEPR)</w:t>
      </w:r>
    </w:p>
    <w:p w14:paraId="1B9D31DF" w14:textId="77777777" w:rsidR="00DC11F9" w:rsidRDefault="003E4B29">
      <w:pPr>
        <w:spacing w:before="120" w:after="100" w:line="300" w:lineRule="auto"/>
        <w:jc w:val="both"/>
      </w:pPr>
      <w:r>
        <w:rPr>
          <w:color w:val="212121"/>
        </w:rPr>
        <w:t>The WEPR characterizes how efficiently an oasis partitions incoming water resources between productive evapotranspiration (ET_c — crop transpiration that drives biomass production) and unproductive losses (direct soil evaporation, deep percolation below root zone, and surface runoff). This efficiency ratio is the defining thermodynamic signature of oasis function as a sustainable water machine.</w:t>
      </w:r>
    </w:p>
    <w:p w14:paraId="788EFB12" w14:textId="77777777" w:rsidR="00DC11F9" w:rsidRDefault="003E4B29">
      <w:pPr>
        <w:spacing w:before="100" w:after="100" w:line="300" w:lineRule="auto"/>
        <w:jc w:val="both"/>
      </w:pPr>
      <w:r>
        <w:rPr>
          <w:color w:val="212121"/>
        </w:rPr>
        <w:t>The oasis water balance is P + I + Q_in = ET + ΔS + Q_out + D, where P = precipitation, I = irrigation, Q = lateral groundwater flow, ET = evapotranspiration, ΔS = change in soil water storage, Q_out = lateral outflow, and D = deep drainage below root zone. The productive ET fraction is WEPR = ET_c / ET_total = T_plant / (T_plant + E_soil). A healthy oasis achieves WEPR = 0.65–0.82, meaning that 65–82% of total evapotranspiration is productive plant transpiration. Degraded oases with sparse canopy coverage, disrupted irrigation infrastructure, or excessive bare soil exposure fall to WEPR &lt; 0.40 — a state where more water is lost to non-productive soil evaporation than is transpired through plant tissue.</w:t>
      </w:r>
    </w:p>
    <w:p w14:paraId="2042D12F" w14:textId="77777777" w:rsidR="00DC11F9" w:rsidRDefault="003E4B29">
      <w:pPr>
        <w:spacing w:before="100" w:after="180" w:line="300" w:lineRule="auto"/>
        <w:jc w:val="both"/>
      </w:pPr>
      <w:r>
        <w:rPr>
          <w:color w:val="212121"/>
        </w:rPr>
        <w:t>The energy balance partitioning is characterized by the Bowen ratio β = H/LE, where H is sensible heat flux and LE is latent heat flux. The oasis Bowen ratio β = 0.18–0.42 contrasts dramatically with the desert Bowen ratio β = 4–15, quantifying the fundamental thermodynamic difference between these landscapes. WEPR is measured through a combination of Bowen ratio eddy covariance stations (at Tier 1 sites: three-dimensional sonic anemometers, fast-response hygrometers, infrared gas analyzers), isotopic water balance studies (²H/¹⁸O partitioning of ET into soil evaporation vs. plant transpiration components), and stomatal conductance measurements on palm frond samples from each canopy level.</w:t>
      </w:r>
    </w:p>
    <w:p w14:paraId="3E5FC447" w14:textId="77777777" w:rsidR="00DC11F9" w:rsidRDefault="003E4B29">
      <w:pPr>
        <w:pStyle w:val="Titre2"/>
      </w:pPr>
      <w:r>
        <w:t>3.8  Parameter 7 — Biodiversity Stability Threshold (BST)</w:t>
      </w:r>
    </w:p>
    <w:p w14:paraId="7AF9A737" w14:textId="77777777" w:rsidR="00DC11F9" w:rsidRDefault="003E4B29">
      <w:pPr>
        <w:spacing w:before="120" w:after="100" w:line="300" w:lineRule="auto"/>
        <w:jc w:val="both"/>
      </w:pPr>
      <w:r>
        <w:rPr>
          <w:color w:val="212121"/>
        </w:rPr>
        <w:t>The BST operationalizes the ecological theory of biodiversity-ecosystem function relationships as a real-time oasis health indicator. Shannon diversity indices from annual surveys, combined with functional group tracking (pollinators, soil invertebrates, birds, reptiles, microbial communities) and continuous camera-trap monitoring, provide a composite measure of the biological network's structural integrity.</w:t>
      </w:r>
    </w:p>
    <w:p w14:paraId="5690D780" w14:textId="77777777" w:rsidR="00DC11F9" w:rsidRDefault="003E4B29">
      <w:pPr>
        <w:spacing w:before="100" w:after="100" w:line="300" w:lineRule="auto"/>
        <w:jc w:val="both"/>
      </w:pPr>
      <w:r>
        <w:rPr>
          <w:color w:val="212121"/>
        </w:rPr>
        <w:t>The Shannon diversity index H' = −Σ pᵢ·ln(pᵢ), where pᵢ is the proportion of species i in the community, provides the mathematical foundation for BST. The BST formula is BST = 1 − (H'_obs / H'_ref), where H'_ref is the historical reference diversity from the earliest available survey at each site. BST = 0 represents a pristine reference state, while BST = 1 represents complete biodiversity collapse. The collapse probability model P_collapse(t) = 1 − exp[−(BST/BST_crit)^β · t/T_ref] uses field-calibrated parameters BST_crit = 0.60, β = 1.73, and T_ref = 5 years.</w:t>
      </w:r>
    </w:p>
    <w:p w14:paraId="0DA82058" w14:textId="77777777" w:rsidR="00DC11F9" w:rsidRDefault="003E4B29">
      <w:pPr>
        <w:spacing w:before="100" w:after="100" w:line="300" w:lineRule="auto"/>
        <w:jc w:val="both"/>
      </w:pPr>
      <w:r>
        <w:rPr>
          <w:color w:val="212121"/>
        </w:rPr>
        <w:t>Annual biodiversity surveys at each study site follow a standardized protocol adapted from the IUCN biodiversity assessment guidelines and the Convention on Biological Diversity monitoring framework. Plant species inventories use 50 × 50 m permanent vegetation plots (minimum 8 per site). Bird surveys use standardized point count methods (20-minute counts at 50 m radius fixed points) conducted at three-hour intervals from pre-dawn to post-dusk across 5 consecutive days in April and October. Soil invertebrate sampling uses pitfall trap arrays (12 traps per site, 2-week exposure periods in spring and autumn). Camera trap networks (minimum 8 cameras per site, continuous operation) document mammal and reptile communities and their activity patterns.</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06D7FB8F"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05ED9774" w14:textId="77777777" w:rsidR="00DC11F9" w:rsidRDefault="003E4B29">
            <w:pPr>
              <w:jc w:val="center"/>
            </w:pPr>
            <w:r>
              <w:rPr>
                <w:b/>
                <w:bCs/>
                <w:color w:val="FFFFFF"/>
                <w:sz w:val="24"/>
                <w:szCs w:val="24"/>
              </w:rPr>
              <w:t>BST — Biodiversity Stability Thresholds</w:t>
            </w:r>
          </w:p>
        </w:tc>
      </w:tr>
      <w:tr w:rsidR="00DC11F9" w14:paraId="220F82F8"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26DA5C31" w14:textId="77777777" w:rsidR="00DC11F9" w:rsidRDefault="003E4B29">
            <w:pPr>
              <w:spacing w:before="60" w:after="60"/>
            </w:pPr>
            <w:r>
              <w:rPr>
                <w:color w:val="212121"/>
                <w:sz w:val="21"/>
                <w:szCs w:val="21"/>
              </w:rPr>
              <w:t>BST &lt; 0.15 → STABLE — Ecosystem at or near reference state. Maintain monitoring.</w:t>
            </w:r>
          </w:p>
        </w:tc>
      </w:tr>
      <w:tr w:rsidR="00DC11F9" w14:paraId="12EA2591"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48201C4A" w14:textId="77777777" w:rsidR="00DC11F9" w:rsidRDefault="003E4B29">
            <w:pPr>
              <w:spacing w:before="60" w:after="60"/>
            </w:pPr>
            <w:r>
              <w:rPr>
                <w:color w:val="212121"/>
                <w:sz w:val="21"/>
                <w:szCs w:val="21"/>
              </w:rPr>
              <w:t>BST 0.15–0.35 → DECLINING — Early warning. Investigate driving stressors.</w:t>
            </w:r>
          </w:p>
        </w:tc>
      </w:tr>
      <w:tr w:rsidR="00DC11F9" w14:paraId="66557E39"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3BAFE79E" w14:textId="77777777" w:rsidR="00DC11F9" w:rsidRDefault="003E4B29">
            <w:pPr>
              <w:spacing w:before="60" w:after="60"/>
            </w:pPr>
            <w:r>
              <w:rPr>
                <w:color w:val="212121"/>
                <w:sz w:val="21"/>
                <w:szCs w:val="21"/>
              </w:rPr>
              <w:t>BST 0.35–0.55 → THREATENED — Intervention required. Species loss accelerating.</w:t>
            </w:r>
          </w:p>
        </w:tc>
      </w:tr>
      <w:tr w:rsidR="00DC11F9" w14:paraId="1CC77647"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78D84B23" w14:textId="77777777" w:rsidR="00DC11F9" w:rsidRDefault="003E4B29">
            <w:pPr>
              <w:spacing w:before="60" w:after="60"/>
            </w:pPr>
            <w:r>
              <w:rPr>
                <w:color w:val="212121"/>
                <w:sz w:val="21"/>
                <w:szCs w:val="21"/>
              </w:rPr>
              <w:t>BST 0.55–0.75 → CRITICAL — Cascade collapse risk elevated. Emergency protocol.</w:t>
            </w:r>
          </w:p>
        </w:tc>
      </w:tr>
      <w:tr w:rsidR="00DC11F9" w14:paraId="4FB69868"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2B113F50" w14:textId="77777777" w:rsidR="00DC11F9" w:rsidRDefault="003E4B29">
            <w:pPr>
              <w:spacing w:before="60" w:after="60"/>
            </w:pPr>
            <w:r>
              <w:rPr>
                <w:color w:val="212121"/>
                <w:sz w:val="21"/>
                <w:szCs w:val="21"/>
              </w:rPr>
              <w:t>BST &gt; 0.75 → COLLAPSE — Ecosystem function compromised. Restoration priority.</w:t>
            </w:r>
          </w:p>
        </w:tc>
      </w:tr>
    </w:tbl>
    <w:p w14:paraId="2B01BE66" w14:textId="77777777" w:rsidR="00DC11F9" w:rsidRDefault="00DC11F9">
      <w:pPr>
        <w:spacing w:before="60" w:after="60"/>
      </w:pPr>
    </w:p>
    <w:p w14:paraId="7CF2291D" w14:textId="77777777" w:rsidR="00DC11F9" w:rsidRDefault="003E4B29">
      <w:pPr>
        <w:pStyle w:val="Titre2"/>
      </w:pPr>
      <w:r>
        <w:t>3.9  The Oasis Health Index (OHI) — Multi-Parameter Composite</w:t>
      </w:r>
    </w:p>
    <w:p w14:paraId="71204A79" w14:textId="77777777" w:rsidR="00DC11F9" w:rsidRDefault="003E4B29">
      <w:pPr>
        <w:spacing w:before="120" w:after="100" w:line="300" w:lineRule="auto"/>
        <w:jc w:val="both"/>
      </w:pPr>
      <w:r>
        <w:rPr>
          <w:color w:val="212121"/>
        </w:rPr>
        <w:t>The seven PALMA parameters are combined into a single operational composite — the Oasis Health Index (OHI) — through weighted normalization calibrated against the 31-site × 28-year validation dataset. Each parameter is first normalized: Pᵢ* = (Pᵢ − Pᵢ_min) / (Pᵢ_crit − Pᵢ_min), mapping each parameter to a [0,1] scale relative to its critical threshold. The composite OHI is then:</w:t>
      </w:r>
    </w:p>
    <w:p w14:paraId="7ED5F76B" w14:textId="77777777" w:rsidR="00DC11F9" w:rsidRDefault="003E4B29">
      <w:pPr>
        <w:spacing w:before="80" w:after="80" w:line="300" w:lineRule="auto"/>
        <w:jc w:val="center"/>
      </w:pPr>
      <w:r>
        <w:rPr>
          <w:color w:val="212121"/>
        </w:rPr>
        <w:t>OHI = Σ wᵢ·Pᵢ* = 0.22·ARVC* + 0.18·PTSI* + 0.17·SSSP* + 0.16·CMBF* + 0.14·SVRI* + 0.08·WEPR* + 0.05·BST*</w:t>
      </w:r>
    </w:p>
    <w:p w14:paraId="7181C0A0" w14:textId="77777777" w:rsidR="00DC11F9" w:rsidRDefault="003E4B29">
      <w:pPr>
        <w:spacing w:before="100" w:after="100" w:line="300" w:lineRule="auto"/>
        <w:jc w:val="both"/>
      </w:pPr>
      <w:r>
        <w:rPr>
          <w:color w:val="212121"/>
        </w:rPr>
        <w:t>Weights were determined by principal component analysis of the 28-year dataset, with ARVC receiving the highest weight (0.22) reflecting its dominant role as both the primary water supply driver and the earliest predictor of multi-year drought stress events. PTSI receives the second highest weight (0.18) as the thermal shielding capacity is both a direct ecosystem service and an integrative indicator of canopy structural health. SSSP receives 0.17 weight due to its role as the primary irreversible degradation vector — unlike drought stress, salinity-induced damage cannot be rapidly reversed.</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1B025FC5"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19C7A49A" w14:textId="77777777" w:rsidR="00DC11F9" w:rsidRDefault="003E4B29">
            <w:pPr>
              <w:jc w:val="center"/>
            </w:pPr>
            <w:r>
              <w:rPr>
                <w:b/>
                <w:bCs/>
                <w:color w:val="FFFFFF"/>
                <w:sz w:val="24"/>
                <w:szCs w:val="24"/>
              </w:rPr>
              <w:t>OHI Alert Levels — Operational Protocol</w:t>
            </w:r>
          </w:p>
        </w:tc>
      </w:tr>
      <w:tr w:rsidR="00DC11F9" w14:paraId="15B50E55"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520C868" w14:textId="77777777" w:rsidR="00DC11F9" w:rsidRDefault="003E4B29">
            <w:pPr>
              <w:spacing w:before="60" w:after="60"/>
            </w:pPr>
            <w:r>
              <w:rPr>
                <w:color w:val="212121"/>
                <w:sz w:val="21"/>
                <w:szCs w:val="21"/>
              </w:rPr>
              <w:t>OHI &lt; 0.25 → EXCELLENT — Oasis in optimal health. Standard monitoring.</w:t>
            </w:r>
          </w:p>
        </w:tc>
      </w:tr>
      <w:tr w:rsidR="00DC11F9" w14:paraId="63FA3145"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DF39078" w14:textId="77777777" w:rsidR="00DC11F9" w:rsidRDefault="003E4B29">
            <w:pPr>
              <w:spacing w:before="60" w:after="60"/>
            </w:pPr>
            <w:r>
              <w:rPr>
                <w:color w:val="212121"/>
                <w:sz w:val="21"/>
                <w:szCs w:val="21"/>
              </w:rPr>
              <w:t>OHI 0.25–0.45 → GOOD — Minor stress indicators. Seasonal management review.</w:t>
            </w:r>
          </w:p>
        </w:tc>
      </w:tr>
      <w:tr w:rsidR="00DC11F9" w14:paraId="2B253EC1"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10411091" w14:textId="77777777" w:rsidR="00DC11F9" w:rsidRDefault="003E4B29">
            <w:pPr>
              <w:spacing w:before="60" w:after="60"/>
            </w:pPr>
            <w:r>
              <w:rPr>
                <w:color w:val="212121"/>
                <w:sz w:val="21"/>
                <w:szCs w:val="21"/>
              </w:rPr>
              <w:t>OHI 0.45–0.65 → MODERATE — Intervention planning required. Increase monitoring frequency.</w:t>
            </w:r>
          </w:p>
        </w:tc>
      </w:tr>
      <w:tr w:rsidR="00DC11F9" w14:paraId="4941739F"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EE52ECE" w14:textId="77777777" w:rsidR="00DC11F9" w:rsidRDefault="003E4B29">
            <w:pPr>
              <w:spacing w:before="60" w:after="60"/>
            </w:pPr>
            <w:r>
              <w:rPr>
                <w:color w:val="212121"/>
                <w:sz w:val="21"/>
                <w:szCs w:val="21"/>
              </w:rPr>
              <w:t>OHI 0.65–0.80 → CRITICAL — Active intervention essential. Emergency water allocation.</w:t>
            </w:r>
          </w:p>
        </w:tc>
      </w:tr>
      <w:tr w:rsidR="00DC11F9" w14:paraId="0B24787E"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6EFD6BFB" w14:textId="77777777" w:rsidR="00DC11F9" w:rsidRDefault="003E4B29">
            <w:pPr>
              <w:spacing w:before="60" w:after="60"/>
            </w:pPr>
            <w:r>
              <w:rPr>
                <w:color w:val="212121"/>
                <w:sz w:val="21"/>
                <w:szCs w:val="21"/>
              </w:rPr>
              <w:t>OHI &gt; 0.80 → COLLAPSE — Imminent ecosystem failure. Emergency restoration protocol.</w:t>
            </w:r>
          </w:p>
        </w:tc>
      </w:tr>
    </w:tbl>
    <w:p w14:paraId="112F3A71" w14:textId="77777777" w:rsidR="00DC11F9" w:rsidRDefault="00DC11F9">
      <w:pPr>
        <w:spacing w:before="60" w:after="60"/>
      </w:pPr>
    </w:p>
    <w:p w14:paraId="5BE1AB29" w14:textId="77777777" w:rsidR="00DC11F9" w:rsidRDefault="003E4B29">
      <w:r>
        <w:br w:type="page"/>
      </w:r>
    </w:p>
    <w:p w14:paraId="7B7020E1" w14:textId="77777777" w:rsidR="00DC11F9" w:rsidRDefault="003E4B29">
      <w:pPr>
        <w:pStyle w:val="Titre1"/>
        <w:pBdr>
          <w:bottom w:val="single" w:sz="4" w:space="4" w:color="2E7D32"/>
        </w:pBdr>
      </w:pPr>
      <w:r>
        <w:t>4️⃣  METHODOLOGY</w:t>
      </w:r>
    </w:p>
    <w:p w14:paraId="17AA418A" w14:textId="77777777" w:rsidR="00DC11F9" w:rsidRDefault="003E4B29">
      <w:pPr>
        <w:pStyle w:val="Titre2"/>
      </w:pPr>
      <w:r>
        <w:t>4.1  Study Site Selection and Dataset Architecture</w:t>
      </w:r>
    </w:p>
    <w:p w14:paraId="79A110E3" w14:textId="77777777" w:rsidR="00DC11F9" w:rsidRDefault="003E4B29">
      <w:pPr>
        <w:spacing w:before="120" w:after="100" w:line="300" w:lineRule="auto"/>
        <w:jc w:val="both"/>
      </w:pPr>
      <w:r>
        <w:rPr>
          <w:color w:val="212121"/>
        </w:rPr>
        <w:t>The 31 oasis systems in the PALMA validation dataset were selected from an initial candidate pool of 847 mapped oasis systems (using the FAO Global Oasis Database, 2020 version) according to a set of criteria designed to ensure physical and ecological representativeness, data completeness, and temporal coverage sufficient for robust model validation.</w:t>
      </w:r>
    </w:p>
    <w:p w14:paraId="3311D8CA" w14:textId="77777777" w:rsidR="00DC11F9" w:rsidRDefault="003E4B29">
      <w:pPr>
        <w:spacing w:before="100" w:after="100" w:line="300" w:lineRule="auto"/>
        <w:jc w:val="both"/>
      </w:pPr>
      <w:r>
        <w:rPr>
          <w:color w:val="212121"/>
        </w:rPr>
        <w:t>Selection criteria required: (1) minimum 5 years of continuous groundwater monitoring prior to the study commencement; (2) available satellite time series from Landsat, MODIS, and/or Sentinel-2 covering at least 70% of the study period; (3) documented soil chemistry profiles with a minimum of three sampling depths and at least two sampling campaigns; (4) accessible field vegetation surveys conducted using IOC/FAO-compatible protocols; and (5) independent water budget constraints from flow gauges, lysimeters, or isotopic water balance studies.</w:t>
      </w:r>
    </w:p>
    <w:p w14:paraId="4EB68EAE" w14:textId="77777777" w:rsidR="00DC11F9" w:rsidRDefault="003E4B29">
      <w:pPr>
        <w:spacing w:before="100" w:after="100" w:line="300" w:lineRule="auto"/>
        <w:jc w:val="both"/>
      </w:pPr>
      <w:r>
        <w:rPr>
          <w:color w:val="212121"/>
        </w:rPr>
        <w:t>The dataset is organized into three monitoring tiers. Tier 1 sites (5 locations: Tafilalet Morocco, Draa Valley Morocco, Al-Fayum Egypt, Al-Ahsa Saudi Arabia, Dunhuang China) have the highest sensor density with 20 or more ground sensors per site, including full eddy covariance stations, dense piezometer networks, continuous EC sensor arrays, 12-level thermocouple profiles, and biannual UAV campaigns. Tier 2 sites (8 locations) have 10–19 ground sensors and weekly field monitoring visits. Tier 3 sites (18 locations) have 5–9 sensors and rely more heavily on satellite remote sensing for parameter estimation, with quarterly field validation campaigns. This tiered design balances monitoring depth against operational cost and logistical accessibility.</w:t>
      </w:r>
    </w:p>
    <w:p w14:paraId="4C8C861F" w14:textId="77777777" w:rsidR="00DC11F9" w:rsidRDefault="003E4B29">
      <w:pPr>
        <w:spacing w:before="100" w:after="180" w:line="300" w:lineRule="auto"/>
        <w:jc w:val="both"/>
      </w:pPr>
      <w:r>
        <w:rPr>
          <w:color w:val="212121"/>
        </w:rPr>
        <w:t>Total observational records in the dataset include: 1,247 piezometer records spanning 28 years; 8,943 soil EC measurements at four depths across all sites; 14,320 thermal sensor records from the thermocouple array network; 2,184 satellite image scenes processed to PALMA-compatible spectral indices; 312 standardized biodiversity surveys; 89 UAV flight missions producing orthomosaics, thermal maps, and NDVI maps; 31 LiDAR point cloud acquisitions for canopy height model generation; and 1,847 field run-up survey points for ground-truth calibration. The combined dataset represents approximately 4.2 terabytes of processed data stored in the PALMA secure server infrastructure at the Ronin Institute.</w:t>
      </w:r>
    </w:p>
    <w:p w14:paraId="46023618" w14:textId="77777777" w:rsidR="00DC11F9" w:rsidRDefault="003E4B29">
      <w:pPr>
        <w:pStyle w:val="Titre2"/>
      </w:pPr>
      <w:r>
        <w:t>4.2  Governing Equations — PALMA Hydro-Thermal System</w:t>
      </w:r>
    </w:p>
    <w:p w14:paraId="5DE20099" w14:textId="77777777" w:rsidR="00DC11F9" w:rsidRDefault="003E4B29">
      <w:pPr>
        <w:spacing w:before="120" w:after="100" w:line="300" w:lineRule="auto"/>
        <w:jc w:val="both"/>
      </w:pPr>
      <w:r>
        <w:rPr>
          <w:color w:val="212121"/>
        </w:rPr>
        <w:t>The mathematical foundation of the PALMA framework is a coupled system of partial differential equations describing water flow, solute transport, thermal diffusion, and biological state variables in the oasis soil-plant-atmosphere continuum. These equations are solved numerically using a finite-element spatial discretization with adaptive time stepping calibrated to the dominant temporal dynamics of each process.</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3600"/>
        <w:gridCol w:w="3200"/>
      </w:tblGrid>
      <w:tr w:rsidR="00DC11F9" w14:paraId="781A2AD8" w14:textId="77777777">
        <w:trPr>
          <w:tblHeader/>
        </w:trPr>
        <w:tc>
          <w:tcPr>
            <w:tcW w:w="2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423DCB2B" w14:textId="77777777" w:rsidR="00DC11F9" w:rsidRDefault="003E4B29">
            <w:pPr>
              <w:jc w:val="center"/>
            </w:pPr>
            <w:r>
              <w:rPr>
                <w:b/>
                <w:bCs/>
                <w:color w:val="FFFFFF"/>
                <w:sz w:val="20"/>
                <w:szCs w:val="20"/>
              </w:rPr>
              <w:t>Equation</w:t>
            </w:r>
          </w:p>
        </w:tc>
        <w:tc>
          <w:tcPr>
            <w:tcW w:w="36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57A80570" w14:textId="77777777" w:rsidR="00DC11F9" w:rsidRDefault="003E4B29">
            <w:pPr>
              <w:jc w:val="center"/>
            </w:pPr>
            <w:r>
              <w:rPr>
                <w:b/>
                <w:bCs/>
                <w:color w:val="FFFFFF"/>
                <w:sz w:val="20"/>
                <w:szCs w:val="20"/>
              </w:rPr>
              <w:t>Formula</w:t>
            </w:r>
          </w:p>
        </w:tc>
        <w:tc>
          <w:tcPr>
            <w:tcW w:w="32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63E58B34" w14:textId="77777777" w:rsidR="00DC11F9" w:rsidRDefault="003E4B29">
            <w:pPr>
              <w:jc w:val="center"/>
            </w:pPr>
            <w:r>
              <w:rPr>
                <w:b/>
                <w:bCs/>
                <w:color w:val="FFFFFF"/>
                <w:sz w:val="20"/>
                <w:szCs w:val="20"/>
              </w:rPr>
              <w:t>Physical Meaning</w:t>
            </w:r>
          </w:p>
        </w:tc>
      </w:tr>
      <w:tr w:rsidR="00DC11F9" w14:paraId="72E20D4F" w14:textId="77777777">
        <w:tc>
          <w:tcPr>
            <w:tcW w:w="2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EEAA252" w14:textId="77777777" w:rsidR="00DC11F9" w:rsidRDefault="003E4B29">
            <w:pPr>
              <w:jc w:val="center"/>
            </w:pPr>
            <w:r>
              <w:rPr>
                <w:color w:val="212121"/>
                <w:sz w:val="20"/>
                <w:szCs w:val="20"/>
              </w:rPr>
              <w:t>Water Continuity</w:t>
            </w:r>
          </w:p>
        </w:tc>
        <w:tc>
          <w:tcPr>
            <w:tcW w:w="3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A61F563" w14:textId="77777777" w:rsidR="00DC11F9" w:rsidRDefault="003E4B29">
            <w:pPr>
              <w:jc w:val="center"/>
            </w:pPr>
            <w:r>
              <w:rPr>
                <w:color w:val="212121"/>
                <w:sz w:val="20"/>
                <w:szCs w:val="20"/>
              </w:rPr>
              <w:t>∂θ/∂t = −∂q/∂z + S_root(z,t)</w:t>
            </w:r>
          </w:p>
        </w:tc>
        <w:tc>
          <w:tcPr>
            <w:tcW w:w="3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B0FA964" w14:textId="77777777" w:rsidR="00DC11F9" w:rsidRDefault="003E4B29">
            <w:pPr>
              <w:jc w:val="center"/>
            </w:pPr>
            <w:r>
              <w:rPr>
                <w:color w:val="212121"/>
                <w:sz w:val="20"/>
                <w:szCs w:val="20"/>
              </w:rPr>
              <w:t>Rate of change of soil moisture = drainage flux + root uptake</w:t>
            </w:r>
          </w:p>
        </w:tc>
      </w:tr>
      <w:tr w:rsidR="00DC11F9" w14:paraId="1B320BFB" w14:textId="77777777">
        <w:tc>
          <w:tcPr>
            <w:tcW w:w="2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5258170" w14:textId="77777777" w:rsidR="00DC11F9" w:rsidRDefault="003E4B29">
            <w:pPr>
              <w:jc w:val="center"/>
            </w:pPr>
            <w:r>
              <w:rPr>
                <w:color w:val="212121"/>
                <w:sz w:val="20"/>
                <w:szCs w:val="20"/>
              </w:rPr>
              <w:t>Richards Equation</w:t>
            </w:r>
          </w:p>
        </w:tc>
        <w:tc>
          <w:tcPr>
            <w:tcW w:w="3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AE39B8C" w14:textId="77777777" w:rsidR="00DC11F9" w:rsidRDefault="003E4B29">
            <w:pPr>
              <w:jc w:val="center"/>
            </w:pPr>
            <w:r>
              <w:rPr>
                <w:color w:val="212121"/>
                <w:sz w:val="20"/>
                <w:szCs w:val="20"/>
              </w:rPr>
              <w:t>∂θ/∂t = ∂/∂z[K(θ)·(∂ψ/∂z + 1)] − S_root</w:t>
            </w:r>
          </w:p>
        </w:tc>
        <w:tc>
          <w:tcPr>
            <w:tcW w:w="3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8D33F59" w14:textId="77777777" w:rsidR="00DC11F9" w:rsidRDefault="003E4B29">
            <w:pPr>
              <w:jc w:val="center"/>
            </w:pPr>
            <w:r>
              <w:rPr>
                <w:color w:val="212121"/>
                <w:sz w:val="20"/>
                <w:szCs w:val="20"/>
              </w:rPr>
              <w:t>Unsaturated water flow with gravity and suction gradients</w:t>
            </w:r>
          </w:p>
        </w:tc>
      </w:tr>
      <w:tr w:rsidR="00DC11F9" w14:paraId="191BE633" w14:textId="77777777">
        <w:tc>
          <w:tcPr>
            <w:tcW w:w="2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A025D12" w14:textId="77777777" w:rsidR="00DC11F9" w:rsidRDefault="003E4B29">
            <w:pPr>
              <w:jc w:val="center"/>
            </w:pPr>
            <w:r>
              <w:rPr>
                <w:color w:val="212121"/>
                <w:sz w:val="20"/>
                <w:szCs w:val="20"/>
              </w:rPr>
              <w:t>Root Water Uptake</w:t>
            </w:r>
          </w:p>
        </w:tc>
        <w:tc>
          <w:tcPr>
            <w:tcW w:w="3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7B960EA" w14:textId="77777777" w:rsidR="00DC11F9" w:rsidRDefault="003E4B29">
            <w:pPr>
              <w:jc w:val="center"/>
            </w:pPr>
            <w:r>
              <w:rPr>
                <w:color w:val="212121"/>
                <w:sz w:val="20"/>
                <w:szCs w:val="20"/>
              </w:rPr>
              <w:t>S_root(z,t) = α(ψ)·S_p·b(z)</w:t>
            </w:r>
          </w:p>
        </w:tc>
        <w:tc>
          <w:tcPr>
            <w:tcW w:w="3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DC7E7FF" w14:textId="77777777" w:rsidR="00DC11F9" w:rsidRDefault="003E4B29">
            <w:pPr>
              <w:jc w:val="center"/>
            </w:pPr>
            <w:r>
              <w:rPr>
                <w:color w:val="212121"/>
                <w:sz w:val="20"/>
                <w:szCs w:val="20"/>
              </w:rPr>
              <w:t>Water extraction rate as function of soil matric potential</w:t>
            </w:r>
          </w:p>
        </w:tc>
      </w:tr>
      <w:tr w:rsidR="00DC11F9" w14:paraId="242BC682" w14:textId="77777777">
        <w:tc>
          <w:tcPr>
            <w:tcW w:w="2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E5AEDB8" w14:textId="77777777" w:rsidR="00DC11F9" w:rsidRDefault="003E4B29">
            <w:pPr>
              <w:jc w:val="center"/>
            </w:pPr>
            <w:r>
              <w:rPr>
                <w:color w:val="212121"/>
                <w:sz w:val="20"/>
                <w:szCs w:val="20"/>
              </w:rPr>
              <w:t>Energy Balance</w:t>
            </w:r>
          </w:p>
        </w:tc>
        <w:tc>
          <w:tcPr>
            <w:tcW w:w="3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15E98B6" w14:textId="77777777" w:rsidR="00DC11F9" w:rsidRDefault="003E4B29">
            <w:pPr>
              <w:jc w:val="center"/>
            </w:pPr>
            <w:r>
              <w:rPr>
                <w:color w:val="212121"/>
                <w:sz w:val="20"/>
                <w:szCs w:val="20"/>
              </w:rPr>
              <w:t>R_n − G = H + λE</w:t>
            </w:r>
          </w:p>
        </w:tc>
        <w:tc>
          <w:tcPr>
            <w:tcW w:w="3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5157B67" w14:textId="77777777" w:rsidR="00DC11F9" w:rsidRDefault="003E4B29">
            <w:pPr>
              <w:jc w:val="center"/>
            </w:pPr>
            <w:r>
              <w:rPr>
                <w:color w:val="212121"/>
                <w:sz w:val="20"/>
                <w:szCs w:val="20"/>
              </w:rPr>
              <w:t>Net radiation partitioned into heat fluxes</w:t>
            </w:r>
          </w:p>
        </w:tc>
      </w:tr>
      <w:tr w:rsidR="00DC11F9" w14:paraId="012DED92" w14:textId="77777777">
        <w:tc>
          <w:tcPr>
            <w:tcW w:w="2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E6B2385" w14:textId="77777777" w:rsidR="00DC11F9" w:rsidRDefault="003E4B29">
            <w:pPr>
              <w:jc w:val="center"/>
            </w:pPr>
            <w:r>
              <w:rPr>
                <w:color w:val="212121"/>
                <w:sz w:val="20"/>
                <w:szCs w:val="20"/>
              </w:rPr>
              <w:t>Salt Transport</w:t>
            </w:r>
          </w:p>
        </w:tc>
        <w:tc>
          <w:tcPr>
            <w:tcW w:w="3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F3E8B4C" w14:textId="77777777" w:rsidR="00DC11F9" w:rsidRDefault="003E4B29">
            <w:pPr>
              <w:jc w:val="center"/>
            </w:pPr>
            <w:r>
              <w:rPr>
                <w:color w:val="212121"/>
                <w:sz w:val="20"/>
                <w:szCs w:val="20"/>
              </w:rPr>
              <w:t>∂(θ·C)/∂t = ∂/∂z[θ·D·∂C/∂z − q·C] − S_root·C</w:t>
            </w:r>
          </w:p>
        </w:tc>
        <w:tc>
          <w:tcPr>
            <w:tcW w:w="3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D729E41" w14:textId="77777777" w:rsidR="00DC11F9" w:rsidRDefault="003E4B29">
            <w:pPr>
              <w:jc w:val="center"/>
            </w:pPr>
            <w:r>
              <w:rPr>
                <w:color w:val="212121"/>
                <w:sz w:val="20"/>
                <w:szCs w:val="20"/>
              </w:rPr>
              <w:t>Convection-dispersion equation for salinity buildup</w:t>
            </w:r>
          </w:p>
        </w:tc>
      </w:tr>
      <w:tr w:rsidR="00DC11F9" w14:paraId="64DF5863" w14:textId="77777777">
        <w:tc>
          <w:tcPr>
            <w:tcW w:w="2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9FFB83A" w14:textId="77777777" w:rsidR="00DC11F9" w:rsidRDefault="003E4B29">
            <w:pPr>
              <w:jc w:val="center"/>
            </w:pPr>
            <w:r>
              <w:rPr>
                <w:color w:val="212121"/>
                <w:sz w:val="20"/>
                <w:szCs w:val="20"/>
              </w:rPr>
              <w:t>Thermal Diffusion</w:t>
            </w:r>
          </w:p>
        </w:tc>
        <w:tc>
          <w:tcPr>
            <w:tcW w:w="3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24B8022" w14:textId="77777777" w:rsidR="00DC11F9" w:rsidRDefault="003E4B29">
            <w:pPr>
              <w:jc w:val="center"/>
            </w:pPr>
            <w:r>
              <w:rPr>
                <w:color w:val="212121"/>
                <w:sz w:val="20"/>
                <w:szCs w:val="20"/>
              </w:rPr>
              <w:t>ρ_soil·c_p·∂T/∂t = ∂/∂z[λ_soil·∂T/∂z] − H_latent</w:t>
            </w:r>
          </w:p>
        </w:tc>
        <w:tc>
          <w:tcPr>
            <w:tcW w:w="3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57F6F57" w14:textId="77777777" w:rsidR="00DC11F9" w:rsidRDefault="003E4B29">
            <w:pPr>
              <w:jc w:val="center"/>
            </w:pPr>
            <w:r>
              <w:rPr>
                <w:color w:val="212121"/>
                <w:sz w:val="20"/>
                <w:szCs w:val="20"/>
              </w:rPr>
              <w:t>Soil temperature dynamics with latent heat coupling</w:t>
            </w:r>
          </w:p>
        </w:tc>
      </w:tr>
    </w:tbl>
    <w:p w14:paraId="674EAA80" w14:textId="77777777" w:rsidR="00DC11F9" w:rsidRDefault="00DC11F9">
      <w:pPr>
        <w:spacing w:before="60" w:after="60"/>
      </w:pPr>
    </w:p>
    <w:p w14:paraId="4FEFD6DA" w14:textId="77777777" w:rsidR="00DC11F9" w:rsidRDefault="003E4B29">
      <w:pPr>
        <w:spacing w:before="100" w:after="180" w:line="300" w:lineRule="auto"/>
        <w:jc w:val="both"/>
      </w:pPr>
      <w:r>
        <w:rPr>
          <w:color w:val="212121"/>
        </w:rPr>
        <w:t>The coupled system is solved using a sequential operator-splitting approach, advancing the Richards equation for one time step, then using the resulting soil moisture field to solve the salt transport equation, then updating the thermal field using the new soil moisture content (which controls thermal conductivity and heat capacity). This splitting approach introduces a minor operator-splitting error of order O(Δt), which has been verified through comparison with a monolithic fully-coupled solver to introduce errors below 0.3% for the time step Δt = 1 hour used in the standard PALMA simulations.</w:t>
      </w:r>
    </w:p>
    <w:p w14:paraId="3F1247AE" w14:textId="77777777" w:rsidR="00DC11F9" w:rsidRDefault="003E4B29">
      <w:pPr>
        <w:pStyle w:val="Titre2"/>
      </w:pPr>
      <w:r>
        <w:t>4.3  Remote Sensing — Multi-Platform Integration</w:t>
      </w:r>
    </w:p>
    <w:p w14:paraId="3B54B9EC" w14:textId="77777777" w:rsidR="00DC11F9" w:rsidRDefault="003E4B29">
      <w:pPr>
        <w:spacing w:before="120" w:after="100" w:line="300" w:lineRule="auto"/>
        <w:jc w:val="both"/>
      </w:pPr>
      <w:r>
        <w:rPr>
          <w:color w:val="212121"/>
        </w:rPr>
        <w:t>The PALMA remote sensing framework integrates six complementary platforms, each contributing unique observational capabilities that collectively enable comprehensive oasis ecosystem monitoring at the required spatial and temporal resolutions.</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1800"/>
        <w:gridCol w:w="1400"/>
        <w:gridCol w:w="1400"/>
        <w:gridCol w:w="2800"/>
      </w:tblGrid>
      <w:tr w:rsidR="00DC11F9" w14:paraId="4C6B5560" w14:textId="77777777">
        <w:trPr>
          <w:tblHeader/>
        </w:trPr>
        <w:tc>
          <w:tcPr>
            <w:tcW w:w="18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3C6D7929" w14:textId="77777777" w:rsidR="00DC11F9" w:rsidRDefault="003E4B29">
            <w:pPr>
              <w:jc w:val="center"/>
            </w:pPr>
            <w:r>
              <w:rPr>
                <w:b/>
                <w:bCs/>
                <w:color w:val="FFFFFF"/>
                <w:sz w:val="20"/>
                <w:szCs w:val="20"/>
              </w:rPr>
              <w:t>Platform</w:t>
            </w:r>
          </w:p>
        </w:tc>
        <w:tc>
          <w:tcPr>
            <w:tcW w:w="18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4ECDFF59" w14:textId="77777777" w:rsidR="00DC11F9" w:rsidRDefault="003E4B29">
            <w:pPr>
              <w:jc w:val="center"/>
            </w:pPr>
            <w:r>
              <w:rPr>
                <w:b/>
                <w:bCs/>
                <w:color w:val="FFFFFF"/>
                <w:sz w:val="20"/>
                <w:szCs w:val="20"/>
              </w:rPr>
              <w:t>Spectral Bands</w:t>
            </w:r>
          </w:p>
        </w:tc>
        <w:tc>
          <w:tcPr>
            <w:tcW w:w="1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4FC9D0EC" w14:textId="77777777" w:rsidR="00DC11F9" w:rsidRDefault="003E4B29">
            <w:pPr>
              <w:jc w:val="center"/>
            </w:pPr>
            <w:r>
              <w:rPr>
                <w:b/>
                <w:bCs/>
                <w:color w:val="FFFFFF"/>
                <w:sz w:val="20"/>
                <w:szCs w:val="20"/>
              </w:rPr>
              <w:t>Spatial Res.</w:t>
            </w:r>
          </w:p>
        </w:tc>
        <w:tc>
          <w:tcPr>
            <w:tcW w:w="1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0C60D48A" w14:textId="77777777" w:rsidR="00DC11F9" w:rsidRDefault="003E4B29">
            <w:pPr>
              <w:jc w:val="center"/>
            </w:pPr>
            <w:r>
              <w:rPr>
                <w:b/>
                <w:bCs/>
                <w:color w:val="FFFFFF"/>
                <w:sz w:val="20"/>
                <w:szCs w:val="20"/>
              </w:rPr>
              <w:t>Temporal Res.</w:t>
            </w:r>
          </w:p>
        </w:tc>
        <w:tc>
          <w:tcPr>
            <w:tcW w:w="28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79C66DB3" w14:textId="77777777" w:rsidR="00DC11F9" w:rsidRDefault="003E4B29">
            <w:pPr>
              <w:jc w:val="center"/>
            </w:pPr>
            <w:r>
              <w:rPr>
                <w:b/>
                <w:bCs/>
                <w:color w:val="FFFFFF"/>
                <w:sz w:val="20"/>
                <w:szCs w:val="20"/>
              </w:rPr>
              <w:t>PALMA Use</w:t>
            </w:r>
          </w:p>
        </w:tc>
      </w:tr>
      <w:tr w:rsidR="00DC11F9" w14:paraId="052E9AE7" w14:textId="77777777">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CB72C8D" w14:textId="77777777" w:rsidR="00DC11F9" w:rsidRDefault="003E4B29">
            <w:pPr>
              <w:jc w:val="center"/>
            </w:pPr>
            <w:r>
              <w:rPr>
                <w:color w:val="212121"/>
                <w:sz w:val="20"/>
                <w:szCs w:val="20"/>
              </w:rPr>
              <w:t>Sentinel-2 MSI</w:t>
            </w:r>
          </w:p>
        </w:tc>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A34ED8C" w14:textId="77777777" w:rsidR="00DC11F9" w:rsidRDefault="003E4B29">
            <w:pPr>
              <w:jc w:val="center"/>
            </w:pPr>
            <w:r>
              <w:rPr>
                <w:color w:val="212121"/>
                <w:sz w:val="20"/>
                <w:szCs w:val="20"/>
              </w:rPr>
              <w:t>13 bands (443–2190nm)</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B89E2E9" w14:textId="77777777" w:rsidR="00DC11F9" w:rsidRDefault="003E4B29">
            <w:pPr>
              <w:jc w:val="center"/>
            </w:pPr>
            <w:r>
              <w:rPr>
                <w:color w:val="212121"/>
                <w:sz w:val="20"/>
                <w:szCs w:val="20"/>
              </w:rPr>
              <w:t>10–60 m</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3D2D053" w14:textId="77777777" w:rsidR="00DC11F9" w:rsidRDefault="003E4B29">
            <w:pPr>
              <w:jc w:val="center"/>
            </w:pPr>
            <w:r>
              <w:rPr>
                <w:color w:val="212121"/>
                <w:sz w:val="20"/>
                <w:szCs w:val="20"/>
              </w:rPr>
              <w:t>5 days</w:t>
            </w:r>
          </w:p>
        </w:tc>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98EC529" w14:textId="77777777" w:rsidR="00DC11F9" w:rsidRDefault="003E4B29">
            <w:pPr>
              <w:jc w:val="center"/>
            </w:pPr>
            <w:r>
              <w:rPr>
                <w:color w:val="212121"/>
                <w:sz w:val="20"/>
                <w:szCs w:val="20"/>
              </w:rPr>
              <w:t>SVRI, CMBF spatial mapping</w:t>
            </w:r>
          </w:p>
        </w:tc>
      </w:tr>
      <w:tr w:rsidR="00DC11F9" w14:paraId="21E7A89F" w14:textId="77777777">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7F93DB2" w14:textId="77777777" w:rsidR="00DC11F9" w:rsidRDefault="003E4B29">
            <w:pPr>
              <w:jc w:val="center"/>
            </w:pPr>
            <w:r>
              <w:rPr>
                <w:color w:val="212121"/>
                <w:sz w:val="20"/>
                <w:szCs w:val="20"/>
              </w:rPr>
              <w:t>MODIS Terra/Aqua</w:t>
            </w:r>
          </w:p>
        </w:tc>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FC0D531" w14:textId="77777777" w:rsidR="00DC11F9" w:rsidRDefault="003E4B29">
            <w:pPr>
              <w:jc w:val="center"/>
            </w:pPr>
            <w:r>
              <w:rPr>
                <w:color w:val="212121"/>
                <w:sz w:val="20"/>
                <w:szCs w:val="20"/>
              </w:rPr>
              <w:t>36 bands</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3BF987D" w14:textId="77777777" w:rsidR="00DC11F9" w:rsidRDefault="003E4B29">
            <w:pPr>
              <w:jc w:val="center"/>
            </w:pPr>
            <w:r>
              <w:rPr>
                <w:color w:val="212121"/>
                <w:sz w:val="20"/>
                <w:szCs w:val="20"/>
              </w:rPr>
              <w:t>250–1000 m</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849A529" w14:textId="77777777" w:rsidR="00DC11F9" w:rsidRDefault="003E4B29">
            <w:pPr>
              <w:jc w:val="center"/>
            </w:pPr>
            <w:r>
              <w:rPr>
                <w:color w:val="212121"/>
                <w:sz w:val="20"/>
                <w:szCs w:val="20"/>
              </w:rPr>
              <w:t>Daily</w:t>
            </w:r>
          </w:p>
        </w:tc>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C52071C" w14:textId="77777777" w:rsidR="00DC11F9" w:rsidRDefault="003E4B29">
            <w:pPr>
              <w:jc w:val="center"/>
            </w:pPr>
            <w:r>
              <w:rPr>
                <w:color w:val="212121"/>
                <w:sz w:val="20"/>
                <w:szCs w:val="20"/>
              </w:rPr>
              <w:t>ET, land surface temperature</w:t>
            </w:r>
          </w:p>
        </w:tc>
      </w:tr>
      <w:tr w:rsidR="00DC11F9" w14:paraId="7ABE9BD5" w14:textId="77777777">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F3CA15F" w14:textId="77777777" w:rsidR="00DC11F9" w:rsidRDefault="003E4B29">
            <w:pPr>
              <w:jc w:val="center"/>
            </w:pPr>
            <w:r>
              <w:rPr>
                <w:color w:val="212121"/>
                <w:sz w:val="20"/>
                <w:szCs w:val="20"/>
              </w:rPr>
              <w:t>Landsat 8/9 OLI</w:t>
            </w:r>
          </w:p>
        </w:tc>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4078989" w14:textId="77777777" w:rsidR="00DC11F9" w:rsidRDefault="003E4B29">
            <w:pPr>
              <w:jc w:val="center"/>
            </w:pPr>
            <w:r>
              <w:rPr>
                <w:color w:val="212121"/>
                <w:sz w:val="20"/>
                <w:szCs w:val="20"/>
              </w:rPr>
              <w:t>11 bands</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0342650" w14:textId="77777777" w:rsidR="00DC11F9" w:rsidRDefault="003E4B29">
            <w:pPr>
              <w:jc w:val="center"/>
            </w:pPr>
            <w:r>
              <w:rPr>
                <w:color w:val="212121"/>
                <w:sz w:val="20"/>
                <w:szCs w:val="20"/>
              </w:rPr>
              <w:t>30 m</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BAE80DD" w14:textId="77777777" w:rsidR="00DC11F9" w:rsidRDefault="003E4B29">
            <w:pPr>
              <w:jc w:val="center"/>
            </w:pPr>
            <w:r>
              <w:rPr>
                <w:color w:val="212121"/>
                <w:sz w:val="20"/>
                <w:szCs w:val="20"/>
              </w:rPr>
              <w:t>16 days</w:t>
            </w:r>
          </w:p>
        </w:tc>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09261CC" w14:textId="77777777" w:rsidR="00DC11F9" w:rsidRDefault="003E4B29">
            <w:pPr>
              <w:jc w:val="center"/>
            </w:pPr>
            <w:r>
              <w:rPr>
                <w:color w:val="212121"/>
                <w:sz w:val="20"/>
                <w:szCs w:val="20"/>
              </w:rPr>
              <w:t>Long-term NDVI trend (2013–2026)</w:t>
            </w:r>
          </w:p>
        </w:tc>
      </w:tr>
      <w:tr w:rsidR="00DC11F9" w14:paraId="62B3C484" w14:textId="77777777">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D6D3A94" w14:textId="77777777" w:rsidR="00DC11F9" w:rsidRDefault="003E4B29">
            <w:pPr>
              <w:jc w:val="center"/>
            </w:pPr>
            <w:r>
              <w:rPr>
                <w:color w:val="212121"/>
                <w:sz w:val="20"/>
                <w:szCs w:val="20"/>
              </w:rPr>
              <w:t>UAV RGB+NDVI</w:t>
            </w:r>
          </w:p>
        </w:tc>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26D37E0" w14:textId="77777777" w:rsidR="00DC11F9" w:rsidRDefault="003E4B29">
            <w:pPr>
              <w:jc w:val="center"/>
            </w:pPr>
            <w:r>
              <w:rPr>
                <w:color w:val="212121"/>
                <w:sz w:val="20"/>
                <w:szCs w:val="20"/>
              </w:rPr>
              <w:t>4 bands</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3056CD0" w14:textId="77777777" w:rsidR="00DC11F9" w:rsidRDefault="003E4B29">
            <w:pPr>
              <w:jc w:val="center"/>
            </w:pPr>
            <w:r>
              <w:rPr>
                <w:color w:val="212121"/>
                <w:sz w:val="20"/>
                <w:szCs w:val="20"/>
              </w:rPr>
              <w:t>3–8 cm</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22C1245" w14:textId="77777777" w:rsidR="00DC11F9" w:rsidRDefault="003E4B29">
            <w:pPr>
              <w:jc w:val="center"/>
            </w:pPr>
            <w:r>
              <w:rPr>
                <w:color w:val="212121"/>
                <w:sz w:val="20"/>
                <w:szCs w:val="20"/>
              </w:rPr>
              <w:t>On-demand</w:t>
            </w:r>
          </w:p>
        </w:tc>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FC5CF6F" w14:textId="77777777" w:rsidR="00DC11F9" w:rsidRDefault="003E4B29">
            <w:pPr>
              <w:jc w:val="center"/>
            </w:pPr>
            <w:r>
              <w:rPr>
                <w:color w:val="212121"/>
                <w:sz w:val="20"/>
                <w:szCs w:val="20"/>
              </w:rPr>
              <w:t>Palm census, canopy gap analysis</w:t>
            </w:r>
          </w:p>
        </w:tc>
      </w:tr>
      <w:tr w:rsidR="00DC11F9" w14:paraId="4C9D2F5E" w14:textId="77777777">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586EB13" w14:textId="77777777" w:rsidR="00DC11F9" w:rsidRDefault="003E4B29">
            <w:pPr>
              <w:jc w:val="center"/>
            </w:pPr>
            <w:r>
              <w:rPr>
                <w:color w:val="212121"/>
                <w:sz w:val="20"/>
                <w:szCs w:val="20"/>
              </w:rPr>
              <w:t>UAV Thermal (FLIR)</w:t>
            </w:r>
          </w:p>
        </w:tc>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3F4F9B1" w14:textId="77777777" w:rsidR="00DC11F9" w:rsidRDefault="003E4B29">
            <w:pPr>
              <w:jc w:val="center"/>
            </w:pPr>
            <w:r>
              <w:rPr>
                <w:color w:val="212121"/>
                <w:sz w:val="20"/>
                <w:szCs w:val="20"/>
              </w:rPr>
              <w:t>Thermal IR 8–14μm</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81BC136" w14:textId="77777777" w:rsidR="00DC11F9" w:rsidRDefault="003E4B29">
            <w:pPr>
              <w:jc w:val="center"/>
            </w:pPr>
            <w:r>
              <w:rPr>
                <w:color w:val="212121"/>
                <w:sz w:val="20"/>
                <w:szCs w:val="20"/>
              </w:rPr>
              <w:t>10–15 cm</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BCFFA26" w14:textId="77777777" w:rsidR="00DC11F9" w:rsidRDefault="003E4B29">
            <w:pPr>
              <w:jc w:val="center"/>
            </w:pPr>
            <w:r>
              <w:rPr>
                <w:color w:val="212121"/>
                <w:sz w:val="20"/>
                <w:szCs w:val="20"/>
              </w:rPr>
              <w:t>On-demand</w:t>
            </w:r>
          </w:p>
        </w:tc>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4BC733A" w14:textId="77777777" w:rsidR="00DC11F9" w:rsidRDefault="003E4B29">
            <w:pPr>
              <w:jc w:val="center"/>
            </w:pPr>
            <w:r>
              <w:rPr>
                <w:color w:val="212121"/>
                <w:sz w:val="20"/>
                <w:szCs w:val="20"/>
              </w:rPr>
              <w:t>PTSI, CMBF direct measurement</w:t>
            </w:r>
          </w:p>
        </w:tc>
      </w:tr>
      <w:tr w:rsidR="00DC11F9" w14:paraId="0F6C50CC" w14:textId="77777777">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52F04F0" w14:textId="77777777" w:rsidR="00DC11F9" w:rsidRDefault="003E4B29">
            <w:pPr>
              <w:jc w:val="center"/>
            </w:pPr>
            <w:r>
              <w:rPr>
                <w:color w:val="212121"/>
                <w:sz w:val="20"/>
                <w:szCs w:val="20"/>
              </w:rPr>
              <w:t>LiDAR (Riegl VUX)</w:t>
            </w:r>
          </w:p>
        </w:tc>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7DD3238" w14:textId="77777777" w:rsidR="00DC11F9" w:rsidRDefault="003E4B29">
            <w:pPr>
              <w:jc w:val="center"/>
            </w:pPr>
            <w:r>
              <w:rPr>
                <w:color w:val="212121"/>
                <w:sz w:val="20"/>
                <w:szCs w:val="20"/>
              </w:rPr>
              <w:t>1550 nm</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BDC6FAD" w14:textId="77777777" w:rsidR="00DC11F9" w:rsidRDefault="003E4B29">
            <w:pPr>
              <w:jc w:val="center"/>
            </w:pPr>
            <w:r>
              <w:rPr>
                <w:color w:val="212121"/>
                <w:sz w:val="20"/>
                <w:szCs w:val="20"/>
              </w:rPr>
              <w:t>2–5 cm</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2B517D1" w14:textId="77777777" w:rsidR="00DC11F9" w:rsidRDefault="003E4B29">
            <w:pPr>
              <w:jc w:val="center"/>
            </w:pPr>
            <w:r>
              <w:rPr>
                <w:color w:val="212121"/>
                <w:sz w:val="20"/>
                <w:szCs w:val="20"/>
              </w:rPr>
              <w:t>Annual</w:t>
            </w:r>
          </w:p>
        </w:tc>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85F69D8" w14:textId="77777777" w:rsidR="00DC11F9" w:rsidRDefault="003E4B29">
            <w:pPr>
              <w:jc w:val="center"/>
            </w:pPr>
            <w:r>
              <w:rPr>
                <w:color w:val="212121"/>
                <w:sz w:val="20"/>
                <w:szCs w:val="20"/>
              </w:rPr>
              <w:t>Canopy height model, LAI inversion</w:t>
            </w:r>
          </w:p>
        </w:tc>
      </w:tr>
    </w:tbl>
    <w:p w14:paraId="496466F8" w14:textId="77777777" w:rsidR="00DC11F9" w:rsidRDefault="00DC11F9">
      <w:pPr>
        <w:spacing w:before="60" w:after="60"/>
      </w:pPr>
    </w:p>
    <w:p w14:paraId="2BCF0F29" w14:textId="77777777" w:rsidR="00DC11F9" w:rsidRDefault="003E4B29">
      <w:pPr>
        <w:spacing w:before="100" w:after="180" w:line="300" w:lineRule="auto"/>
        <w:jc w:val="both"/>
      </w:pPr>
      <w:r>
        <w:rPr>
          <w:color w:val="212121"/>
        </w:rPr>
        <w:t>The multi-platform data fusion pipeline begins with radiometric calibration and atmospheric correction of all satellite imagery using the Sen2Cor (for Sentinel-2) and LEDAPS (for Landsat) processors. UAV imagery is processed using Structure-from-Motion photogrammetry to generate georeferenced orthomosaics and digital surface models. Thermal UAV data are corrected for emissivity, atmospheric transmittance, and background radiance using calibration targets of known temperature deployed at each flight mission. LiDAR point clouds are classified into ground, low vegetation, shrub, understory tree, and upper canopy layers using a machine learning classifier trained on 31 manually labeled point cloud samples from the study sites.</w:t>
      </w:r>
    </w:p>
    <w:p w14:paraId="41857448" w14:textId="77777777" w:rsidR="00DC11F9" w:rsidRDefault="003E4B29">
      <w:pPr>
        <w:pStyle w:val="Titre2"/>
      </w:pPr>
      <w:r>
        <w:t>4.4  Statistical Analysis Framework</w:t>
      </w:r>
    </w:p>
    <w:p w14:paraId="37CAC693" w14:textId="77777777" w:rsidR="00DC11F9" w:rsidRDefault="003E4B29">
      <w:pPr>
        <w:spacing w:before="120" w:after="100" w:line="300" w:lineRule="auto"/>
        <w:jc w:val="both"/>
      </w:pPr>
      <w:r>
        <w:rPr>
          <w:color w:val="212121"/>
        </w:rPr>
        <w:t>The statistical analysis of the 28-year observational dataset follows a multi-level hierarchical framework designed to separate within-site temporal dynamics from between-site spatial patterns, account for the nested structure of monitoring tiers, and provide robust uncertainty estimates for all key performance metrics.</w:t>
      </w:r>
    </w:p>
    <w:p w14:paraId="7930B5C3" w14:textId="77777777" w:rsidR="00DC11F9" w:rsidRDefault="003E4B29">
      <w:pPr>
        <w:spacing w:before="100" w:after="100" w:line="300" w:lineRule="auto"/>
        <w:jc w:val="both"/>
      </w:pPr>
      <w:r>
        <w:rPr>
          <w:color w:val="212121"/>
        </w:rPr>
        <w:t>Parameter correlations are computed as Pearson correlations for normally distributed variables (verified by Shapiro-Wilk tests with α = 0.05) and Spearman rank correlations for non-normally distributed variables. The principal correlation of interest — SSSP–SVRI anti-correlation — is computed as a Spearman ρ to account for the non-linear relationship between salinity accumulation and spectral reflectance at high salinity levels. The reported ρ = −0.887 (p &lt; 0.001) is computed from 31 site-mean values, each representing the time-averaged SSSP and SVRI across the full 28-year record.</w:t>
      </w:r>
    </w:p>
    <w:p w14:paraId="5CB9FB2A" w14:textId="77777777" w:rsidR="00DC11F9" w:rsidRDefault="003E4B29">
      <w:pPr>
        <w:spacing w:before="100" w:after="180" w:line="300" w:lineRule="auto"/>
        <w:jc w:val="both"/>
      </w:pPr>
      <w:r>
        <w:rPr>
          <w:color w:val="212121"/>
        </w:rPr>
        <w:t>The OHI prediction accuracy is computed using leave-one-out cross-validation across the 31 study sites, training the model on 30 sites and validating on the held-out site at each iteration. The relative RMSE of 9.8% and overall accuracy of 93.1% are computed from the 31 held-out predictions aggregated across iterations. Monte Carlo uncertainty analysis (500 realizations) propagates sensor measurement uncertainty (±5% for piezometers, ±10% for soil EC sensors, ±2% for satellite-derived indices) through the PALMA parameter calculations to generate 95% confidence intervals on OHI values at each monitoring period.</w:t>
      </w:r>
    </w:p>
    <w:p w14:paraId="65E567BA" w14:textId="77777777" w:rsidR="00DC11F9" w:rsidRDefault="003E4B29">
      <w:r>
        <w:br w:type="page"/>
      </w:r>
    </w:p>
    <w:p w14:paraId="2CC932DF" w14:textId="77777777" w:rsidR="00DC11F9" w:rsidRDefault="003E4B29">
      <w:pPr>
        <w:pStyle w:val="Titre1"/>
        <w:pBdr>
          <w:bottom w:val="single" w:sz="4" w:space="4" w:color="2E7D32"/>
        </w:pBdr>
      </w:pPr>
      <w:r>
        <w:t>5️⃣  RESULTS</w:t>
      </w:r>
    </w:p>
    <w:p w14:paraId="3DB168DB" w14:textId="77777777" w:rsidR="00DC11F9" w:rsidRDefault="003E4B29">
      <w:pPr>
        <w:pStyle w:val="Titre2"/>
      </w:pPr>
      <w:r>
        <w:t>5.1  Validation Performance Across 31 Oasis Sites</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45A070C9"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5A107D36" w14:textId="77777777" w:rsidR="00DC11F9" w:rsidRDefault="003E4B29">
            <w:pPr>
              <w:jc w:val="center"/>
            </w:pPr>
            <w:r>
              <w:rPr>
                <w:b/>
                <w:bCs/>
                <w:color w:val="FFFFFF"/>
                <w:sz w:val="24"/>
                <w:szCs w:val="24"/>
              </w:rPr>
              <w:t>PALMA PERFORMANCE METRICS — FULL 28-YEAR VALIDATION DATASET</w:t>
            </w:r>
          </w:p>
        </w:tc>
      </w:tr>
      <w:tr w:rsidR="00DC11F9" w14:paraId="07C63729"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713A5A3" w14:textId="77777777" w:rsidR="00DC11F9" w:rsidRDefault="003E4B29">
            <w:pPr>
              <w:spacing w:before="60" w:after="60"/>
            </w:pPr>
            <w:r>
              <w:rPr>
                <w:color w:val="212121"/>
                <w:sz w:val="21"/>
                <w:szCs w:val="21"/>
              </w:rPr>
              <w:t>OHI Prediction Accuracy: 93.1%       |  Relative RMSE: 9.8%</w:t>
            </w:r>
          </w:p>
        </w:tc>
      </w:tr>
      <w:tr w:rsidR="00DC11F9" w14:paraId="34FDEF2E"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A3EC44F" w14:textId="77777777" w:rsidR="00DC11F9" w:rsidRDefault="003E4B29">
            <w:pPr>
              <w:spacing w:before="60" w:after="60"/>
            </w:pPr>
            <w:r>
              <w:rPr>
                <w:color w:val="212121"/>
                <w:sz w:val="21"/>
                <w:szCs w:val="21"/>
              </w:rPr>
              <w:t>Ecosystem Stress Detection Rate: 97.2%  |  False Alert Rate: 2.8%</w:t>
            </w:r>
          </w:p>
        </w:tc>
      </w:tr>
      <w:tr w:rsidR="00DC11F9" w14:paraId="42EB9BB3"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0CCD8172" w14:textId="77777777" w:rsidR="00DC11F9" w:rsidRDefault="003E4B29">
            <w:pPr>
              <w:spacing w:before="60" w:after="60"/>
            </w:pPr>
            <w:r>
              <w:rPr>
                <w:color w:val="212121"/>
                <w:sz w:val="21"/>
                <w:szCs w:val="21"/>
              </w:rPr>
              <w:t>Missed Critical Events: 0.9%           |  Mean Lead Time: 52 days</w:t>
            </w:r>
          </w:p>
        </w:tc>
      </w:tr>
      <w:tr w:rsidR="00DC11F9" w14:paraId="7E06DFC1"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63C0FF16" w14:textId="77777777" w:rsidR="00DC11F9" w:rsidRDefault="003E4B29">
            <w:pPr>
              <w:spacing w:before="60" w:after="60"/>
            </w:pPr>
            <w:r>
              <w:rPr>
                <w:color w:val="212121"/>
                <w:sz w:val="21"/>
                <w:szCs w:val="21"/>
              </w:rPr>
              <w:t>Maximum Lead Time (slow-onset): 118 days  |  Minimum Lead Time (acute event): 8 days</w:t>
            </w:r>
          </w:p>
        </w:tc>
      </w:tr>
      <w:tr w:rsidR="00DC11F9" w14:paraId="1B830FA8"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68C2FD7A" w14:textId="77777777" w:rsidR="00DC11F9" w:rsidRDefault="003E4B29">
            <w:pPr>
              <w:spacing w:before="60" w:after="60"/>
            </w:pPr>
            <w:r>
              <w:rPr>
                <w:color w:val="212121"/>
                <w:sz w:val="21"/>
                <w:szCs w:val="21"/>
              </w:rPr>
              <w:t>ARVC–Oasis Productivity Pearson r: +0.913</w:t>
            </w:r>
          </w:p>
        </w:tc>
      </w:tr>
      <w:tr w:rsidR="00DC11F9" w14:paraId="280D6682"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0DFC6DCF" w14:textId="77777777" w:rsidR="00DC11F9" w:rsidRDefault="003E4B29">
            <w:pPr>
              <w:spacing w:before="60" w:after="60"/>
            </w:pPr>
            <w:r>
              <w:rPr>
                <w:color w:val="212121"/>
                <w:sz w:val="21"/>
                <w:szCs w:val="21"/>
              </w:rPr>
              <w:t>SSSP–SVRI Spearman ρ: −0.887 (p &lt; 0.001)</w:t>
            </w:r>
          </w:p>
        </w:tc>
      </w:tr>
      <w:tr w:rsidR="00DC11F9" w14:paraId="2F206450"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25224792" w14:textId="77777777" w:rsidR="00DC11F9" w:rsidRDefault="003E4B29">
            <w:pPr>
              <w:spacing w:before="60" w:after="60"/>
            </w:pPr>
            <w:r>
              <w:rPr>
                <w:color w:val="212121"/>
                <w:sz w:val="21"/>
                <w:szCs w:val="21"/>
              </w:rPr>
              <w:t>CMBF–WEPR Coupling ρ: +0.741 (p &lt; 0.001)</w:t>
            </w:r>
          </w:p>
        </w:tc>
      </w:tr>
      <w:tr w:rsidR="00DC11F9" w14:paraId="25DA7885"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08B5145A" w14:textId="77777777" w:rsidR="00DC11F9" w:rsidRDefault="003E4B29">
            <w:pPr>
              <w:spacing w:before="60" w:after="60"/>
            </w:pPr>
            <w:r>
              <w:rPr>
                <w:color w:val="212121"/>
                <w:sz w:val="21"/>
                <w:szCs w:val="21"/>
              </w:rPr>
              <w:t>ARVC–WEPR Coupling ρ: +0.850 (p &lt; 0.001)</w:t>
            </w:r>
          </w:p>
        </w:tc>
      </w:tr>
    </w:tbl>
    <w:p w14:paraId="494E4628" w14:textId="77777777" w:rsidR="00DC11F9" w:rsidRDefault="00DC11F9">
      <w:pPr>
        <w:spacing w:before="60" w:after="60"/>
      </w:pPr>
    </w:p>
    <w:p w14:paraId="5AE63D14" w14:textId="77777777" w:rsidR="00DC11F9" w:rsidRDefault="003E4B29">
      <w:pPr>
        <w:spacing w:before="100" w:after="100" w:line="300" w:lineRule="auto"/>
        <w:jc w:val="both"/>
      </w:pPr>
      <w:r>
        <w:rPr>
          <w:color w:val="212121"/>
        </w:rPr>
        <w:t>Performance varied systematically across oasis typologies, reflecting the different dominant physical processes and data availability in each category. Artesian (qanat-fed) systems achieved the highest accuracy (95.2%) and longest lead times (71 days) because the multi-year groundwater residence time creates slowly evolving ARVC signals that provide abundant warning time before surface manifestation of stress. River-fed (wadi) systems showed strong performance (92.8%, 48 days) but with greater variability due to the episodic nature of wadi flood recharge events that can cause rapid ARVC fluctuations. Fog/dew-fed coastal systems (Pica and Quillagua, Chile) showed the lowest accuracy (88.7%) and shortest lead times (29 days), reflecting the higher temporal variability of fog moisture input and the absence of a deep aquifer buffer.</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200"/>
        <w:gridCol w:w="2400"/>
        <w:gridCol w:w="1200"/>
        <w:gridCol w:w="1600"/>
        <w:gridCol w:w="1800"/>
      </w:tblGrid>
      <w:tr w:rsidR="00DC11F9" w14:paraId="4ACB045F" w14:textId="77777777">
        <w:trPr>
          <w:tblHeader/>
        </w:trPr>
        <w:tc>
          <w:tcPr>
            <w:tcW w:w="22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4DC20C38" w14:textId="77777777" w:rsidR="00DC11F9" w:rsidRDefault="003E4B29">
            <w:pPr>
              <w:jc w:val="center"/>
            </w:pPr>
            <w:r>
              <w:rPr>
                <w:b/>
                <w:bCs/>
                <w:color w:val="FFFFFF"/>
                <w:sz w:val="20"/>
                <w:szCs w:val="20"/>
              </w:rPr>
              <w:t>Accuracy Category</w:t>
            </w:r>
          </w:p>
        </w:tc>
        <w:tc>
          <w:tcPr>
            <w:tcW w:w="2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285BA606" w14:textId="77777777" w:rsidR="00DC11F9" w:rsidRDefault="003E4B29">
            <w:pPr>
              <w:jc w:val="center"/>
            </w:pPr>
            <w:r>
              <w:rPr>
                <w:b/>
                <w:bCs/>
                <w:color w:val="FFFFFF"/>
                <w:sz w:val="20"/>
                <w:szCs w:val="20"/>
              </w:rPr>
              <w:t>Oasis Type</w:t>
            </w:r>
          </w:p>
        </w:tc>
        <w:tc>
          <w:tcPr>
            <w:tcW w:w="12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5EFCFA50" w14:textId="77777777" w:rsidR="00DC11F9" w:rsidRDefault="003E4B29">
            <w:pPr>
              <w:jc w:val="center"/>
            </w:pPr>
            <w:r>
              <w:rPr>
                <w:b/>
                <w:bCs/>
                <w:color w:val="FFFFFF"/>
                <w:sz w:val="20"/>
                <w:szCs w:val="20"/>
              </w:rPr>
              <w:t>Sites (n)</w:t>
            </w:r>
          </w:p>
        </w:tc>
        <w:tc>
          <w:tcPr>
            <w:tcW w:w="16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2A1BA981" w14:textId="77777777" w:rsidR="00DC11F9" w:rsidRDefault="003E4B29">
            <w:pPr>
              <w:jc w:val="center"/>
            </w:pPr>
            <w:r>
              <w:rPr>
                <w:b/>
                <w:bCs/>
                <w:color w:val="FFFFFF"/>
                <w:sz w:val="20"/>
                <w:szCs w:val="20"/>
              </w:rPr>
              <w:t>OHI Accuracy</w:t>
            </w:r>
          </w:p>
        </w:tc>
        <w:tc>
          <w:tcPr>
            <w:tcW w:w="18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0242768F" w14:textId="77777777" w:rsidR="00DC11F9" w:rsidRDefault="003E4B29">
            <w:pPr>
              <w:jc w:val="center"/>
            </w:pPr>
            <w:r>
              <w:rPr>
                <w:b/>
                <w:bCs/>
                <w:color w:val="FFFFFF"/>
                <w:sz w:val="20"/>
                <w:szCs w:val="20"/>
              </w:rPr>
              <w:t>Lead Time</w:t>
            </w:r>
          </w:p>
        </w:tc>
      </w:tr>
      <w:tr w:rsidR="00DC11F9" w14:paraId="270B5A5E" w14:textId="77777777">
        <w:tc>
          <w:tcPr>
            <w:tcW w:w="2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97381BC" w14:textId="77777777" w:rsidR="00DC11F9" w:rsidRDefault="003E4B29">
            <w:pPr>
              <w:jc w:val="center"/>
            </w:pPr>
            <w:r>
              <w:rPr>
                <w:color w:val="212121"/>
                <w:sz w:val="20"/>
                <w:szCs w:val="20"/>
              </w:rPr>
              <w:t>Artesian (qanat-fed)</w:t>
            </w:r>
          </w:p>
        </w:tc>
        <w:tc>
          <w:tcPr>
            <w:tcW w:w="2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F44F63F" w14:textId="77777777" w:rsidR="00DC11F9" w:rsidRDefault="003E4B29">
            <w:pPr>
              <w:jc w:val="center"/>
            </w:pPr>
            <w:r>
              <w:rPr>
                <w:color w:val="212121"/>
                <w:sz w:val="20"/>
                <w:szCs w:val="20"/>
              </w:rPr>
              <w:t>Tafilalet, Al-Ahsa, Dunhuang</w:t>
            </w:r>
          </w:p>
        </w:tc>
        <w:tc>
          <w:tcPr>
            <w:tcW w:w="1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3A78668" w14:textId="77777777" w:rsidR="00DC11F9" w:rsidRDefault="003E4B29">
            <w:pPr>
              <w:jc w:val="center"/>
            </w:pPr>
            <w:r>
              <w:rPr>
                <w:color w:val="212121"/>
                <w:sz w:val="20"/>
                <w:szCs w:val="20"/>
              </w:rPr>
              <w:t>8</w:t>
            </w:r>
          </w:p>
        </w:tc>
        <w:tc>
          <w:tcPr>
            <w:tcW w:w="1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CDC347A" w14:textId="77777777" w:rsidR="00DC11F9" w:rsidRDefault="003E4B29">
            <w:pPr>
              <w:jc w:val="center"/>
            </w:pPr>
            <w:r>
              <w:rPr>
                <w:color w:val="212121"/>
                <w:sz w:val="20"/>
                <w:szCs w:val="20"/>
              </w:rPr>
              <w:t>95.2%</w:t>
            </w:r>
          </w:p>
        </w:tc>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6D5E6FE" w14:textId="77777777" w:rsidR="00DC11F9" w:rsidRDefault="003E4B29">
            <w:pPr>
              <w:jc w:val="center"/>
            </w:pPr>
            <w:r>
              <w:rPr>
                <w:color w:val="212121"/>
                <w:sz w:val="20"/>
                <w:szCs w:val="20"/>
              </w:rPr>
              <w:t>71 days</w:t>
            </w:r>
          </w:p>
        </w:tc>
      </w:tr>
      <w:tr w:rsidR="00DC11F9" w14:paraId="716C55C1" w14:textId="77777777">
        <w:tc>
          <w:tcPr>
            <w:tcW w:w="2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996958C" w14:textId="77777777" w:rsidR="00DC11F9" w:rsidRDefault="003E4B29">
            <w:pPr>
              <w:jc w:val="center"/>
            </w:pPr>
            <w:r>
              <w:rPr>
                <w:color w:val="212121"/>
                <w:sz w:val="20"/>
                <w:szCs w:val="20"/>
              </w:rPr>
              <w:t>River-fed (wadi)</w:t>
            </w:r>
          </w:p>
        </w:tc>
        <w:tc>
          <w:tcPr>
            <w:tcW w:w="2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0F40E0D" w14:textId="77777777" w:rsidR="00DC11F9" w:rsidRDefault="003E4B29">
            <w:pPr>
              <w:jc w:val="center"/>
            </w:pPr>
            <w:r>
              <w:rPr>
                <w:color w:val="212121"/>
                <w:sz w:val="20"/>
                <w:szCs w:val="20"/>
              </w:rPr>
              <w:t>Draa Valley, Indus delta</w:t>
            </w:r>
          </w:p>
        </w:tc>
        <w:tc>
          <w:tcPr>
            <w:tcW w:w="1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DCBDBAB" w14:textId="77777777" w:rsidR="00DC11F9" w:rsidRDefault="003E4B29">
            <w:pPr>
              <w:jc w:val="center"/>
            </w:pPr>
            <w:r>
              <w:rPr>
                <w:color w:val="212121"/>
                <w:sz w:val="20"/>
                <w:szCs w:val="20"/>
              </w:rPr>
              <w:t>9</w:t>
            </w:r>
          </w:p>
        </w:tc>
        <w:tc>
          <w:tcPr>
            <w:tcW w:w="1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0B70BE2" w14:textId="77777777" w:rsidR="00DC11F9" w:rsidRDefault="003E4B29">
            <w:pPr>
              <w:jc w:val="center"/>
            </w:pPr>
            <w:r>
              <w:rPr>
                <w:color w:val="212121"/>
                <w:sz w:val="20"/>
                <w:szCs w:val="20"/>
              </w:rPr>
              <w:t>92.8%</w:t>
            </w:r>
          </w:p>
        </w:tc>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94FB1FF" w14:textId="77777777" w:rsidR="00DC11F9" w:rsidRDefault="003E4B29">
            <w:pPr>
              <w:jc w:val="center"/>
            </w:pPr>
            <w:r>
              <w:rPr>
                <w:color w:val="212121"/>
                <w:sz w:val="20"/>
                <w:szCs w:val="20"/>
              </w:rPr>
              <w:t>48 days</w:t>
            </w:r>
          </w:p>
        </w:tc>
      </w:tr>
      <w:tr w:rsidR="00DC11F9" w14:paraId="1504D09F" w14:textId="77777777">
        <w:tc>
          <w:tcPr>
            <w:tcW w:w="2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422D050" w14:textId="77777777" w:rsidR="00DC11F9" w:rsidRDefault="003E4B29">
            <w:pPr>
              <w:jc w:val="center"/>
            </w:pPr>
            <w:r>
              <w:rPr>
                <w:color w:val="212121"/>
                <w:sz w:val="20"/>
                <w:szCs w:val="20"/>
              </w:rPr>
              <w:t>Aquifer-dependent</w:t>
            </w:r>
          </w:p>
        </w:tc>
        <w:tc>
          <w:tcPr>
            <w:tcW w:w="2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69E6900" w14:textId="77777777" w:rsidR="00DC11F9" w:rsidRDefault="003E4B29">
            <w:pPr>
              <w:jc w:val="center"/>
            </w:pPr>
            <w:r>
              <w:rPr>
                <w:color w:val="212121"/>
                <w:sz w:val="20"/>
                <w:szCs w:val="20"/>
              </w:rPr>
              <w:t>Al-Fayum, Dakhla, Ghardaïa</w:t>
            </w:r>
          </w:p>
        </w:tc>
        <w:tc>
          <w:tcPr>
            <w:tcW w:w="1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62EF9F8" w14:textId="77777777" w:rsidR="00DC11F9" w:rsidRDefault="003E4B29">
            <w:pPr>
              <w:jc w:val="center"/>
            </w:pPr>
            <w:r>
              <w:rPr>
                <w:color w:val="212121"/>
                <w:sz w:val="20"/>
                <w:szCs w:val="20"/>
              </w:rPr>
              <w:t>7</w:t>
            </w:r>
          </w:p>
        </w:tc>
        <w:tc>
          <w:tcPr>
            <w:tcW w:w="1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338782E" w14:textId="77777777" w:rsidR="00DC11F9" w:rsidRDefault="003E4B29">
            <w:pPr>
              <w:jc w:val="center"/>
            </w:pPr>
            <w:r>
              <w:rPr>
                <w:color w:val="212121"/>
                <w:sz w:val="20"/>
                <w:szCs w:val="20"/>
              </w:rPr>
              <w:t>91.4%</w:t>
            </w:r>
          </w:p>
        </w:tc>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8677BCA" w14:textId="77777777" w:rsidR="00DC11F9" w:rsidRDefault="003E4B29">
            <w:pPr>
              <w:jc w:val="center"/>
            </w:pPr>
            <w:r>
              <w:rPr>
                <w:color w:val="212121"/>
                <w:sz w:val="20"/>
                <w:szCs w:val="20"/>
              </w:rPr>
              <w:t>39 days</w:t>
            </w:r>
          </w:p>
        </w:tc>
      </w:tr>
      <w:tr w:rsidR="00DC11F9" w14:paraId="165AD0F6" w14:textId="77777777">
        <w:tc>
          <w:tcPr>
            <w:tcW w:w="2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4C42E3D" w14:textId="77777777" w:rsidR="00DC11F9" w:rsidRDefault="003E4B29">
            <w:pPr>
              <w:jc w:val="center"/>
            </w:pPr>
            <w:r>
              <w:rPr>
                <w:color w:val="212121"/>
                <w:sz w:val="20"/>
                <w:szCs w:val="20"/>
              </w:rPr>
              <w:t>Fog/dew-fed (coastal)</w:t>
            </w:r>
          </w:p>
        </w:tc>
        <w:tc>
          <w:tcPr>
            <w:tcW w:w="2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52EC922" w14:textId="77777777" w:rsidR="00DC11F9" w:rsidRDefault="003E4B29">
            <w:pPr>
              <w:jc w:val="center"/>
            </w:pPr>
            <w:r>
              <w:rPr>
                <w:color w:val="212121"/>
                <w:sz w:val="20"/>
                <w:szCs w:val="20"/>
              </w:rPr>
              <w:t>Pica, Quillagua (Atacama)</w:t>
            </w:r>
          </w:p>
        </w:tc>
        <w:tc>
          <w:tcPr>
            <w:tcW w:w="12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EE6D148" w14:textId="77777777" w:rsidR="00DC11F9" w:rsidRDefault="003E4B29">
            <w:pPr>
              <w:jc w:val="center"/>
            </w:pPr>
            <w:r>
              <w:rPr>
                <w:color w:val="212121"/>
                <w:sz w:val="20"/>
                <w:szCs w:val="20"/>
              </w:rPr>
              <w:t>4</w:t>
            </w:r>
          </w:p>
        </w:tc>
        <w:tc>
          <w:tcPr>
            <w:tcW w:w="1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7F765E9" w14:textId="77777777" w:rsidR="00DC11F9" w:rsidRDefault="003E4B29">
            <w:pPr>
              <w:jc w:val="center"/>
            </w:pPr>
            <w:r>
              <w:rPr>
                <w:color w:val="212121"/>
                <w:sz w:val="20"/>
                <w:szCs w:val="20"/>
              </w:rPr>
              <w:t>88.7%</w:t>
            </w:r>
          </w:p>
        </w:tc>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90D82AB" w14:textId="77777777" w:rsidR="00DC11F9" w:rsidRDefault="003E4B29">
            <w:pPr>
              <w:jc w:val="center"/>
            </w:pPr>
            <w:r>
              <w:rPr>
                <w:color w:val="212121"/>
                <w:sz w:val="20"/>
                <w:szCs w:val="20"/>
              </w:rPr>
              <w:t>29 days</w:t>
            </w:r>
          </w:p>
        </w:tc>
      </w:tr>
      <w:tr w:rsidR="00DC11F9" w14:paraId="2412F71F" w14:textId="77777777">
        <w:tc>
          <w:tcPr>
            <w:tcW w:w="2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50F23FE" w14:textId="77777777" w:rsidR="00DC11F9" w:rsidRDefault="003E4B29">
            <w:pPr>
              <w:jc w:val="center"/>
            </w:pPr>
            <w:r>
              <w:rPr>
                <w:color w:val="212121"/>
                <w:sz w:val="20"/>
                <w:szCs w:val="20"/>
              </w:rPr>
              <w:t>Agricultural (irrigated)</w:t>
            </w:r>
          </w:p>
        </w:tc>
        <w:tc>
          <w:tcPr>
            <w:tcW w:w="2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0E48AB6" w14:textId="77777777" w:rsidR="00DC11F9" w:rsidRDefault="003E4B29">
            <w:pPr>
              <w:jc w:val="center"/>
            </w:pPr>
            <w:r>
              <w:rPr>
                <w:color w:val="212121"/>
                <w:sz w:val="20"/>
                <w:szCs w:val="20"/>
              </w:rPr>
              <w:t>Fergana Valley, Merv</w:t>
            </w:r>
          </w:p>
        </w:tc>
        <w:tc>
          <w:tcPr>
            <w:tcW w:w="12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AAA2DDF" w14:textId="77777777" w:rsidR="00DC11F9" w:rsidRDefault="003E4B29">
            <w:pPr>
              <w:jc w:val="center"/>
            </w:pPr>
            <w:r>
              <w:rPr>
                <w:color w:val="212121"/>
                <w:sz w:val="20"/>
                <w:szCs w:val="20"/>
              </w:rPr>
              <w:t>3</w:t>
            </w:r>
          </w:p>
        </w:tc>
        <w:tc>
          <w:tcPr>
            <w:tcW w:w="1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DAEC855" w14:textId="77777777" w:rsidR="00DC11F9" w:rsidRDefault="003E4B29">
            <w:pPr>
              <w:jc w:val="center"/>
            </w:pPr>
            <w:r>
              <w:rPr>
                <w:color w:val="212121"/>
                <w:sz w:val="20"/>
                <w:szCs w:val="20"/>
              </w:rPr>
              <w:t>93.6%</w:t>
            </w:r>
          </w:p>
        </w:tc>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5485C8A" w14:textId="77777777" w:rsidR="00DC11F9" w:rsidRDefault="003E4B29">
            <w:pPr>
              <w:jc w:val="center"/>
            </w:pPr>
            <w:r>
              <w:rPr>
                <w:color w:val="212121"/>
                <w:sz w:val="20"/>
                <w:szCs w:val="20"/>
              </w:rPr>
              <w:t>58 days</w:t>
            </w:r>
          </w:p>
        </w:tc>
      </w:tr>
    </w:tbl>
    <w:p w14:paraId="069F23B3" w14:textId="77777777" w:rsidR="00DC11F9" w:rsidRDefault="00DC11F9">
      <w:pPr>
        <w:spacing w:before="60" w:after="60"/>
      </w:pPr>
    </w:p>
    <w:p w14:paraId="22294FCA" w14:textId="77777777" w:rsidR="00DC11F9" w:rsidRDefault="003E4B29">
      <w:pPr>
        <w:pStyle w:val="Titre2"/>
      </w:pPr>
      <w:r>
        <w:t>5.2  Case Study A — Draa Valley, Morocco (2015–2024)</w:t>
      </w:r>
    </w:p>
    <w:p w14:paraId="25E6AFFB" w14:textId="77777777" w:rsidR="00DC11F9" w:rsidRDefault="003E4B29">
      <w:pPr>
        <w:spacing w:before="120" w:after="100" w:line="300" w:lineRule="auto"/>
        <w:jc w:val="both"/>
      </w:pPr>
      <w:r>
        <w:rPr>
          <w:color w:val="212121"/>
        </w:rPr>
        <w:t>The Draa Valley oasis system, extending 200 km through southern Morocco from the High Atlas piedmont to the pre-Saharan erg, encompasses approximately 37,000 hectares of traditional date palm agriculture supported by a complex multi-tier hydrological system combining snowmelt discharge from the Atlas Mountains, subsurface aquifer storage in the alluvial valley fill, and an ancient network of traditional water management infrastructure (seguias, khettaras, and communal water allocation institutions). The valley experienced a severe multi-year drought stress event from 2019–2022, triggered by three consecutive years of below-normal Atlas snowpack and compounded by increasing irrigation withdrawals. PALMA parameter tracking across 6 monitoring stations provides the most comprehensive multi-parameter record of a major oasis stress event and recovery in the dataset.</w:t>
      </w:r>
    </w:p>
    <w:p w14:paraId="1DFA017C" w14:textId="77777777" w:rsidR="00DC11F9" w:rsidRDefault="003E4B29">
      <w:pPr>
        <w:spacing w:before="100" w:after="100" w:line="300" w:lineRule="auto"/>
        <w:jc w:val="both"/>
      </w:pPr>
      <w:r>
        <w:rPr>
          <w:color w:val="212121"/>
        </w:rPr>
        <w:t>The PALMA monitoring network detected the onset of stress in early 2019, when ARVC declined below 0.80 for the first time in the monitoring record. At this point, no visible signs of canopy stress were evident in field surveys or satellite NDVI data — the date palm fronds remained healthy green, and fruit production statistics from the regional agricultural office showed no anomaly. However, ARVC analysis indicated that the aquifer was recharging at only 76% of the Darcy-predicted rate, signaling that subsurface storage was being depleted faster than it was being replenished. Simultaneously, SSSP values had risen to 0.54, reflecting three years of slightly elevated irrigation rates that had deposited additional salt loads in the root zone. The composite OHI reached 0.55 in spring 2019 — the MODERATE alert threshold — triggering the first formal PALMA warning notification to the Agence du Bassin Hydraulique du Souss-Massa and the Draa Valley Water Users Association.</w:t>
      </w:r>
    </w:p>
    <w:tbl>
      <w:tblPr>
        <w:tblW w:w="8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0"/>
        <w:gridCol w:w="900"/>
        <w:gridCol w:w="900"/>
        <w:gridCol w:w="900"/>
        <w:gridCol w:w="900"/>
        <w:gridCol w:w="900"/>
        <w:gridCol w:w="2800"/>
      </w:tblGrid>
      <w:tr w:rsidR="00DC11F9" w14:paraId="1D77CD3F" w14:textId="77777777">
        <w:trPr>
          <w:tblHeader/>
        </w:trPr>
        <w:tc>
          <w:tcPr>
            <w:tcW w:w="9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1B17A899" w14:textId="77777777" w:rsidR="00DC11F9" w:rsidRDefault="003E4B29">
            <w:pPr>
              <w:jc w:val="center"/>
            </w:pPr>
            <w:r>
              <w:rPr>
                <w:b/>
                <w:bCs/>
                <w:color w:val="FFFFFF"/>
                <w:sz w:val="20"/>
                <w:szCs w:val="20"/>
              </w:rPr>
              <w:t>Year</w:t>
            </w:r>
          </w:p>
        </w:tc>
        <w:tc>
          <w:tcPr>
            <w:tcW w:w="9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75ABB20C" w14:textId="77777777" w:rsidR="00DC11F9" w:rsidRDefault="003E4B29">
            <w:pPr>
              <w:jc w:val="center"/>
            </w:pPr>
            <w:r>
              <w:rPr>
                <w:b/>
                <w:bCs/>
                <w:color w:val="FFFFFF"/>
                <w:sz w:val="20"/>
                <w:szCs w:val="20"/>
              </w:rPr>
              <w:t>ARVC</w:t>
            </w:r>
          </w:p>
        </w:tc>
        <w:tc>
          <w:tcPr>
            <w:tcW w:w="9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56DA669A" w14:textId="77777777" w:rsidR="00DC11F9" w:rsidRDefault="003E4B29">
            <w:pPr>
              <w:jc w:val="center"/>
            </w:pPr>
            <w:r>
              <w:rPr>
                <w:b/>
                <w:bCs/>
                <w:color w:val="FFFFFF"/>
                <w:sz w:val="20"/>
                <w:szCs w:val="20"/>
              </w:rPr>
              <w:t>PTSI</w:t>
            </w:r>
          </w:p>
        </w:tc>
        <w:tc>
          <w:tcPr>
            <w:tcW w:w="9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139EFF89" w14:textId="77777777" w:rsidR="00DC11F9" w:rsidRDefault="003E4B29">
            <w:pPr>
              <w:jc w:val="center"/>
            </w:pPr>
            <w:r>
              <w:rPr>
                <w:b/>
                <w:bCs/>
                <w:color w:val="FFFFFF"/>
                <w:sz w:val="20"/>
                <w:szCs w:val="20"/>
              </w:rPr>
              <w:t>SSSP</w:t>
            </w:r>
          </w:p>
        </w:tc>
        <w:tc>
          <w:tcPr>
            <w:tcW w:w="9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55BDD939" w14:textId="77777777" w:rsidR="00DC11F9" w:rsidRDefault="003E4B29">
            <w:pPr>
              <w:jc w:val="center"/>
            </w:pPr>
            <w:r>
              <w:rPr>
                <w:b/>
                <w:bCs/>
                <w:color w:val="FFFFFF"/>
                <w:sz w:val="20"/>
                <w:szCs w:val="20"/>
              </w:rPr>
              <w:t>SVRI</w:t>
            </w:r>
          </w:p>
        </w:tc>
        <w:tc>
          <w:tcPr>
            <w:tcW w:w="9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6F435139" w14:textId="77777777" w:rsidR="00DC11F9" w:rsidRDefault="003E4B29">
            <w:pPr>
              <w:jc w:val="center"/>
            </w:pPr>
            <w:r>
              <w:rPr>
                <w:b/>
                <w:bCs/>
                <w:color w:val="FFFFFF"/>
                <w:sz w:val="20"/>
                <w:szCs w:val="20"/>
              </w:rPr>
              <w:t>OHI</w:t>
            </w:r>
          </w:p>
        </w:tc>
        <w:tc>
          <w:tcPr>
            <w:tcW w:w="28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048FD8AB" w14:textId="77777777" w:rsidR="00DC11F9" w:rsidRDefault="003E4B29">
            <w:pPr>
              <w:jc w:val="center"/>
            </w:pPr>
            <w:r>
              <w:rPr>
                <w:b/>
                <w:bCs/>
                <w:color w:val="FFFFFF"/>
                <w:sz w:val="20"/>
                <w:szCs w:val="20"/>
              </w:rPr>
              <w:t>Status</w:t>
            </w:r>
          </w:p>
        </w:tc>
      </w:tr>
      <w:tr w:rsidR="00DC11F9" w14:paraId="7157A732" w14:textId="77777777">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809BB69" w14:textId="77777777" w:rsidR="00DC11F9" w:rsidRDefault="003E4B29">
            <w:pPr>
              <w:jc w:val="center"/>
            </w:pPr>
            <w:r>
              <w:rPr>
                <w:color w:val="212121"/>
                <w:sz w:val="20"/>
                <w:szCs w:val="20"/>
              </w:rPr>
              <w:t>2015</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8677699" w14:textId="77777777" w:rsidR="00DC11F9" w:rsidRDefault="003E4B29">
            <w:pPr>
              <w:jc w:val="center"/>
            </w:pPr>
            <w:r>
              <w:rPr>
                <w:color w:val="212121"/>
                <w:sz w:val="20"/>
                <w:szCs w:val="20"/>
              </w:rPr>
              <w:t>1.02</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43DA20D" w14:textId="77777777" w:rsidR="00DC11F9" w:rsidRDefault="003E4B29">
            <w:pPr>
              <w:jc w:val="center"/>
            </w:pPr>
            <w:r>
              <w:rPr>
                <w:color w:val="212121"/>
                <w:sz w:val="20"/>
                <w:szCs w:val="20"/>
              </w:rPr>
              <w:t>0.72</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B7E97BB" w14:textId="77777777" w:rsidR="00DC11F9" w:rsidRDefault="003E4B29">
            <w:pPr>
              <w:jc w:val="center"/>
            </w:pPr>
            <w:r>
              <w:rPr>
                <w:color w:val="212121"/>
                <w:sz w:val="20"/>
                <w:szCs w:val="20"/>
              </w:rPr>
              <w:t>0.18</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28F8D98" w14:textId="77777777" w:rsidR="00DC11F9" w:rsidRDefault="003E4B29">
            <w:pPr>
              <w:jc w:val="center"/>
            </w:pPr>
            <w:r>
              <w:rPr>
                <w:color w:val="212121"/>
                <w:sz w:val="20"/>
                <w:szCs w:val="20"/>
              </w:rPr>
              <w:t>0.71</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837BD96" w14:textId="77777777" w:rsidR="00DC11F9" w:rsidRDefault="003E4B29">
            <w:pPr>
              <w:jc w:val="center"/>
            </w:pPr>
            <w:r>
              <w:rPr>
                <w:color w:val="212121"/>
                <w:sz w:val="20"/>
                <w:szCs w:val="20"/>
              </w:rPr>
              <w:t>0.21</w:t>
            </w:r>
          </w:p>
        </w:tc>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D70F443" w14:textId="77777777" w:rsidR="00DC11F9" w:rsidRDefault="003E4B29">
            <w:pPr>
              <w:jc w:val="center"/>
            </w:pPr>
            <w:r>
              <w:rPr>
                <w:color w:val="212121"/>
                <w:sz w:val="20"/>
                <w:szCs w:val="20"/>
              </w:rPr>
              <w:t>EXCELLENT</w:t>
            </w:r>
          </w:p>
        </w:tc>
      </w:tr>
      <w:tr w:rsidR="00DC11F9" w14:paraId="275F269B" w14:textId="77777777">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AB628EB" w14:textId="77777777" w:rsidR="00DC11F9" w:rsidRDefault="003E4B29">
            <w:pPr>
              <w:jc w:val="center"/>
            </w:pPr>
            <w:r>
              <w:rPr>
                <w:color w:val="212121"/>
                <w:sz w:val="20"/>
                <w:szCs w:val="20"/>
              </w:rPr>
              <w:t>2016</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94C8DAC" w14:textId="77777777" w:rsidR="00DC11F9" w:rsidRDefault="003E4B29">
            <w:pPr>
              <w:jc w:val="center"/>
            </w:pPr>
            <w:r>
              <w:rPr>
                <w:color w:val="212121"/>
                <w:sz w:val="20"/>
                <w:szCs w:val="20"/>
              </w:rPr>
              <w:t>0.98</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8E3D235" w14:textId="77777777" w:rsidR="00DC11F9" w:rsidRDefault="003E4B29">
            <w:pPr>
              <w:jc w:val="center"/>
            </w:pPr>
            <w:r>
              <w:rPr>
                <w:color w:val="212121"/>
                <w:sz w:val="20"/>
                <w:szCs w:val="20"/>
              </w:rPr>
              <w:t>0.70</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704031B" w14:textId="77777777" w:rsidR="00DC11F9" w:rsidRDefault="003E4B29">
            <w:pPr>
              <w:jc w:val="center"/>
            </w:pPr>
            <w:r>
              <w:rPr>
                <w:color w:val="212121"/>
                <w:sz w:val="20"/>
                <w:szCs w:val="20"/>
              </w:rPr>
              <w:t>0.22</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FF82A6D" w14:textId="77777777" w:rsidR="00DC11F9" w:rsidRDefault="003E4B29">
            <w:pPr>
              <w:jc w:val="center"/>
            </w:pPr>
            <w:r>
              <w:rPr>
                <w:color w:val="212121"/>
                <w:sz w:val="20"/>
                <w:szCs w:val="20"/>
              </w:rPr>
              <w:t>0.69</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E808EF6" w14:textId="77777777" w:rsidR="00DC11F9" w:rsidRDefault="003E4B29">
            <w:pPr>
              <w:jc w:val="center"/>
            </w:pPr>
            <w:r>
              <w:rPr>
                <w:color w:val="212121"/>
                <w:sz w:val="20"/>
                <w:szCs w:val="20"/>
              </w:rPr>
              <w:t>0.24</w:t>
            </w:r>
          </w:p>
        </w:tc>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4F9347B" w14:textId="77777777" w:rsidR="00DC11F9" w:rsidRDefault="003E4B29">
            <w:pPr>
              <w:jc w:val="center"/>
            </w:pPr>
            <w:r>
              <w:rPr>
                <w:color w:val="212121"/>
                <w:sz w:val="20"/>
                <w:szCs w:val="20"/>
              </w:rPr>
              <w:t>EXCELLENT</w:t>
            </w:r>
          </w:p>
        </w:tc>
      </w:tr>
      <w:tr w:rsidR="00DC11F9" w14:paraId="2E61EAAC" w14:textId="77777777">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858CC92" w14:textId="77777777" w:rsidR="00DC11F9" w:rsidRDefault="003E4B29">
            <w:pPr>
              <w:jc w:val="center"/>
            </w:pPr>
            <w:r>
              <w:rPr>
                <w:color w:val="212121"/>
                <w:sz w:val="20"/>
                <w:szCs w:val="20"/>
              </w:rPr>
              <w:t>2017</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1ACC2B9" w14:textId="77777777" w:rsidR="00DC11F9" w:rsidRDefault="003E4B29">
            <w:pPr>
              <w:jc w:val="center"/>
            </w:pPr>
            <w:r>
              <w:rPr>
                <w:color w:val="212121"/>
                <w:sz w:val="20"/>
                <w:szCs w:val="20"/>
              </w:rPr>
              <w:t>0.91</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BB70A32" w14:textId="77777777" w:rsidR="00DC11F9" w:rsidRDefault="003E4B29">
            <w:pPr>
              <w:jc w:val="center"/>
            </w:pPr>
            <w:r>
              <w:rPr>
                <w:color w:val="212121"/>
                <w:sz w:val="20"/>
                <w:szCs w:val="20"/>
              </w:rPr>
              <w:t>0.68</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80F1BF2" w14:textId="77777777" w:rsidR="00DC11F9" w:rsidRDefault="003E4B29">
            <w:pPr>
              <w:jc w:val="center"/>
            </w:pPr>
            <w:r>
              <w:rPr>
                <w:color w:val="212121"/>
                <w:sz w:val="20"/>
                <w:szCs w:val="20"/>
              </w:rPr>
              <w:t>0.31</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6AFEF74" w14:textId="77777777" w:rsidR="00DC11F9" w:rsidRDefault="003E4B29">
            <w:pPr>
              <w:jc w:val="center"/>
            </w:pPr>
            <w:r>
              <w:rPr>
                <w:color w:val="212121"/>
                <w:sz w:val="20"/>
                <w:szCs w:val="20"/>
              </w:rPr>
              <w:t>0.65</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681F521" w14:textId="77777777" w:rsidR="00DC11F9" w:rsidRDefault="003E4B29">
            <w:pPr>
              <w:jc w:val="center"/>
            </w:pPr>
            <w:r>
              <w:rPr>
                <w:color w:val="212121"/>
                <w:sz w:val="20"/>
                <w:szCs w:val="20"/>
              </w:rPr>
              <w:t>0.32</w:t>
            </w:r>
          </w:p>
        </w:tc>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2A5D17A" w14:textId="77777777" w:rsidR="00DC11F9" w:rsidRDefault="003E4B29">
            <w:pPr>
              <w:jc w:val="center"/>
            </w:pPr>
            <w:r>
              <w:rPr>
                <w:color w:val="212121"/>
                <w:sz w:val="20"/>
                <w:szCs w:val="20"/>
              </w:rPr>
              <w:t>GOOD</w:t>
            </w:r>
          </w:p>
        </w:tc>
      </w:tr>
      <w:tr w:rsidR="00DC11F9" w14:paraId="616343CB" w14:textId="77777777">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D74888C" w14:textId="77777777" w:rsidR="00DC11F9" w:rsidRDefault="003E4B29">
            <w:pPr>
              <w:jc w:val="center"/>
            </w:pPr>
            <w:r>
              <w:rPr>
                <w:color w:val="212121"/>
                <w:sz w:val="20"/>
                <w:szCs w:val="20"/>
              </w:rPr>
              <w:t>2018</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AA75F50" w14:textId="77777777" w:rsidR="00DC11F9" w:rsidRDefault="003E4B29">
            <w:pPr>
              <w:jc w:val="center"/>
            </w:pPr>
            <w:r>
              <w:rPr>
                <w:color w:val="212121"/>
                <w:sz w:val="20"/>
                <w:szCs w:val="20"/>
              </w:rPr>
              <w:t>0.84</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2007508" w14:textId="77777777" w:rsidR="00DC11F9" w:rsidRDefault="003E4B29">
            <w:pPr>
              <w:jc w:val="center"/>
            </w:pPr>
            <w:r>
              <w:rPr>
                <w:color w:val="212121"/>
                <w:sz w:val="20"/>
                <w:szCs w:val="20"/>
              </w:rPr>
              <w:t>0.64</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69655D9" w14:textId="77777777" w:rsidR="00DC11F9" w:rsidRDefault="003E4B29">
            <w:pPr>
              <w:jc w:val="center"/>
            </w:pPr>
            <w:r>
              <w:rPr>
                <w:color w:val="212121"/>
                <w:sz w:val="20"/>
                <w:szCs w:val="20"/>
              </w:rPr>
              <w:t>0.42</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0684A8A" w14:textId="77777777" w:rsidR="00DC11F9" w:rsidRDefault="003E4B29">
            <w:pPr>
              <w:jc w:val="center"/>
            </w:pPr>
            <w:r>
              <w:rPr>
                <w:color w:val="212121"/>
                <w:sz w:val="20"/>
                <w:szCs w:val="20"/>
              </w:rPr>
              <w:t>0.60</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C005F69" w14:textId="77777777" w:rsidR="00DC11F9" w:rsidRDefault="003E4B29">
            <w:pPr>
              <w:jc w:val="center"/>
            </w:pPr>
            <w:r>
              <w:rPr>
                <w:color w:val="212121"/>
                <w:sz w:val="20"/>
                <w:szCs w:val="20"/>
              </w:rPr>
              <w:t>0.44</w:t>
            </w:r>
          </w:p>
        </w:tc>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558F95E" w14:textId="77777777" w:rsidR="00DC11F9" w:rsidRDefault="003E4B29">
            <w:pPr>
              <w:jc w:val="center"/>
            </w:pPr>
            <w:r>
              <w:rPr>
                <w:color w:val="212121"/>
                <w:sz w:val="20"/>
                <w:szCs w:val="20"/>
              </w:rPr>
              <w:t>GOOD</w:t>
            </w:r>
          </w:p>
        </w:tc>
      </w:tr>
      <w:tr w:rsidR="00DC11F9" w14:paraId="0F3C80FE" w14:textId="77777777">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82CA8E0" w14:textId="77777777" w:rsidR="00DC11F9" w:rsidRDefault="003E4B29">
            <w:pPr>
              <w:jc w:val="center"/>
            </w:pPr>
            <w:r>
              <w:rPr>
                <w:color w:val="212121"/>
                <w:sz w:val="20"/>
                <w:szCs w:val="20"/>
              </w:rPr>
              <w:t>2019</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45762F5" w14:textId="77777777" w:rsidR="00DC11F9" w:rsidRDefault="003E4B29">
            <w:pPr>
              <w:jc w:val="center"/>
            </w:pPr>
            <w:r>
              <w:rPr>
                <w:color w:val="212121"/>
                <w:sz w:val="20"/>
                <w:szCs w:val="20"/>
              </w:rPr>
              <w:t>0.76</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77C12B7" w14:textId="77777777" w:rsidR="00DC11F9" w:rsidRDefault="003E4B29">
            <w:pPr>
              <w:jc w:val="center"/>
            </w:pPr>
            <w:r>
              <w:rPr>
                <w:color w:val="212121"/>
                <w:sz w:val="20"/>
                <w:szCs w:val="20"/>
              </w:rPr>
              <w:t>0.58</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DE6DBC8" w14:textId="77777777" w:rsidR="00DC11F9" w:rsidRDefault="003E4B29">
            <w:pPr>
              <w:jc w:val="center"/>
            </w:pPr>
            <w:r>
              <w:rPr>
                <w:color w:val="212121"/>
                <w:sz w:val="20"/>
                <w:szCs w:val="20"/>
              </w:rPr>
              <w:t>0.54</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C8A77AD" w14:textId="77777777" w:rsidR="00DC11F9" w:rsidRDefault="003E4B29">
            <w:pPr>
              <w:jc w:val="center"/>
            </w:pPr>
            <w:r>
              <w:rPr>
                <w:color w:val="212121"/>
                <w:sz w:val="20"/>
                <w:szCs w:val="20"/>
              </w:rPr>
              <w:t>0.52</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71DF09B" w14:textId="77777777" w:rsidR="00DC11F9" w:rsidRDefault="003E4B29">
            <w:pPr>
              <w:jc w:val="center"/>
            </w:pPr>
            <w:r>
              <w:rPr>
                <w:color w:val="212121"/>
                <w:sz w:val="20"/>
                <w:szCs w:val="20"/>
              </w:rPr>
              <w:t>0.55</w:t>
            </w:r>
          </w:p>
        </w:tc>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2A42C19" w14:textId="77777777" w:rsidR="00DC11F9" w:rsidRDefault="003E4B29">
            <w:pPr>
              <w:jc w:val="center"/>
            </w:pPr>
            <w:r>
              <w:rPr>
                <w:color w:val="212121"/>
                <w:sz w:val="20"/>
                <w:szCs w:val="20"/>
              </w:rPr>
              <w:t>MODERATE ◄ ALERT</w:t>
            </w:r>
          </w:p>
        </w:tc>
      </w:tr>
      <w:tr w:rsidR="00DC11F9" w14:paraId="2A50C6A0" w14:textId="77777777">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F2D55CF" w14:textId="77777777" w:rsidR="00DC11F9" w:rsidRDefault="003E4B29">
            <w:pPr>
              <w:jc w:val="center"/>
            </w:pPr>
            <w:r>
              <w:rPr>
                <w:color w:val="212121"/>
                <w:sz w:val="20"/>
                <w:szCs w:val="20"/>
              </w:rPr>
              <w:t>2020</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941AF42" w14:textId="77777777" w:rsidR="00DC11F9" w:rsidRDefault="003E4B29">
            <w:pPr>
              <w:jc w:val="center"/>
            </w:pPr>
            <w:r>
              <w:rPr>
                <w:color w:val="212121"/>
                <w:sz w:val="20"/>
                <w:szCs w:val="20"/>
              </w:rPr>
              <w:t>0.68</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7ED2E46" w14:textId="77777777" w:rsidR="00DC11F9" w:rsidRDefault="003E4B29">
            <w:pPr>
              <w:jc w:val="center"/>
            </w:pPr>
            <w:r>
              <w:rPr>
                <w:color w:val="212121"/>
                <w:sz w:val="20"/>
                <w:szCs w:val="20"/>
              </w:rPr>
              <w:t>0.51</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1150F38" w14:textId="77777777" w:rsidR="00DC11F9" w:rsidRDefault="003E4B29">
            <w:pPr>
              <w:jc w:val="center"/>
            </w:pPr>
            <w:r>
              <w:rPr>
                <w:color w:val="212121"/>
                <w:sz w:val="20"/>
                <w:szCs w:val="20"/>
              </w:rPr>
              <w:t>0.66</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FF59E60" w14:textId="77777777" w:rsidR="00DC11F9" w:rsidRDefault="003E4B29">
            <w:pPr>
              <w:jc w:val="center"/>
            </w:pPr>
            <w:r>
              <w:rPr>
                <w:color w:val="212121"/>
                <w:sz w:val="20"/>
                <w:szCs w:val="20"/>
              </w:rPr>
              <w:t>0.44</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CC9AA34" w14:textId="77777777" w:rsidR="00DC11F9" w:rsidRDefault="003E4B29">
            <w:pPr>
              <w:jc w:val="center"/>
            </w:pPr>
            <w:r>
              <w:rPr>
                <w:color w:val="212121"/>
                <w:sz w:val="20"/>
                <w:szCs w:val="20"/>
              </w:rPr>
              <w:t>0.64</w:t>
            </w:r>
          </w:p>
        </w:tc>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F938B39" w14:textId="77777777" w:rsidR="00DC11F9" w:rsidRDefault="003E4B29">
            <w:pPr>
              <w:jc w:val="center"/>
            </w:pPr>
            <w:r>
              <w:rPr>
                <w:color w:val="212121"/>
                <w:sz w:val="20"/>
                <w:szCs w:val="20"/>
              </w:rPr>
              <w:t>CRITICAL ◄</w:t>
            </w:r>
          </w:p>
        </w:tc>
      </w:tr>
      <w:tr w:rsidR="00DC11F9" w14:paraId="581FA276" w14:textId="77777777">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7E0B573" w14:textId="77777777" w:rsidR="00DC11F9" w:rsidRDefault="003E4B29">
            <w:pPr>
              <w:jc w:val="center"/>
            </w:pPr>
            <w:r>
              <w:rPr>
                <w:color w:val="212121"/>
                <w:sz w:val="20"/>
                <w:szCs w:val="20"/>
              </w:rPr>
              <w:t>2021</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29DE801" w14:textId="77777777" w:rsidR="00DC11F9" w:rsidRDefault="003E4B29">
            <w:pPr>
              <w:jc w:val="center"/>
            </w:pPr>
            <w:r>
              <w:rPr>
                <w:color w:val="212121"/>
                <w:sz w:val="20"/>
                <w:szCs w:val="20"/>
              </w:rPr>
              <w:t>0.61</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EDA1F23" w14:textId="77777777" w:rsidR="00DC11F9" w:rsidRDefault="003E4B29">
            <w:pPr>
              <w:jc w:val="center"/>
            </w:pPr>
            <w:r>
              <w:rPr>
                <w:color w:val="212121"/>
                <w:sz w:val="20"/>
                <w:szCs w:val="20"/>
              </w:rPr>
              <w:t>0.44</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0E98B70" w14:textId="77777777" w:rsidR="00DC11F9" w:rsidRDefault="003E4B29">
            <w:pPr>
              <w:jc w:val="center"/>
            </w:pPr>
            <w:r>
              <w:rPr>
                <w:color w:val="212121"/>
                <w:sz w:val="20"/>
                <w:szCs w:val="20"/>
              </w:rPr>
              <w:t>0.74</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A970C8B" w14:textId="77777777" w:rsidR="00DC11F9" w:rsidRDefault="003E4B29">
            <w:pPr>
              <w:jc w:val="center"/>
            </w:pPr>
            <w:r>
              <w:rPr>
                <w:color w:val="212121"/>
                <w:sz w:val="20"/>
                <w:szCs w:val="20"/>
              </w:rPr>
              <w:t>0.37</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FC92DED" w14:textId="77777777" w:rsidR="00DC11F9" w:rsidRDefault="003E4B29">
            <w:pPr>
              <w:jc w:val="center"/>
            </w:pPr>
            <w:r>
              <w:rPr>
                <w:color w:val="212121"/>
                <w:sz w:val="20"/>
                <w:szCs w:val="20"/>
              </w:rPr>
              <w:t>0.73</w:t>
            </w:r>
          </w:p>
        </w:tc>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3F3B97C" w14:textId="77777777" w:rsidR="00DC11F9" w:rsidRDefault="003E4B29">
            <w:pPr>
              <w:jc w:val="center"/>
            </w:pPr>
            <w:r>
              <w:rPr>
                <w:color w:val="212121"/>
                <w:sz w:val="20"/>
                <w:szCs w:val="20"/>
              </w:rPr>
              <w:t>CRITICAL</w:t>
            </w:r>
          </w:p>
        </w:tc>
      </w:tr>
      <w:tr w:rsidR="00DC11F9" w14:paraId="343E5007" w14:textId="77777777">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0A86F98" w14:textId="77777777" w:rsidR="00DC11F9" w:rsidRDefault="003E4B29">
            <w:pPr>
              <w:jc w:val="center"/>
            </w:pPr>
            <w:r>
              <w:rPr>
                <w:color w:val="212121"/>
                <w:sz w:val="20"/>
                <w:szCs w:val="20"/>
              </w:rPr>
              <w:t>2022</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8CDF52E" w14:textId="77777777" w:rsidR="00DC11F9" w:rsidRDefault="003E4B29">
            <w:pPr>
              <w:jc w:val="center"/>
            </w:pPr>
            <w:r>
              <w:rPr>
                <w:color w:val="212121"/>
                <w:sz w:val="20"/>
                <w:szCs w:val="20"/>
              </w:rPr>
              <w:t>0.72</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043D32E" w14:textId="77777777" w:rsidR="00DC11F9" w:rsidRDefault="003E4B29">
            <w:pPr>
              <w:jc w:val="center"/>
            </w:pPr>
            <w:r>
              <w:rPr>
                <w:color w:val="212121"/>
                <w:sz w:val="20"/>
                <w:szCs w:val="20"/>
              </w:rPr>
              <w:t>0.49</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5097404" w14:textId="77777777" w:rsidR="00DC11F9" w:rsidRDefault="003E4B29">
            <w:pPr>
              <w:jc w:val="center"/>
            </w:pPr>
            <w:r>
              <w:rPr>
                <w:color w:val="212121"/>
                <w:sz w:val="20"/>
                <w:szCs w:val="20"/>
              </w:rPr>
              <w:t>0.68</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6B46AEF" w14:textId="77777777" w:rsidR="00DC11F9" w:rsidRDefault="003E4B29">
            <w:pPr>
              <w:jc w:val="center"/>
            </w:pPr>
            <w:r>
              <w:rPr>
                <w:color w:val="212121"/>
                <w:sz w:val="20"/>
                <w:szCs w:val="20"/>
              </w:rPr>
              <w:t>0.43</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277367A" w14:textId="77777777" w:rsidR="00DC11F9" w:rsidRDefault="003E4B29">
            <w:pPr>
              <w:jc w:val="center"/>
            </w:pPr>
            <w:r>
              <w:rPr>
                <w:color w:val="212121"/>
                <w:sz w:val="20"/>
                <w:szCs w:val="20"/>
              </w:rPr>
              <w:t>0.65</w:t>
            </w:r>
          </w:p>
        </w:tc>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271D67E" w14:textId="77777777" w:rsidR="00DC11F9" w:rsidRDefault="003E4B29">
            <w:pPr>
              <w:jc w:val="center"/>
            </w:pPr>
            <w:r>
              <w:rPr>
                <w:color w:val="212121"/>
                <w:sz w:val="20"/>
                <w:szCs w:val="20"/>
              </w:rPr>
              <w:t>CRITICAL (recovering)</w:t>
            </w:r>
          </w:p>
        </w:tc>
      </w:tr>
      <w:tr w:rsidR="00DC11F9" w14:paraId="79208670" w14:textId="77777777">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590F57B" w14:textId="77777777" w:rsidR="00DC11F9" w:rsidRDefault="003E4B29">
            <w:pPr>
              <w:jc w:val="center"/>
            </w:pPr>
            <w:r>
              <w:rPr>
                <w:color w:val="212121"/>
                <w:sz w:val="20"/>
                <w:szCs w:val="20"/>
              </w:rPr>
              <w:t>2023</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52660D4" w14:textId="77777777" w:rsidR="00DC11F9" w:rsidRDefault="003E4B29">
            <w:pPr>
              <w:jc w:val="center"/>
            </w:pPr>
            <w:r>
              <w:rPr>
                <w:color w:val="212121"/>
                <w:sz w:val="20"/>
                <w:szCs w:val="20"/>
              </w:rPr>
              <w:t>0.84</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C5D6322" w14:textId="77777777" w:rsidR="00DC11F9" w:rsidRDefault="003E4B29">
            <w:pPr>
              <w:jc w:val="center"/>
            </w:pPr>
            <w:r>
              <w:rPr>
                <w:color w:val="212121"/>
                <w:sz w:val="20"/>
                <w:szCs w:val="20"/>
              </w:rPr>
              <w:t>0.58</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5B0D915" w14:textId="77777777" w:rsidR="00DC11F9" w:rsidRDefault="003E4B29">
            <w:pPr>
              <w:jc w:val="center"/>
            </w:pPr>
            <w:r>
              <w:rPr>
                <w:color w:val="212121"/>
                <w:sz w:val="20"/>
                <w:szCs w:val="20"/>
              </w:rPr>
              <w:t>0.54</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C84CA47" w14:textId="77777777" w:rsidR="00DC11F9" w:rsidRDefault="003E4B29">
            <w:pPr>
              <w:jc w:val="center"/>
            </w:pPr>
            <w:r>
              <w:rPr>
                <w:color w:val="212121"/>
                <w:sz w:val="20"/>
                <w:szCs w:val="20"/>
              </w:rPr>
              <w:t>0.52</w:t>
            </w:r>
          </w:p>
        </w:tc>
        <w:tc>
          <w:tcPr>
            <w:tcW w:w="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D50E2DA" w14:textId="77777777" w:rsidR="00DC11F9" w:rsidRDefault="003E4B29">
            <w:pPr>
              <w:jc w:val="center"/>
            </w:pPr>
            <w:r>
              <w:rPr>
                <w:color w:val="212121"/>
                <w:sz w:val="20"/>
                <w:szCs w:val="20"/>
              </w:rPr>
              <w:t>0.51</w:t>
            </w:r>
          </w:p>
        </w:tc>
        <w:tc>
          <w:tcPr>
            <w:tcW w:w="2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31BB5F7" w14:textId="77777777" w:rsidR="00DC11F9" w:rsidRDefault="003E4B29">
            <w:pPr>
              <w:jc w:val="center"/>
            </w:pPr>
            <w:r>
              <w:rPr>
                <w:color w:val="212121"/>
                <w:sz w:val="20"/>
                <w:szCs w:val="20"/>
              </w:rPr>
              <w:t>MODERATE</w:t>
            </w:r>
          </w:p>
        </w:tc>
      </w:tr>
      <w:tr w:rsidR="00DC11F9" w14:paraId="1A49BD9F" w14:textId="77777777">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FD2825A" w14:textId="77777777" w:rsidR="00DC11F9" w:rsidRDefault="003E4B29">
            <w:pPr>
              <w:jc w:val="center"/>
            </w:pPr>
            <w:r>
              <w:rPr>
                <w:color w:val="212121"/>
                <w:sz w:val="20"/>
                <w:szCs w:val="20"/>
              </w:rPr>
              <w:t>2024</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9DFA6B6" w14:textId="77777777" w:rsidR="00DC11F9" w:rsidRDefault="003E4B29">
            <w:pPr>
              <w:jc w:val="center"/>
            </w:pPr>
            <w:r>
              <w:rPr>
                <w:color w:val="212121"/>
                <w:sz w:val="20"/>
                <w:szCs w:val="20"/>
              </w:rPr>
              <w:t>0.94</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40B833D" w14:textId="77777777" w:rsidR="00DC11F9" w:rsidRDefault="003E4B29">
            <w:pPr>
              <w:jc w:val="center"/>
            </w:pPr>
            <w:r>
              <w:rPr>
                <w:color w:val="212121"/>
                <w:sz w:val="20"/>
                <w:szCs w:val="20"/>
              </w:rPr>
              <w:t>0.66</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8B67D06" w14:textId="77777777" w:rsidR="00DC11F9" w:rsidRDefault="003E4B29">
            <w:pPr>
              <w:jc w:val="center"/>
            </w:pPr>
            <w:r>
              <w:rPr>
                <w:color w:val="212121"/>
                <w:sz w:val="20"/>
                <w:szCs w:val="20"/>
              </w:rPr>
              <w:t>0.41</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BE71C0F" w14:textId="77777777" w:rsidR="00DC11F9" w:rsidRDefault="003E4B29">
            <w:pPr>
              <w:jc w:val="center"/>
            </w:pPr>
            <w:r>
              <w:rPr>
                <w:color w:val="212121"/>
                <w:sz w:val="20"/>
                <w:szCs w:val="20"/>
              </w:rPr>
              <w:t>0.61</w:t>
            </w:r>
          </w:p>
        </w:tc>
        <w:tc>
          <w:tcPr>
            <w:tcW w:w="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C2C2CDC" w14:textId="77777777" w:rsidR="00DC11F9" w:rsidRDefault="003E4B29">
            <w:pPr>
              <w:jc w:val="center"/>
            </w:pPr>
            <w:r>
              <w:rPr>
                <w:color w:val="212121"/>
                <w:sz w:val="20"/>
                <w:szCs w:val="20"/>
              </w:rPr>
              <w:t>0.34</w:t>
            </w:r>
          </w:p>
        </w:tc>
        <w:tc>
          <w:tcPr>
            <w:tcW w:w="2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5C1E3B8" w14:textId="77777777" w:rsidR="00DC11F9" w:rsidRDefault="003E4B29">
            <w:pPr>
              <w:jc w:val="center"/>
            </w:pPr>
            <w:r>
              <w:rPr>
                <w:color w:val="212121"/>
                <w:sz w:val="20"/>
                <w:szCs w:val="20"/>
              </w:rPr>
              <w:t>GOOD</w:t>
            </w:r>
          </w:p>
        </w:tc>
      </w:tr>
    </w:tbl>
    <w:p w14:paraId="19FC43F2" w14:textId="77777777" w:rsidR="00DC11F9" w:rsidRDefault="00DC11F9">
      <w:pPr>
        <w:spacing w:before="60" w:after="60"/>
      </w:pPr>
    </w:p>
    <w:p w14:paraId="7DC763D1" w14:textId="77777777" w:rsidR="00DC11F9" w:rsidRDefault="003E4B29">
      <w:pPr>
        <w:spacing w:before="100" w:after="180" w:line="300" w:lineRule="auto"/>
        <w:jc w:val="both"/>
      </w:pPr>
      <w:r>
        <w:rPr>
          <w:color w:val="212121"/>
        </w:rPr>
        <w:t>The management response to the PALMA early warning — implemented 51 days before the first visible frond necrosis was observed in field surveys — consisted of a 20% reduction in water allocation across 14 traditional irrigation sectors (managed through the communal naubat rotation system), emergency leaching irrigations applied to the 8 highest-SSSP sub-sectors, and reinforcement of qanat maintenance works to reduce conveyance losses. These interventions prevented the OHI from reaching the COLLAPSE threshold (&gt; 0.80) and preserved approximately 84% of the oasis area from irreversible degradation. Retrospective analysis suggests that without the PALMA early warning, the typical response triggered by first visible canopy symptoms would have arrived 51 days later — at which point SSSP had reached 0.66 (HIGH stress), and the probability of crossing the irreversible EC_crit threshold within the following irrigation season would have exceeded 60%.</w:t>
      </w:r>
    </w:p>
    <w:p w14:paraId="654D3F03" w14:textId="77777777" w:rsidR="00DC11F9" w:rsidRDefault="003E4B29">
      <w:pPr>
        <w:pStyle w:val="Titre2"/>
      </w:pPr>
      <w:r>
        <w:t>5.3  Case Study B — Al-Ahsa Oasis, Saudi Arabia (UNESCO World Heritage)</w:t>
      </w:r>
    </w:p>
    <w:p w14:paraId="5F773A1E" w14:textId="77777777" w:rsidR="00DC11F9" w:rsidRDefault="003E4B29">
      <w:pPr>
        <w:spacing w:before="120" w:after="100" w:line="300" w:lineRule="auto"/>
        <w:jc w:val="both"/>
      </w:pPr>
      <w:r>
        <w:rPr>
          <w:color w:val="212121"/>
        </w:rPr>
        <w:t>Al-Ahsa (Al-Hasa), designated a UNESCO World Heritage Site in 2018, represents the world's largest natural oasis, with approximately 2.5 million date palms across 85.4 km² of agricultural land. Its artesian aquifer system — the Eastern Arabian Aquifer Complex — has supported continuous human settlement for over 5,000 years. The aquifer is unique in its artesian pressure, which historically caused water to flow to the surface without pumping — a feature that attracted settlement and agriculture from Neolithic times through the Islamic Golden Age. However, accelerating urbanization, expansion of greenhouse agriculture, and industrial development in the Eastern Province have placed unprecedented pressure on the aquifer system since the 1970s.</w:t>
      </w:r>
    </w:p>
    <w:p w14:paraId="7BFD7D8B" w14:textId="77777777" w:rsidR="00DC11F9" w:rsidRDefault="003E4B29">
      <w:pPr>
        <w:spacing w:before="100" w:after="100" w:line="300" w:lineRule="auto"/>
        <w:jc w:val="both"/>
      </w:pPr>
      <w:r>
        <w:rPr>
          <w:color w:val="212121"/>
        </w:rPr>
        <w:t>PALMA monitoring across the 28-year study period reveals a clear and accelerating trend of aquifer depletion and salinization. The ARVC has declined from 1.08 in 1998 (slight supercharging from prehistoric recharge, indicating artesian conditions) to 0.79 in 2024 (approaching the MONITOR alert threshold at 0.75). This 27% decline in aquifer recharge efficiency over 26 years represents one of the most significant documented cases of artesian aquifer depletion in the PALMA dataset. The decline is primarily driven by groundwater extraction for industrial and domestic use exceeding the natural recharge rate, which is limited to approximately 12 mm/yr of effective infiltration in this hyper-arid environment.</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1400"/>
        <w:gridCol w:w="1400"/>
        <w:gridCol w:w="1400"/>
        <w:gridCol w:w="1100"/>
        <w:gridCol w:w="1500"/>
      </w:tblGrid>
      <w:tr w:rsidR="00DC11F9" w14:paraId="3DEF1084" w14:textId="77777777">
        <w:trPr>
          <w:tblHeader/>
        </w:trPr>
        <w:tc>
          <w:tcPr>
            <w:tcW w:w="2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46C625DF" w14:textId="77777777" w:rsidR="00DC11F9" w:rsidRDefault="003E4B29">
            <w:pPr>
              <w:jc w:val="center"/>
            </w:pPr>
            <w:r>
              <w:rPr>
                <w:b/>
                <w:bCs/>
                <w:color w:val="FFFFFF"/>
                <w:sz w:val="20"/>
                <w:szCs w:val="20"/>
              </w:rPr>
              <w:t>PALMA Parameter</w:t>
            </w:r>
          </w:p>
        </w:tc>
        <w:tc>
          <w:tcPr>
            <w:tcW w:w="1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3AA7B6E6" w14:textId="77777777" w:rsidR="00DC11F9" w:rsidRDefault="003E4B29">
            <w:pPr>
              <w:jc w:val="center"/>
            </w:pPr>
            <w:r>
              <w:rPr>
                <w:b/>
                <w:bCs/>
                <w:color w:val="FFFFFF"/>
                <w:sz w:val="20"/>
                <w:szCs w:val="20"/>
              </w:rPr>
              <w:t>1998 Value</w:t>
            </w:r>
          </w:p>
        </w:tc>
        <w:tc>
          <w:tcPr>
            <w:tcW w:w="1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4F207C0E" w14:textId="77777777" w:rsidR="00DC11F9" w:rsidRDefault="003E4B29">
            <w:pPr>
              <w:jc w:val="center"/>
            </w:pPr>
            <w:r>
              <w:rPr>
                <w:b/>
                <w:bCs/>
                <w:color w:val="FFFFFF"/>
                <w:sz w:val="20"/>
                <w:szCs w:val="20"/>
              </w:rPr>
              <w:t>2010 Value</w:t>
            </w:r>
          </w:p>
        </w:tc>
        <w:tc>
          <w:tcPr>
            <w:tcW w:w="1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2C441182" w14:textId="77777777" w:rsidR="00DC11F9" w:rsidRDefault="003E4B29">
            <w:pPr>
              <w:jc w:val="center"/>
            </w:pPr>
            <w:r>
              <w:rPr>
                <w:b/>
                <w:bCs/>
                <w:color w:val="FFFFFF"/>
                <w:sz w:val="20"/>
                <w:szCs w:val="20"/>
              </w:rPr>
              <w:t>2024 Value</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4A607BB2" w14:textId="77777777" w:rsidR="00DC11F9" w:rsidRDefault="003E4B29">
            <w:pPr>
              <w:jc w:val="center"/>
            </w:pPr>
            <w:r>
              <w:rPr>
                <w:b/>
                <w:bCs/>
                <w:color w:val="FFFFFF"/>
                <w:sz w:val="20"/>
                <w:szCs w:val="20"/>
              </w:rPr>
              <w:t>Trend</w:t>
            </w:r>
          </w:p>
        </w:tc>
        <w:tc>
          <w:tcPr>
            <w:tcW w:w="15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727642D6" w14:textId="77777777" w:rsidR="00DC11F9" w:rsidRDefault="003E4B29">
            <w:pPr>
              <w:jc w:val="center"/>
            </w:pPr>
            <w:r>
              <w:rPr>
                <w:b/>
                <w:bCs/>
                <w:color w:val="FFFFFF"/>
                <w:sz w:val="20"/>
                <w:szCs w:val="20"/>
              </w:rPr>
              <w:t>Alert Status</w:t>
            </w:r>
          </w:p>
        </w:tc>
      </w:tr>
      <w:tr w:rsidR="00DC11F9" w14:paraId="50F80A91" w14:textId="77777777">
        <w:tc>
          <w:tcPr>
            <w:tcW w:w="2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7596CB3" w14:textId="77777777" w:rsidR="00DC11F9" w:rsidRDefault="003E4B29">
            <w:pPr>
              <w:jc w:val="center"/>
            </w:pPr>
            <w:r>
              <w:rPr>
                <w:color w:val="212121"/>
                <w:sz w:val="20"/>
                <w:szCs w:val="20"/>
              </w:rPr>
              <w:t>ARVC (Aquifer recharge)</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CABD336" w14:textId="77777777" w:rsidR="00DC11F9" w:rsidRDefault="003E4B29">
            <w:pPr>
              <w:jc w:val="center"/>
            </w:pPr>
            <w:r>
              <w:rPr>
                <w:color w:val="212121"/>
                <w:sz w:val="20"/>
                <w:szCs w:val="20"/>
              </w:rPr>
              <w:t>1.08</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6D2A3B2" w14:textId="77777777" w:rsidR="00DC11F9" w:rsidRDefault="003E4B29">
            <w:pPr>
              <w:jc w:val="center"/>
            </w:pPr>
            <w:r>
              <w:rPr>
                <w:color w:val="212121"/>
                <w:sz w:val="20"/>
                <w:szCs w:val="20"/>
              </w:rPr>
              <w:t>0.94</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9DEBEC8" w14:textId="77777777" w:rsidR="00DC11F9" w:rsidRDefault="003E4B29">
            <w:pPr>
              <w:jc w:val="center"/>
            </w:pPr>
            <w:r>
              <w:rPr>
                <w:color w:val="212121"/>
                <w:sz w:val="20"/>
                <w:szCs w:val="20"/>
              </w:rPr>
              <w:t>0.79</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149AD57" w14:textId="77777777" w:rsidR="00DC11F9" w:rsidRDefault="003E4B29">
            <w:pPr>
              <w:jc w:val="center"/>
            </w:pPr>
            <w:r>
              <w:rPr>
                <w:color w:val="212121"/>
                <w:sz w:val="20"/>
                <w:szCs w:val="20"/>
              </w:rPr>
              <w:t>↓ −27%</w:t>
            </w:r>
          </w:p>
        </w:tc>
        <w:tc>
          <w:tcPr>
            <w:tcW w:w="15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28B9C4D" w14:textId="77777777" w:rsidR="00DC11F9" w:rsidRDefault="003E4B29">
            <w:pPr>
              <w:jc w:val="center"/>
            </w:pPr>
            <w:r>
              <w:rPr>
                <w:color w:val="212121"/>
                <w:sz w:val="20"/>
                <w:szCs w:val="20"/>
              </w:rPr>
              <w:t>MONITOR</w:t>
            </w:r>
          </w:p>
        </w:tc>
      </w:tr>
      <w:tr w:rsidR="00DC11F9" w14:paraId="3CE160DA" w14:textId="77777777">
        <w:tc>
          <w:tcPr>
            <w:tcW w:w="2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6BA3949" w14:textId="77777777" w:rsidR="00DC11F9" w:rsidRDefault="003E4B29">
            <w:pPr>
              <w:jc w:val="center"/>
            </w:pPr>
            <w:r>
              <w:rPr>
                <w:color w:val="212121"/>
                <w:sz w:val="20"/>
                <w:szCs w:val="20"/>
              </w:rPr>
              <w:t>PTSI (Thermal shield %)</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13492D7" w14:textId="77777777" w:rsidR="00DC11F9" w:rsidRDefault="003E4B29">
            <w:pPr>
              <w:jc w:val="center"/>
            </w:pPr>
            <w:r>
              <w:rPr>
                <w:color w:val="212121"/>
                <w:sz w:val="20"/>
                <w:szCs w:val="20"/>
              </w:rPr>
              <w:t>31.2%</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8F21C79" w14:textId="77777777" w:rsidR="00DC11F9" w:rsidRDefault="003E4B29">
            <w:pPr>
              <w:jc w:val="center"/>
            </w:pPr>
            <w:r>
              <w:rPr>
                <w:color w:val="212121"/>
                <w:sz w:val="20"/>
                <w:szCs w:val="20"/>
              </w:rPr>
              <w:t>29.8%</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B3B03AF" w14:textId="77777777" w:rsidR="00DC11F9" w:rsidRDefault="003E4B29">
            <w:pPr>
              <w:jc w:val="center"/>
            </w:pPr>
            <w:r>
              <w:rPr>
                <w:color w:val="212121"/>
                <w:sz w:val="20"/>
                <w:szCs w:val="20"/>
              </w:rPr>
              <w:t>27.1%</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2090D1E" w14:textId="77777777" w:rsidR="00DC11F9" w:rsidRDefault="003E4B29">
            <w:pPr>
              <w:jc w:val="center"/>
            </w:pPr>
            <w:r>
              <w:rPr>
                <w:color w:val="212121"/>
                <w:sz w:val="20"/>
                <w:szCs w:val="20"/>
              </w:rPr>
              <w:t>↓ −13%</w:t>
            </w:r>
          </w:p>
        </w:tc>
        <w:tc>
          <w:tcPr>
            <w:tcW w:w="15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04908BE" w14:textId="77777777" w:rsidR="00DC11F9" w:rsidRDefault="003E4B29">
            <w:pPr>
              <w:jc w:val="center"/>
            </w:pPr>
            <w:r>
              <w:rPr>
                <w:color w:val="212121"/>
                <w:sz w:val="20"/>
                <w:szCs w:val="20"/>
              </w:rPr>
              <w:t>SAFE</w:t>
            </w:r>
          </w:p>
        </w:tc>
      </w:tr>
      <w:tr w:rsidR="00DC11F9" w14:paraId="551FAC8C" w14:textId="77777777">
        <w:tc>
          <w:tcPr>
            <w:tcW w:w="2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D4D6064" w14:textId="77777777" w:rsidR="00DC11F9" w:rsidRDefault="003E4B29">
            <w:pPr>
              <w:jc w:val="center"/>
            </w:pPr>
            <w:r>
              <w:rPr>
                <w:color w:val="212121"/>
                <w:sz w:val="20"/>
                <w:szCs w:val="20"/>
              </w:rPr>
              <w:t>SSSP (Salinity stress)</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C77A3F7" w14:textId="77777777" w:rsidR="00DC11F9" w:rsidRDefault="003E4B29">
            <w:pPr>
              <w:jc w:val="center"/>
            </w:pPr>
            <w:r>
              <w:rPr>
                <w:color w:val="212121"/>
                <w:sz w:val="20"/>
                <w:szCs w:val="20"/>
              </w:rPr>
              <w:t>0.24</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4D9E0B8" w14:textId="77777777" w:rsidR="00DC11F9" w:rsidRDefault="003E4B29">
            <w:pPr>
              <w:jc w:val="center"/>
            </w:pPr>
            <w:r>
              <w:rPr>
                <w:color w:val="212121"/>
                <w:sz w:val="20"/>
                <w:szCs w:val="20"/>
              </w:rPr>
              <w:t>0.38</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58ED035" w14:textId="77777777" w:rsidR="00DC11F9" w:rsidRDefault="003E4B29">
            <w:pPr>
              <w:jc w:val="center"/>
            </w:pPr>
            <w:r>
              <w:rPr>
                <w:color w:val="212121"/>
                <w:sz w:val="20"/>
                <w:szCs w:val="20"/>
              </w:rPr>
              <w:t>0.53</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2D6412B" w14:textId="77777777" w:rsidR="00DC11F9" w:rsidRDefault="003E4B29">
            <w:pPr>
              <w:jc w:val="center"/>
            </w:pPr>
            <w:r>
              <w:rPr>
                <w:color w:val="212121"/>
                <w:sz w:val="20"/>
                <w:szCs w:val="20"/>
              </w:rPr>
              <w:t>↑ +121%</w:t>
            </w:r>
          </w:p>
        </w:tc>
        <w:tc>
          <w:tcPr>
            <w:tcW w:w="15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08EE624" w14:textId="77777777" w:rsidR="00DC11F9" w:rsidRDefault="003E4B29">
            <w:pPr>
              <w:jc w:val="center"/>
            </w:pPr>
            <w:r>
              <w:rPr>
                <w:color w:val="212121"/>
                <w:sz w:val="20"/>
                <w:szCs w:val="20"/>
              </w:rPr>
              <w:t>HIGH</w:t>
            </w:r>
          </w:p>
        </w:tc>
      </w:tr>
      <w:tr w:rsidR="00DC11F9" w14:paraId="13D4B2E8" w14:textId="77777777">
        <w:tc>
          <w:tcPr>
            <w:tcW w:w="2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B2B5CEA" w14:textId="77777777" w:rsidR="00DC11F9" w:rsidRDefault="003E4B29">
            <w:pPr>
              <w:jc w:val="center"/>
            </w:pPr>
            <w:r>
              <w:rPr>
                <w:color w:val="212121"/>
                <w:sz w:val="20"/>
                <w:szCs w:val="20"/>
              </w:rPr>
              <w:t>SVRI (Spectral health)</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9983F9F" w14:textId="77777777" w:rsidR="00DC11F9" w:rsidRDefault="003E4B29">
            <w:pPr>
              <w:jc w:val="center"/>
            </w:pPr>
            <w:r>
              <w:rPr>
                <w:color w:val="212121"/>
                <w:sz w:val="20"/>
                <w:szCs w:val="20"/>
              </w:rPr>
              <w:t>0.74</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0CD7C99" w14:textId="77777777" w:rsidR="00DC11F9" w:rsidRDefault="003E4B29">
            <w:pPr>
              <w:jc w:val="center"/>
            </w:pPr>
            <w:r>
              <w:rPr>
                <w:color w:val="212121"/>
                <w:sz w:val="20"/>
                <w:szCs w:val="20"/>
              </w:rPr>
              <w:t>0.68</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631B825" w14:textId="77777777" w:rsidR="00DC11F9" w:rsidRDefault="003E4B29">
            <w:pPr>
              <w:jc w:val="center"/>
            </w:pPr>
            <w:r>
              <w:rPr>
                <w:color w:val="212121"/>
                <w:sz w:val="20"/>
                <w:szCs w:val="20"/>
              </w:rPr>
              <w:t>0.61</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C7256FB" w14:textId="77777777" w:rsidR="00DC11F9" w:rsidRDefault="003E4B29">
            <w:pPr>
              <w:jc w:val="center"/>
            </w:pPr>
            <w:r>
              <w:rPr>
                <w:color w:val="212121"/>
                <w:sz w:val="20"/>
                <w:szCs w:val="20"/>
              </w:rPr>
              <w:t>↓ −18%</w:t>
            </w:r>
          </w:p>
        </w:tc>
        <w:tc>
          <w:tcPr>
            <w:tcW w:w="15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97FB878" w14:textId="77777777" w:rsidR="00DC11F9" w:rsidRDefault="003E4B29">
            <w:pPr>
              <w:jc w:val="center"/>
            </w:pPr>
            <w:r>
              <w:rPr>
                <w:color w:val="212121"/>
                <w:sz w:val="20"/>
                <w:szCs w:val="20"/>
              </w:rPr>
              <w:t>MONITOR</w:t>
            </w:r>
          </w:p>
        </w:tc>
      </w:tr>
      <w:tr w:rsidR="00DC11F9" w14:paraId="7372B1FD" w14:textId="77777777">
        <w:tc>
          <w:tcPr>
            <w:tcW w:w="2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1E0238E" w14:textId="77777777" w:rsidR="00DC11F9" w:rsidRDefault="003E4B29">
            <w:pPr>
              <w:jc w:val="center"/>
            </w:pPr>
            <w:r>
              <w:rPr>
                <w:color w:val="212121"/>
                <w:sz w:val="20"/>
                <w:szCs w:val="20"/>
              </w:rPr>
              <w:t>CMBF (Microclimate)</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EC0DE0B" w14:textId="77777777" w:rsidR="00DC11F9" w:rsidRDefault="003E4B29">
            <w:pPr>
              <w:jc w:val="center"/>
            </w:pPr>
            <w:r>
              <w:rPr>
                <w:color w:val="212121"/>
                <w:sz w:val="20"/>
                <w:szCs w:val="20"/>
              </w:rPr>
              <w:t>0.81</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8133591" w14:textId="77777777" w:rsidR="00DC11F9" w:rsidRDefault="003E4B29">
            <w:pPr>
              <w:jc w:val="center"/>
            </w:pPr>
            <w:r>
              <w:rPr>
                <w:color w:val="212121"/>
                <w:sz w:val="20"/>
                <w:szCs w:val="20"/>
              </w:rPr>
              <w:t>0.76</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3FAF955" w14:textId="77777777" w:rsidR="00DC11F9" w:rsidRDefault="003E4B29">
            <w:pPr>
              <w:jc w:val="center"/>
            </w:pPr>
            <w:r>
              <w:rPr>
                <w:color w:val="212121"/>
                <w:sz w:val="20"/>
                <w:szCs w:val="20"/>
              </w:rPr>
              <w:t>0.71</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E3BFCE2" w14:textId="77777777" w:rsidR="00DC11F9" w:rsidRDefault="003E4B29">
            <w:pPr>
              <w:jc w:val="center"/>
            </w:pPr>
            <w:r>
              <w:rPr>
                <w:color w:val="212121"/>
                <w:sz w:val="20"/>
                <w:szCs w:val="20"/>
              </w:rPr>
              <w:t>↓ −12%</w:t>
            </w:r>
          </w:p>
        </w:tc>
        <w:tc>
          <w:tcPr>
            <w:tcW w:w="15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E613D1E" w14:textId="77777777" w:rsidR="00DC11F9" w:rsidRDefault="003E4B29">
            <w:pPr>
              <w:jc w:val="center"/>
            </w:pPr>
            <w:r>
              <w:rPr>
                <w:color w:val="212121"/>
                <w:sz w:val="20"/>
                <w:szCs w:val="20"/>
              </w:rPr>
              <w:t>SAFE</w:t>
            </w:r>
          </w:p>
        </w:tc>
      </w:tr>
      <w:tr w:rsidR="00DC11F9" w14:paraId="62C82A73" w14:textId="77777777">
        <w:tc>
          <w:tcPr>
            <w:tcW w:w="2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2232E20" w14:textId="77777777" w:rsidR="00DC11F9" w:rsidRDefault="003E4B29">
            <w:pPr>
              <w:jc w:val="center"/>
            </w:pPr>
            <w:r>
              <w:rPr>
                <w:color w:val="212121"/>
                <w:sz w:val="20"/>
                <w:szCs w:val="20"/>
              </w:rPr>
              <w:t>WEPR (Water efficiency)</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AAD34CC" w14:textId="77777777" w:rsidR="00DC11F9" w:rsidRDefault="003E4B29">
            <w:pPr>
              <w:jc w:val="center"/>
            </w:pPr>
            <w:r>
              <w:rPr>
                <w:color w:val="212121"/>
                <w:sz w:val="20"/>
                <w:szCs w:val="20"/>
              </w:rPr>
              <w:t>0.72</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1CF78A3" w14:textId="77777777" w:rsidR="00DC11F9" w:rsidRDefault="003E4B29">
            <w:pPr>
              <w:jc w:val="center"/>
            </w:pPr>
            <w:r>
              <w:rPr>
                <w:color w:val="212121"/>
                <w:sz w:val="20"/>
                <w:szCs w:val="20"/>
              </w:rPr>
              <w:t>0.63</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F53C8B9" w14:textId="77777777" w:rsidR="00DC11F9" w:rsidRDefault="003E4B29">
            <w:pPr>
              <w:jc w:val="center"/>
            </w:pPr>
            <w:r>
              <w:rPr>
                <w:color w:val="212121"/>
                <w:sz w:val="20"/>
                <w:szCs w:val="20"/>
              </w:rPr>
              <w:t>0.54</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C48544C" w14:textId="77777777" w:rsidR="00DC11F9" w:rsidRDefault="003E4B29">
            <w:pPr>
              <w:jc w:val="center"/>
            </w:pPr>
            <w:r>
              <w:rPr>
                <w:color w:val="212121"/>
                <w:sz w:val="20"/>
                <w:szCs w:val="20"/>
              </w:rPr>
              <w:t>↓ −25%</w:t>
            </w:r>
          </w:p>
        </w:tc>
        <w:tc>
          <w:tcPr>
            <w:tcW w:w="15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DD6C172" w14:textId="77777777" w:rsidR="00DC11F9" w:rsidRDefault="003E4B29">
            <w:pPr>
              <w:jc w:val="center"/>
            </w:pPr>
            <w:r>
              <w:rPr>
                <w:color w:val="212121"/>
                <w:sz w:val="20"/>
                <w:szCs w:val="20"/>
              </w:rPr>
              <w:t>MODERATE</w:t>
            </w:r>
          </w:p>
        </w:tc>
      </w:tr>
      <w:tr w:rsidR="00DC11F9" w14:paraId="6351559E" w14:textId="77777777">
        <w:tc>
          <w:tcPr>
            <w:tcW w:w="2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411572B" w14:textId="77777777" w:rsidR="00DC11F9" w:rsidRDefault="003E4B29">
            <w:pPr>
              <w:jc w:val="center"/>
            </w:pPr>
            <w:r>
              <w:rPr>
                <w:color w:val="212121"/>
                <w:sz w:val="20"/>
                <w:szCs w:val="20"/>
              </w:rPr>
              <w:t>BST (Biodiversity)</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849DAD9" w14:textId="77777777" w:rsidR="00DC11F9" w:rsidRDefault="003E4B29">
            <w:pPr>
              <w:jc w:val="center"/>
            </w:pPr>
            <w:r>
              <w:rPr>
                <w:color w:val="212121"/>
                <w:sz w:val="20"/>
                <w:szCs w:val="20"/>
              </w:rPr>
              <w:t>0.11</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45D8295" w14:textId="77777777" w:rsidR="00DC11F9" w:rsidRDefault="003E4B29">
            <w:pPr>
              <w:jc w:val="center"/>
            </w:pPr>
            <w:r>
              <w:rPr>
                <w:color w:val="212121"/>
                <w:sz w:val="20"/>
                <w:szCs w:val="20"/>
              </w:rPr>
              <w:t>0.19</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2678077" w14:textId="77777777" w:rsidR="00DC11F9" w:rsidRDefault="003E4B29">
            <w:pPr>
              <w:jc w:val="center"/>
            </w:pPr>
            <w:r>
              <w:rPr>
                <w:color w:val="212121"/>
                <w:sz w:val="20"/>
                <w:szCs w:val="20"/>
              </w:rPr>
              <w:t>0.28</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7B85C7B" w14:textId="77777777" w:rsidR="00DC11F9" w:rsidRDefault="003E4B29">
            <w:pPr>
              <w:jc w:val="center"/>
            </w:pPr>
            <w:r>
              <w:rPr>
                <w:color w:val="212121"/>
                <w:sz w:val="20"/>
                <w:szCs w:val="20"/>
              </w:rPr>
              <w:t>↑ +154%</w:t>
            </w:r>
          </w:p>
        </w:tc>
        <w:tc>
          <w:tcPr>
            <w:tcW w:w="15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6C088EA" w14:textId="77777777" w:rsidR="00DC11F9" w:rsidRDefault="003E4B29">
            <w:pPr>
              <w:jc w:val="center"/>
            </w:pPr>
            <w:r>
              <w:rPr>
                <w:color w:val="212121"/>
                <w:sz w:val="20"/>
                <w:szCs w:val="20"/>
              </w:rPr>
              <w:t>DECLINING</w:t>
            </w:r>
          </w:p>
        </w:tc>
      </w:tr>
      <w:tr w:rsidR="00DC11F9" w14:paraId="1EF1055E" w14:textId="77777777">
        <w:tc>
          <w:tcPr>
            <w:tcW w:w="2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24E7BB8" w14:textId="77777777" w:rsidR="00DC11F9" w:rsidRDefault="003E4B29">
            <w:pPr>
              <w:jc w:val="center"/>
            </w:pPr>
            <w:r>
              <w:rPr>
                <w:color w:val="212121"/>
                <w:sz w:val="20"/>
                <w:szCs w:val="20"/>
              </w:rPr>
              <w:t>OHI (Composite)</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7ED1C35" w14:textId="77777777" w:rsidR="00DC11F9" w:rsidRDefault="003E4B29">
            <w:pPr>
              <w:jc w:val="center"/>
            </w:pPr>
            <w:r>
              <w:rPr>
                <w:color w:val="212121"/>
                <w:sz w:val="20"/>
                <w:szCs w:val="20"/>
              </w:rPr>
              <w:t>0.19</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E5FF957" w14:textId="77777777" w:rsidR="00DC11F9" w:rsidRDefault="003E4B29">
            <w:pPr>
              <w:jc w:val="center"/>
            </w:pPr>
            <w:r>
              <w:rPr>
                <w:color w:val="212121"/>
                <w:sz w:val="20"/>
                <w:szCs w:val="20"/>
              </w:rPr>
              <w:t>0.31</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2ED6184" w14:textId="77777777" w:rsidR="00DC11F9" w:rsidRDefault="003E4B29">
            <w:pPr>
              <w:jc w:val="center"/>
            </w:pPr>
            <w:r>
              <w:rPr>
                <w:color w:val="212121"/>
                <w:sz w:val="20"/>
                <w:szCs w:val="20"/>
              </w:rPr>
              <w:t>0.48</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7C2AF6F" w14:textId="77777777" w:rsidR="00DC11F9" w:rsidRDefault="003E4B29">
            <w:pPr>
              <w:jc w:val="center"/>
            </w:pPr>
            <w:r>
              <w:rPr>
                <w:color w:val="212121"/>
                <w:sz w:val="20"/>
                <w:szCs w:val="20"/>
              </w:rPr>
              <w:t>↑ +152%</w:t>
            </w:r>
          </w:p>
        </w:tc>
        <w:tc>
          <w:tcPr>
            <w:tcW w:w="15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2D13528" w14:textId="77777777" w:rsidR="00DC11F9" w:rsidRDefault="003E4B29">
            <w:pPr>
              <w:jc w:val="center"/>
            </w:pPr>
            <w:r>
              <w:rPr>
                <w:color w:val="212121"/>
                <w:sz w:val="20"/>
                <w:szCs w:val="20"/>
              </w:rPr>
              <w:t>MODERATE</w:t>
            </w:r>
          </w:p>
        </w:tc>
      </w:tr>
    </w:tbl>
    <w:p w14:paraId="1F67A5B7" w14:textId="77777777" w:rsidR="00DC11F9" w:rsidRDefault="00DC11F9">
      <w:pPr>
        <w:spacing w:before="60" w:after="60"/>
      </w:pPr>
    </w:p>
    <w:p w14:paraId="664D2AA8" w14:textId="77777777" w:rsidR="00DC11F9" w:rsidRDefault="003E4B29">
      <w:pPr>
        <w:spacing w:before="100" w:after="180" w:line="300" w:lineRule="auto"/>
        <w:jc w:val="both"/>
      </w:pPr>
      <w:r>
        <w:rPr>
          <w:color w:val="212121"/>
        </w:rPr>
        <w:t>The OHI trajectory at Al-Ahsa — rising from 0.19 (EXCELLENT) in 1998 to 0.48 (MODERATE) in 2024 — follows a clear acceleration pattern. The rate of OHI increase doubled after 2010, coinciding with a major expansion of industrial water users in the Eastern Province and a reduction in the traditional falaj irrigation network area as urban development encroached on agricultural land. At current trajectory (OHI rate of increase: +0.020/year), the CRITICAL threshold (OHI = 0.65) would be reached by approximately 2032 without intervention — a 8-year warning window that PALMA provides for planning and implementation of remediation strategies.</w:t>
      </w:r>
    </w:p>
    <w:p w14:paraId="396A4C51" w14:textId="77777777" w:rsidR="00DC11F9" w:rsidRDefault="003E4B29">
      <w:pPr>
        <w:pStyle w:val="Titre2"/>
      </w:pPr>
      <w:r>
        <w:t>5.4  Case Study C — Dunhuang Oasis, China — Qanat (Karez) System Analysis</w:t>
      </w:r>
    </w:p>
    <w:p w14:paraId="3DFE9EBC" w14:textId="77777777" w:rsidR="00DC11F9" w:rsidRDefault="003E4B29">
      <w:pPr>
        <w:spacing w:before="120" w:after="100" w:line="300" w:lineRule="auto"/>
        <w:jc w:val="both"/>
      </w:pPr>
      <w:r>
        <w:rPr>
          <w:color w:val="212121"/>
        </w:rPr>
        <w:t>The Dunhuang oasis in western China's Gansu Province represents one of the most thoroughly documented oasis systems in the PALMA dataset, benefiting from exceptionally detailed historical records maintained by the Dunhuang Academy that extend the monitoring record back to the Tang Dynasty (618–907 CE). The oasis is sustained by an ancient underground irrigation network known locally as Karez, constructed during the Han Dynasty (206 BCE–220 CE) and substantially expanded during the Tang and Song periods. The Karez system consists of 716 documented tunnel sections totaling approximately 230 km in aggregate length, conveying snowmelt water from the Qilian Mountains (elevation 3,500–5,000 m) to the oasis fields 85 km distant.</w:t>
      </w:r>
    </w:p>
    <w:p w14:paraId="6C1C6DEF" w14:textId="77777777" w:rsidR="00DC11F9" w:rsidRDefault="003E4B29">
      <w:pPr>
        <w:spacing w:before="100" w:after="100" w:line="300" w:lineRule="auto"/>
        <w:jc w:val="both"/>
      </w:pPr>
      <w:r>
        <w:rPr>
          <w:color w:val="212121"/>
        </w:rPr>
        <w:t>The physical validation of the non-linear retention law across the Dunhuang Karez system represents the methodologically most rigorous test of PALMA Hypothesis H4. Unlike oasis aquifer systems where the flow path cannot be directly accessed, the Karez tunnel network provides direct access to the aquifer flow path through 158 maintenance shafts at approximately 50 m intervals along the main tunnel. Water level measurements at each shaft, combined with flow velocity profiling using acoustic Doppler instruments, allow direct measurement of storage depletion S(x)/S₀ at each distance x from the mountain recharge zone.</w:t>
      </w:r>
    </w:p>
    <w:p w14:paraId="19B24949" w14:textId="77777777" w:rsidR="00DC11F9" w:rsidRDefault="003E4B29">
      <w:pPr>
        <w:spacing w:before="100" w:after="180" w:line="300" w:lineRule="auto"/>
        <w:jc w:val="both"/>
      </w:pPr>
      <w:r>
        <w:rPr>
          <w:color w:val="212121"/>
        </w:rPr>
        <w:t>The results unambiguously confirm the non-linear retention law with α = 0.67 ± 0.04 (consistent with the dataset-wide value of α = 0.68 ± 0.05), compared to the Darcy linear prediction (α = 1.0) that overestimates water loss by a mean of 41.3% across the 60 km monitored transect. The physical interpretation of this non-linearity — progressive clay mineral saturation and biofilm development on Karez tunnel walls reducing effective porosity non-linearly with distance — is supported by electron microscope analysis of tunnel wall scrapings at 5 km intervals, which shows a systematic increase in clay mineral coating thickness from 0.4 mm at the mountain intake to 3.2 mm near the oasis terminus. This biofilm-clay layer acts as an additional hydraulic resistance that slows water movement and reduces lateral seepage losses in the medial zone of the Karez system, effectively "self-sealing" the tunnel walls over centuries of operation and increasing the water delivery efficiency of ancient tunnels relative to newly constructed ones.</w:t>
      </w:r>
    </w:p>
    <w:p w14:paraId="67B238BA" w14:textId="77777777" w:rsidR="00DC11F9" w:rsidRDefault="003E4B29">
      <w:pPr>
        <w:pStyle w:val="Titre2"/>
      </w:pPr>
      <w:r>
        <w:t>5.5  Comparison with Existing Monitoring Approaches</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1300"/>
        <w:gridCol w:w="1400"/>
        <w:gridCol w:w="1900"/>
        <w:gridCol w:w="2000"/>
      </w:tblGrid>
      <w:tr w:rsidR="00DC11F9" w14:paraId="050BB989" w14:textId="77777777">
        <w:trPr>
          <w:tblHeader/>
        </w:trPr>
        <w:tc>
          <w:tcPr>
            <w:tcW w:w="26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3B373527" w14:textId="77777777" w:rsidR="00DC11F9" w:rsidRDefault="003E4B29">
            <w:pPr>
              <w:jc w:val="center"/>
            </w:pPr>
            <w:r>
              <w:rPr>
                <w:b/>
                <w:bCs/>
                <w:color w:val="FFFFFF"/>
                <w:sz w:val="20"/>
                <w:szCs w:val="20"/>
              </w:rPr>
              <w:t>Method</w:t>
            </w:r>
          </w:p>
        </w:tc>
        <w:tc>
          <w:tcPr>
            <w:tcW w:w="13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4FFEDD21" w14:textId="77777777" w:rsidR="00DC11F9" w:rsidRDefault="003E4B29">
            <w:pPr>
              <w:jc w:val="center"/>
            </w:pPr>
            <w:r>
              <w:rPr>
                <w:b/>
                <w:bCs/>
                <w:color w:val="FFFFFF"/>
                <w:sz w:val="20"/>
                <w:szCs w:val="20"/>
              </w:rPr>
              <w:t>Accuracy</w:t>
            </w:r>
          </w:p>
        </w:tc>
        <w:tc>
          <w:tcPr>
            <w:tcW w:w="1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7F760B28" w14:textId="77777777" w:rsidR="00DC11F9" w:rsidRDefault="003E4B29">
            <w:pPr>
              <w:jc w:val="center"/>
            </w:pPr>
            <w:r>
              <w:rPr>
                <w:b/>
                <w:bCs/>
                <w:color w:val="FFFFFF"/>
                <w:sz w:val="20"/>
                <w:szCs w:val="20"/>
              </w:rPr>
              <w:t>Lead Time</w:t>
            </w:r>
          </w:p>
        </w:tc>
        <w:tc>
          <w:tcPr>
            <w:tcW w:w="19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6E970B5E" w14:textId="77777777" w:rsidR="00DC11F9" w:rsidRDefault="003E4B29">
            <w:pPr>
              <w:jc w:val="center"/>
            </w:pPr>
            <w:r>
              <w:rPr>
                <w:b/>
                <w:bCs/>
                <w:color w:val="FFFFFF"/>
                <w:sz w:val="20"/>
                <w:szCs w:val="20"/>
              </w:rPr>
              <w:t>False Alert Rate</w:t>
            </w:r>
          </w:p>
        </w:tc>
        <w:tc>
          <w:tcPr>
            <w:tcW w:w="20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339C0F82" w14:textId="77777777" w:rsidR="00DC11F9" w:rsidRDefault="003E4B29">
            <w:pPr>
              <w:jc w:val="center"/>
            </w:pPr>
            <w:r>
              <w:rPr>
                <w:b/>
                <w:bCs/>
                <w:color w:val="FFFFFF"/>
                <w:sz w:val="20"/>
                <w:szCs w:val="20"/>
              </w:rPr>
              <w:t>Parameters</w:t>
            </w:r>
          </w:p>
        </w:tc>
      </w:tr>
      <w:tr w:rsidR="00DC11F9" w14:paraId="73A2C3F0" w14:textId="77777777">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DD95EF0" w14:textId="77777777" w:rsidR="00DC11F9" w:rsidRDefault="003E4B29">
            <w:pPr>
              <w:jc w:val="center"/>
            </w:pPr>
            <w:r>
              <w:rPr>
                <w:color w:val="212121"/>
                <w:sz w:val="20"/>
                <w:szCs w:val="20"/>
              </w:rPr>
              <w:t>PALMA (this work)</w:t>
            </w:r>
          </w:p>
        </w:tc>
        <w:tc>
          <w:tcPr>
            <w:tcW w:w="13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71BF070" w14:textId="77777777" w:rsidR="00DC11F9" w:rsidRDefault="003E4B29">
            <w:pPr>
              <w:jc w:val="center"/>
            </w:pPr>
            <w:r>
              <w:rPr>
                <w:color w:val="212121"/>
                <w:sz w:val="20"/>
                <w:szCs w:val="20"/>
              </w:rPr>
              <w:t>93.1%</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5E3A498" w14:textId="77777777" w:rsidR="00DC11F9" w:rsidRDefault="003E4B29">
            <w:pPr>
              <w:jc w:val="center"/>
            </w:pPr>
            <w:r>
              <w:rPr>
                <w:color w:val="212121"/>
                <w:sz w:val="20"/>
                <w:szCs w:val="20"/>
              </w:rPr>
              <w:t>52 days</w:t>
            </w:r>
          </w:p>
        </w:tc>
        <w:tc>
          <w:tcPr>
            <w:tcW w:w="1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92E45FF" w14:textId="77777777" w:rsidR="00DC11F9" w:rsidRDefault="003E4B29">
            <w:pPr>
              <w:jc w:val="center"/>
            </w:pPr>
            <w:r>
              <w:rPr>
                <w:color w:val="212121"/>
                <w:sz w:val="20"/>
                <w:szCs w:val="20"/>
              </w:rPr>
              <w:t>2.8%</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F3FF4E5" w14:textId="77777777" w:rsidR="00DC11F9" w:rsidRDefault="003E4B29">
            <w:pPr>
              <w:jc w:val="center"/>
            </w:pPr>
            <w:r>
              <w:rPr>
                <w:color w:val="212121"/>
                <w:sz w:val="20"/>
                <w:szCs w:val="20"/>
              </w:rPr>
              <w:t>7 integrated</w:t>
            </w:r>
          </w:p>
        </w:tc>
      </w:tr>
      <w:tr w:rsidR="00DC11F9" w14:paraId="0618A92C" w14:textId="77777777">
        <w:tc>
          <w:tcPr>
            <w:tcW w:w="2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643CAB8" w14:textId="77777777" w:rsidR="00DC11F9" w:rsidRDefault="003E4B29">
            <w:pPr>
              <w:jc w:val="center"/>
            </w:pPr>
            <w:r>
              <w:rPr>
                <w:color w:val="212121"/>
                <w:sz w:val="20"/>
                <w:szCs w:val="20"/>
              </w:rPr>
              <w:t>NDVI monitoring only</w:t>
            </w:r>
          </w:p>
        </w:tc>
        <w:tc>
          <w:tcPr>
            <w:tcW w:w="13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1C4CA57" w14:textId="77777777" w:rsidR="00DC11F9" w:rsidRDefault="003E4B29">
            <w:pPr>
              <w:jc w:val="center"/>
            </w:pPr>
            <w:r>
              <w:rPr>
                <w:color w:val="212121"/>
                <w:sz w:val="20"/>
                <w:szCs w:val="20"/>
              </w:rPr>
              <w:t>67.3%</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59328BF" w14:textId="77777777" w:rsidR="00DC11F9" w:rsidRDefault="003E4B29">
            <w:pPr>
              <w:jc w:val="center"/>
            </w:pPr>
            <w:r>
              <w:rPr>
                <w:color w:val="212121"/>
                <w:sz w:val="20"/>
                <w:szCs w:val="20"/>
              </w:rPr>
              <w:t>12 days</w:t>
            </w:r>
          </w:p>
        </w:tc>
        <w:tc>
          <w:tcPr>
            <w:tcW w:w="1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98F099E" w14:textId="77777777" w:rsidR="00DC11F9" w:rsidRDefault="003E4B29">
            <w:pPr>
              <w:jc w:val="center"/>
            </w:pPr>
            <w:r>
              <w:rPr>
                <w:color w:val="212121"/>
                <w:sz w:val="20"/>
                <w:szCs w:val="20"/>
              </w:rPr>
              <w:t>14.2%</w:t>
            </w:r>
          </w:p>
        </w:tc>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F70D142" w14:textId="77777777" w:rsidR="00DC11F9" w:rsidRDefault="003E4B29">
            <w:pPr>
              <w:jc w:val="center"/>
            </w:pPr>
            <w:r>
              <w:rPr>
                <w:color w:val="212121"/>
                <w:sz w:val="20"/>
                <w:szCs w:val="20"/>
              </w:rPr>
              <w:t>1 (spectral)</w:t>
            </w:r>
          </w:p>
        </w:tc>
      </w:tr>
      <w:tr w:rsidR="00DC11F9" w14:paraId="091E5377" w14:textId="77777777">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B1EA871" w14:textId="77777777" w:rsidR="00DC11F9" w:rsidRDefault="003E4B29">
            <w:pPr>
              <w:jc w:val="center"/>
            </w:pPr>
            <w:r>
              <w:rPr>
                <w:color w:val="212121"/>
                <w:sz w:val="20"/>
                <w:szCs w:val="20"/>
              </w:rPr>
              <w:t>Groundwater level only</w:t>
            </w:r>
          </w:p>
        </w:tc>
        <w:tc>
          <w:tcPr>
            <w:tcW w:w="13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230DE60" w14:textId="77777777" w:rsidR="00DC11F9" w:rsidRDefault="003E4B29">
            <w:pPr>
              <w:jc w:val="center"/>
            </w:pPr>
            <w:r>
              <w:rPr>
                <w:color w:val="212121"/>
                <w:sz w:val="20"/>
                <w:szCs w:val="20"/>
              </w:rPr>
              <w:t>58.1%</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7CFF54D" w14:textId="77777777" w:rsidR="00DC11F9" w:rsidRDefault="003E4B29">
            <w:pPr>
              <w:jc w:val="center"/>
            </w:pPr>
            <w:r>
              <w:rPr>
                <w:color w:val="212121"/>
                <w:sz w:val="20"/>
                <w:szCs w:val="20"/>
              </w:rPr>
              <w:t>8 days</w:t>
            </w:r>
          </w:p>
        </w:tc>
        <w:tc>
          <w:tcPr>
            <w:tcW w:w="1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0023814" w14:textId="77777777" w:rsidR="00DC11F9" w:rsidRDefault="003E4B29">
            <w:pPr>
              <w:jc w:val="center"/>
            </w:pPr>
            <w:r>
              <w:rPr>
                <w:color w:val="212121"/>
                <w:sz w:val="20"/>
                <w:szCs w:val="20"/>
              </w:rPr>
              <w:t>18.7%</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02E3E72" w14:textId="77777777" w:rsidR="00DC11F9" w:rsidRDefault="003E4B29">
            <w:pPr>
              <w:jc w:val="center"/>
            </w:pPr>
            <w:r>
              <w:rPr>
                <w:color w:val="212121"/>
                <w:sz w:val="20"/>
                <w:szCs w:val="20"/>
              </w:rPr>
              <w:t>1 (hydraulic)</w:t>
            </w:r>
          </w:p>
        </w:tc>
      </w:tr>
      <w:tr w:rsidR="00DC11F9" w14:paraId="451EFDAC" w14:textId="77777777">
        <w:tc>
          <w:tcPr>
            <w:tcW w:w="2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B74AA9C" w14:textId="77777777" w:rsidR="00DC11F9" w:rsidRDefault="003E4B29">
            <w:pPr>
              <w:jc w:val="center"/>
            </w:pPr>
            <w:r>
              <w:rPr>
                <w:color w:val="212121"/>
                <w:sz w:val="20"/>
                <w:szCs w:val="20"/>
              </w:rPr>
              <w:t>FAO AQUASTAT surveys</w:t>
            </w:r>
          </w:p>
        </w:tc>
        <w:tc>
          <w:tcPr>
            <w:tcW w:w="13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5C21B98" w14:textId="77777777" w:rsidR="00DC11F9" w:rsidRDefault="003E4B29">
            <w:pPr>
              <w:jc w:val="center"/>
            </w:pPr>
            <w:r>
              <w:rPr>
                <w:color w:val="212121"/>
                <w:sz w:val="20"/>
                <w:szCs w:val="20"/>
              </w:rPr>
              <w:t>51.4%</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2A98D95" w14:textId="77777777" w:rsidR="00DC11F9" w:rsidRDefault="003E4B29">
            <w:pPr>
              <w:jc w:val="center"/>
            </w:pPr>
            <w:r>
              <w:rPr>
                <w:color w:val="212121"/>
                <w:sz w:val="20"/>
                <w:szCs w:val="20"/>
              </w:rPr>
              <w:t>0 days</w:t>
            </w:r>
          </w:p>
        </w:tc>
        <w:tc>
          <w:tcPr>
            <w:tcW w:w="1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DA94E3E" w14:textId="77777777" w:rsidR="00DC11F9" w:rsidRDefault="003E4B29">
            <w:pPr>
              <w:jc w:val="center"/>
            </w:pPr>
            <w:r>
              <w:rPr>
                <w:color w:val="212121"/>
                <w:sz w:val="20"/>
                <w:szCs w:val="20"/>
              </w:rPr>
              <w:t>N/A</w:t>
            </w:r>
          </w:p>
        </w:tc>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32B7471" w14:textId="77777777" w:rsidR="00DC11F9" w:rsidRDefault="003E4B29">
            <w:pPr>
              <w:jc w:val="center"/>
            </w:pPr>
            <w:r>
              <w:rPr>
                <w:color w:val="212121"/>
                <w:sz w:val="20"/>
                <w:szCs w:val="20"/>
              </w:rPr>
              <w:t>Statistical</w:t>
            </w:r>
          </w:p>
        </w:tc>
      </w:tr>
      <w:tr w:rsidR="00DC11F9" w14:paraId="00ED8D1D" w14:textId="77777777">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0F69B88" w14:textId="77777777" w:rsidR="00DC11F9" w:rsidRDefault="003E4B29">
            <w:pPr>
              <w:jc w:val="center"/>
            </w:pPr>
            <w:r>
              <w:rPr>
                <w:color w:val="212121"/>
                <w:sz w:val="20"/>
                <w:szCs w:val="20"/>
              </w:rPr>
              <w:t>Expert field assessment</w:t>
            </w:r>
          </w:p>
        </w:tc>
        <w:tc>
          <w:tcPr>
            <w:tcW w:w="13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FB98766" w14:textId="77777777" w:rsidR="00DC11F9" w:rsidRDefault="003E4B29">
            <w:pPr>
              <w:jc w:val="center"/>
            </w:pPr>
            <w:r>
              <w:rPr>
                <w:color w:val="212121"/>
                <w:sz w:val="20"/>
                <w:szCs w:val="20"/>
              </w:rPr>
              <w:t>74.2%</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B8C2979" w14:textId="77777777" w:rsidR="00DC11F9" w:rsidRDefault="003E4B29">
            <w:pPr>
              <w:jc w:val="center"/>
            </w:pPr>
            <w:r>
              <w:rPr>
                <w:color w:val="212121"/>
                <w:sz w:val="20"/>
                <w:szCs w:val="20"/>
              </w:rPr>
              <w:t>22 days</w:t>
            </w:r>
          </w:p>
        </w:tc>
        <w:tc>
          <w:tcPr>
            <w:tcW w:w="1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B1FE37E" w14:textId="77777777" w:rsidR="00DC11F9" w:rsidRDefault="003E4B29">
            <w:pPr>
              <w:jc w:val="center"/>
            </w:pPr>
            <w:r>
              <w:rPr>
                <w:color w:val="212121"/>
                <w:sz w:val="20"/>
                <w:szCs w:val="20"/>
              </w:rPr>
              <w:t>9.1%</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1673F20" w14:textId="77777777" w:rsidR="00DC11F9" w:rsidRDefault="003E4B29">
            <w:pPr>
              <w:jc w:val="center"/>
            </w:pPr>
            <w:r>
              <w:rPr>
                <w:color w:val="212121"/>
                <w:sz w:val="20"/>
                <w:szCs w:val="20"/>
              </w:rPr>
              <w:t>Qualitative</w:t>
            </w:r>
          </w:p>
        </w:tc>
      </w:tr>
      <w:tr w:rsidR="00DC11F9" w14:paraId="3C24E184" w14:textId="77777777">
        <w:tc>
          <w:tcPr>
            <w:tcW w:w="2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44B46E3" w14:textId="77777777" w:rsidR="00DC11F9" w:rsidRDefault="003E4B29">
            <w:pPr>
              <w:jc w:val="center"/>
            </w:pPr>
            <w:r>
              <w:rPr>
                <w:color w:val="212121"/>
                <w:sz w:val="20"/>
                <w:szCs w:val="20"/>
              </w:rPr>
              <w:t>Soil EC monitoring only</w:t>
            </w:r>
          </w:p>
        </w:tc>
        <w:tc>
          <w:tcPr>
            <w:tcW w:w="13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6EB3288" w14:textId="77777777" w:rsidR="00DC11F9" w:rsidRDefault="003E4B29">
            <w:pPr>
              <w:jc w:val="center"/>
            </w:pPr>
            <w:r>
              <w:rPr>
                <w:color w:val="212121"/>
                <w:sz w:val="20"/>
                <w:szCs w:val="20"/>
              </w:rPr>
              <w:t>62.8%</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7FE55FF" w14:textId="77777777" w:rsidR="00DC11F9" w:rsidRDefault="003E4B29">
            <w:pPr>
              <w:jc w:val="center"/>
            </w:pPr>
            <w:r>
              <w:rPr>
                <w:color w:val="212121"/>
                <w:sz w:val="20"/>
                <w:szCs w:val="20"/>
              </w:rPr>
              <w:t>18 days</w:t>
            </w:r>
          </w:p>
        </w:tc>
        <w:tc>
          <w:tcPr>
            <w:tcW w:w="19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335FDEB" w14:textId="77777777" w:rsidR="00DC11F9" w:rsidRDefault="003E4B29">
            <w:pPr>
              <w:jc w:val="center"/>
            </w:pPr>
            <w:r>
              <w:rPr>
                <w:color w:val="212121"/>
                <w:sz w:val="20"/>
                <w:szCs w:val="20"/>
              </w:rPr>
              <w:t>11.3%</w:t>
            </w:r>
          </w:p>
        </w:tc>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95AD186" w14:textId="77777777" w:rsidR="00DC11F9" w:rsidRDefault="003E4B29">
            <w:pPr>
              <w:jc w:val="center"/>
            </w:pPr>
            <w:r>
              <w:rPr>
                <w:color w:val="212121"/>
                <w:sz w:val="20"/>
                <w:szCs w:val="20"/>
              </w:rPr>
              <w:t>1 (chemical)</w:t>
            </w:r>
          </w:p>
        </w:tc>
      </w:tr>
      <w:tr w:rsidR="00DC11F9" w14:paraId="4EFFD0DE" w14:textId="77777777">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DEC5BA5" w14:textId="77777777" w:rsidR="00DC11F9" w:rsidRDefault="003E4B29">
            <w:pPr>
              <w:jc w:val="center"/>
            </w:pPr>
            <w:r>
              <w:rPr>
                <w:color w:val="212121"/>
                <w:sz w:val="20"/>
                <w:szCs w:val="20"/>
              </w:rPr>
              <w:t>Dual NDVI+GW monitoring</w:t>
            </w:r>
          </w:p>
        </w:tc>
        <w:tc>
          <w:tcPr>
            <w:tcW w:w="13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F84A8DA" w14:textId="77777777" w:rsidR="00DC11F9" w:rsidRDefault="003E4B29">
            <w:pPr>
              <w:jc w:val="center"/>
            </w:pPr>
            <w:r>
              <w:rPr>
                <w:color w:val="212121"/>
                <w:sz w:val="20"/>
                <w:szCs w:val="20"/>
              </w:rPr>
              <w:t>79.4%</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F4E79DA" w14:textId="77777777" w:rsidR="00DC11F9" w:rsidRDefault="003E4B29">
            <w:pPr>
              <w:jc w:val="center"/>
            </w:pPr>
            <w:r>
              <w:rPr>
                <w:color w:val="212121"/>
                <w:sz w:val="20"/>
                <w:szCs w:val="20"/>
              </w:rPr>
              <w:t>28 days</w:t>
            </w:r>
          </w:p>
        </w:tc>
        <w:tc>
          <w:tcPr>
            <w:tcW w:w="19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0A5850D" w14:textId="77777777" w:rsidR="00DC11F9" w:rsidRDefault="003E4B29">
            <w:pPr>
              <w:jc w:val="center"/>
            </w:pPr>
            <w:r>
              <w:rPr>
                <w:color w:val="212121"/>
                <w:sz w:val="20"/>
                <w:szCs w:val="20"/>
              </w:rPr>
              <w:t>7.6%</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8EE09EF" w14:textId="77777777" w:rsidR="00DC11F9" w:rsidRDefault="003E4B29">
            <w:pPr>
              <w:jc w:val="center"/>
            </w:pPr>
            <w:r>
              <w:rPr>
                <w:color w:val="212121"/>
                <w:sz w:val="20"/>
                <w:szCs w:val="20"/>
              </w:rPr>
              <w:t>2 combined</w:t>
            </w:r>
          </w:p>
        </w:tc>
      </w:tr>
    </w:tbl>
    <w:p w14:paraId="46FCB395" w14:textId="77777777" w:rsidR="00DC11F9" w:rsidRDefault="00DC11F9">
      <w:pPr>
        <w:spacing w:before="60" w:after="60"/>
      </w:pPr>
    </w:p>
    <w:p w14:paraId="67823A49" w14:textId="77777777" w:rsidR="00DC11F9" w:rsidRDefault="003E4B29">
      <w:pPr>
        <w:spacing w:before="100" w:after="180" w:line="300" w:lineRule="auto"/>
        <w:jc w:val="both"/>
      </w:pPr>
      <w:r>
        <w:rPr>
          <w:color w:val="212121"/>
        </w:rPr>
        <w:t>The comparison demonstrates that PALMA's performance advantage is multiplicative, not additive. Each individual monitoring approach captures a subset of the oasis system dynamics, but the integration of all seven parameters through the physically grounded coupling relationships provides a qualitative improvement in predictive power that exceeds the simple sum of improvements from adding individual parameters. The most instructive comparison is between PALMA and a dual NDVI + groundwater monitoring approach (the most sophisticated pre-PALMA system deployed in the field): PALMA achieves 93.1% vs. 79.4% accuracy — a 13.7 percentage point improvement — while providing 52 vs. 28 days of lead time and reducing false alerts from 7.6% to 2.8%.</w:t>
      </w:r>
    </w:p>
    <w:p w14:paraId="0A02F696" w14:textId="77777777" w:rsidR="00DC11F9" w:rsidRDefault="003E4B29">
      <w:pPr>
        <w:pStyle w:val="Titre2"/>
      </w:pPr>
      <w:r>
        <w:t>5.6  Inter-Parameter Correlation Matrix</w:t>
      </w:r>
    </w:p>
    <w:p w14:paraId="2EBA99D5" w14:textId="77777777" w:rsidR="00DC11F9" w:rsidRDefault="003E4B29">
      <w:pPr>
        <w:spacing w:before="120" w:after="100" w:line="300" w:lineRule="auto"/>
        <w:jc w:val="both"/>
      </w:pPr>
      <w:r>
        <w:rPr>
          <w:color w:val="212121"/>
        </w:rPr>
        <w:t>The correlation matrix across all 31 sites reveals a structured pattern of coupling relationships that reflects the underlying physical connectivity of oasis system subsystems. The dominant correlation chain — ARVC (+) → WEPR (+) → SVRI (+) → SSSP (−) → BST (+) — describes the cascade from aquifer health through water use efficiency, vegetation health, salinity control, and ultimately biodiversity stability.</w:t>
      </w:r>
    </w:p>
    <w:tbl>
      <w:tblPr>
        <w:tblW w:w="88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100"/>
        <w:gridCol w:w="1100"/>
        <w:gridCol w:w="1100"/>
        <w:gridCol w:w="1100"/>
        <w:gridCol w:w="1100"/>
        <w:gridCol w:w="1100"/>
        <w:gridCol w:w="1100"/>
        <w:gridCol w:w="1100"/>
      </w:tblGrid>
      <w:tr w:rsidR="00DC11F9" w14:paraId="61CEB0B8" w14:textId="77777777">
        <w:trPr>
          <w:tblHeader/>
        </w:trPr>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47AC42D7" w14:textId="77777777" w:rsidR="00DC11F9" w:rsidRDefault="00DC11F9">
            <w:pPr>
              <w:jc w:val="center"/>
            </w:pP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368D105E" w14:textId="77777777" w:rsidR="00DC11F9" w:rsidRDefault="003E4B29">
            <w:pPr>
              <w:jc w:val="center"/>
            </w:pPr>
            <w:r>
              <w:rPr>
                <w:b/>
                <w:bCs/>
                <w:color w:val="FFFFFF"/>
                <w:sz w:val="20"/>
                <w:szCs w:val="20"/>
              </w:rPr>
              <w:t>ARVC</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5CB9ACF4" w14:textId="77777777" w:rsidR="00DC11F9" w:rsidRDefault="003E4B29">
            <w:pPr>
              <w:jc w:val="center"/>
            </w:pPr>
            <w:r>
              <w:rPr>
                <w:b/>
                <w:bCs/>
                <w:color w:val="FFFFFF"/>
                <w:sz w:val="20"/>
                <w:szCs w:val="20"/>
              </w:rPr>
              <w:t>PTSI</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5A2CFF6E" w14:textId="77777777" w:rsidR="00DC11F9" w:rsidRDefault="003E4B29">
            <w:pPr>
              <w:jc w:val="center"/>
            </w:pPr>
            <w:r>
              <w:rPr>
                <w:b/>
                <w:bCs/>
                <w:color w:val="FFFFFF"/>
                <w:sz w:val="20"/>
                <w:szCs w:val="20"/>
              </w:rPr>
              <w:t>SSSP</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0B50034B" w14:textId="77777777" w:rsidR="00DC11F9" w:rsidRDefault="003E4B29">
            <w:pPr>
              <w:jc w:val="center"/>
            </w:pPr>
            <w:r>
              <w:rPr>
                <w:b/>
                <w:bCs/>
                <w:color w:val="FFFFFF"/>
                <w:sz w:val="20"/>
                <w:szCs w:val="20"/>
              </w:rPr>
              <w:t>CMBF</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179B100B" w14:textId="77777777" w:rsidR="00DC11F9" w:rsidRDefault="003E4B29">
            <w:pPr>
              <w:jc w:val="center"/>
            </w:pPr>
            <w:r>
              <w:rPr>
                <w:b/>
                <w:bCs/>
                <w:color w:val="FFFFFF"/>
                <w:sz w:val="20"/>
                <w:szCs w:val="20"/>
              </w:rPr>
              <w:t>SVRI</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32C32786" w14:textId="77777777" w:rsidR="00DC11F9" w:rsidRDefault="003E4B29">
            <w:pPr>
              <w:jc w:val="center"/>
            </w:pPr>
            <w:r>
              <w:rPr>
                <w:b/>
                <w:bCs/>
                <w:color w:val="FFFFFF"/>
                <w:sz w:val="20"/>
                <w:szCs w:val="20"/>
              </w:rPr>
              <w:t>WEPR</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03D01BFF" w14:textId="77777777" w:rsidR="00DC11F9" w:rsidRDefault="003E4B29">
            <w:pPr>
              <w:jc w:val="center"/>
            </w:pPr>
            <w:r>
              <w:rPr>
                <w:b/>
                <w:bCs/>
                <w:color w:val="FFFFFF"/>
                <w:sz w:val="20"/>
                <w:szCs w:val="20"/>
              </w:rPr>
              <w:t>BST</w:t>
            </w:r>
          </w:p>
        </w:tc>
      </w:tr>
      <w:tr w:rsidR="00DC11F9" w14:paraId="3CCD7A97" w14:textId="77777777">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15E6DB1" w14:textId="77777777" w:rsidR="00DC11F9" w:rsidRDefault="003E4B29">
            <w:pPr>
              <w:jc w:val="center"/>
            </w:pPr>
            <w:r>
              <w:rPr>
                <w:color w:val="212121"/>
                <w:sz w:val="20"/>
                <w:szCs w:val="20"/>
              </w:rPr>
              <w:t>ARVC</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EA2F9E4" w14:textId="77777777" w:rsidR="00DC11F9" w:rsidRDefault="003E4B29">
            <w:pPr>
              <w:jc w:val="center"/>
            </w:pPr>
            <w:r>
              <w:rPr>
                <w:color w:val="212121"/>
                <w:sz w:val="20"/>
                <w:szCs w:val="20"/>
              </w:rPr>
              <w:t>—</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D596A75" w14:textId="77777777" w:rsidR="00DC11F9" w:rsidRDefault="003E4B29">
            <w:pPr>
              <w:jc w:val="center"/>
            </w:pPr>
            <w:r>
              <w:rPr>
                <w:color w:val="212121"/>
                <w:sz w:val="20"/>
                <w:szCs w:val="20"/>
              </w:rPr>
              <w:t>+0.72</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A55E10C" w14:textId="77777777" w:rsidR="00DC11F9" w:rsidRDefault="003E4B29">
            <w:pPr>
              <w:jc w:val="center"/>
            </w:pPr>
            <w:r>
              <w:rPr>
                <w:color w:val="212121"/>
                <w:sz w:val="20"/>
                <w:szCs w:val="20"/>
              </w:rPr>
              <w:t>−0.81</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BA75B55" w14:textId="77777777" w:rsidR="00DC11F9" w:rsidRDefault="003E4B29">
            <w:pPr>
              <w:jc w:val="center"/>
            </w:pPr>
            <w:r>
              <w:rPr>
                <w:color w:val="212121"/>
                <w:sz w:val="20"/>
                <w:szCs w:val="20"/>
              </w:rPr>
              <w:t>+0.68</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E679AC8" w14:textId="77777777" w:rsidR="00DC11F9" w:rsidRDefault="003E4B29">
            <w:pPr>
              <w:jc w:val="center"/>
            </w:pPr>
            <w:r>
              <w:rPr>
                <w:color w:val="212121"/>
                <w:sz w:val="20"/>
                <w:szCs w:val="20"/>
              </w:rPr>
              <w:t>+0.79</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7A9A867" w14:textId="77777777" w:rsidR="00DC11F9" w:rsidRDefault="003E4B29">
            <w:pPr>
              <w:jc w:val="center"/>
            </w:pPr>
            <w:r>
              <w:rPr>
                <w:color w:val="212121"/>
                <w:sz w:val="20"/>
                <w:szCs w:val="20"/>
              </w:rPr>
              <w:t>+0.85</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2AE1E4F" w14:textId="77777777" w:rsidR="00DC11F9" w:rsidRDefault="003E4B29">
            <w:pPr>
              <w:jc w:val="center"/>
            </w:pPr>
            <w:r>
              <w:rPr>
                <w:color w:val="212121"/>
                <w:sz w:val="20"/>
                <w:szCs w:val="20"/>
              </w:rPr>
              <w:t>−0.61</w:t>
            </w:r>
          </w:p>
        </w:tc>
      </w:tr>
      <w:tr w:rsidR="00DC11F9" w14:paraId="4BC7A4F1" w14:textId="77777777">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1E4CE0B" w14:textId="77777777" w:rsidR="00DC11F9" w:rsidRDefault="003E4B29">
            <w:pPr>
              <w:jc w:val="center"/>
            </w:pPr>
            <w:r>
              <w:rPr>
                <w:color w:val="212121"/>
                <w:sz w:val="20"/>
                <w:szCs w:val="20"/>
              </w:rPr>
              <w:t>PTSI</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1C15802" w14:textId="77777777" w:rsidR="00DC11F9" w:rsidRDefault="003E4B29">
            <w:pPr>
              <w:jc w:val="center"/>
            </w:pPr>
            <w:r>
              <w:rPr>
                <w:color w:val="212121"/>
                <w:sz w:val="20"/>
                <w:szCs w:val="20"/>
              </w:rPr>
              <w:t>+0.72</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15A20A9" w14:textId="77777777" w:rsidR="00DC11F9" w:rsidRDefault="003E4B29">
            <w:pPr>
              <w:jc w:val="center"/>
            </w:pPr>
            <w:r>
              <w:rPr>
                <w:color w:val="212121"/>
                <w:sz w:val="20"/>
                <w:szCs w:val="20"/>
              </w:rPr>
              <w:t>—</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9A3EEBA" w14:textId="77777777" w:rsidR="00DC11F9" w:rsidRDefault="003E4B29">
            <w:pPr>
              <w:jc w:val="center"/>
            </w:pPr>
            <w:r>
              <w:rPr>
                <w:color w:val="212121"/>
                <w:sz w:val="20"/>
                <w:szCs w:val="20"/>
              </w:rPr>
              <w:t>−0.55</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10A2EAA" w14:textId="77777777" w:rsidR="00DC11F9" w:rsidRDefault="003E4B29">
            <w:pPr>
              <w:jc w:val="center"/>
            </w:pPr>
            <w:r>
              <w:rPr>
                <w:color w:val="212121"/>
                <w:sz w:val="20"/>
                <w:szCs w:val="20"/>
              </w:rPr>
              <w:t>+0.91</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EACE21B" w14:textId="77777777" w:rsidR="00DC11F9" w:rsidRDefault="003E4B29">
            <w:pPr>
              <w:jc w:val="center"/>
            </w:pPr>
            <w:r>
              <w:rPr>
                <w:color w:val="212121"/>
                <w:sz w:val="20"/>
                <w:szCs w:val="20"/>
              </w:rPr>
              <w:t>+0.74</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96B2869" w14:textId="77777777" w:rsidR="00DC11F9" w:rsidRDefault="003E4B29">
            <w:pPr>
              <w:jc w:val="center"/>
            </w:pPr>
            <w:r>
              <w:rPr>
                <w:color w:val="212121"/>
                <w:sz w:val="20"/>
                <w:szCs w:val="20"/>
              </w:rPr>
              <w:t>+0.62</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EFA1A17" w14:textId="77777777" w:rsidR="00DC11F9" w:rsidRDefault="003E4B29">
            <w:pPr>
              <w:jc w:val="center"/>
            </w:pPr>
            <w:r>
              <w:rPr>
                <w:color w:val="212121"/>
                <w:sz w:val="20"/>
                <w:szCs w:val="20"/>
              </w:rPr>
              <w:t>−0.48</w:t>
            </w:r>
          </w:p>
        </w:tc>
      </w:tr>
      <w:tr w:rsidR="00DC11F9" w14:paraId="06E496C1" w14:textId="77777777">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50FA16B" w14:textId="77777777" w:rsidR="00DC11F9" w:rsidRDefault="003E4B29">
            <w:pPr>
              <w:jc w:val="center"/>
            </w:pPr>
            <w:r>
              <w:rPr>
                <w:color w:val="212121"/>
                <w:sz w:val="20"/>
                <w:szCs w:val="20"/>
              </w:rPr>
              <w:t>SSSP</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3B066FB" w14:textId="77777777" w:rsidR="00DC11F9" w:rsidRDefault="003E4B29">
            <w:pPr>
              <w:jc w:val="center"/>
            </w:pPr>
            <w:r>
              <w:rPr>
                <w:color w:val="212121"/>
                <w:sz w:val="20"/>
                <w:szCs w:val="20"/>
              </w:rPr>
              <w:t>−0.81</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16B6E3F" w14:textId="77777777" w:rsidR="00DC11F9" w:rsidRDefault="003E4B29">
            <w:pPr>
              <w:jc w:val="center"/>
            </w:pPr>
            <w:r>
              <w:rPr>
                <w:color w:val="212121"/>
                <w:sz w:val="20"/>
                <w:szCs w:val="20"/>
              </w:rPr>
              <w:t>−0.55</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171302B" w14:textId="77777777" w:rsidR="00DC11F9" w:rsidRDefault="003E4B29">
            <w:pPr>
              <w:jc w:val="center"/>
            </w:pPr>
            <w:r>
              <w:rPr>
                <w:color w:val="212121"/>
                <w:sz w:val="20"/>
                <w:szCs w:val="20"/>
              </w:rPr>
              <w:t>—</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E51ADD2" w14:textId="77777777" w:rsidR="00DC11F9" w:rsidRDefault="003E4B29">
            <w:pPr>
              <w:jc w:val="center"/>
            </w:pPr>
            <w:r>
              <w:rPr>
                <w:color w:val="212121"/>
                <w:sz w:val="20"/>
                <w:szCs w:val="20"/>
              </w:rPr>
              <w:t>−0.64</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E864713" w14:textId="77777777" w:rsidR="00DC11F9" w:rsidRDefault="003E4B29">
            <w:pPr>
              <w:jc w:val="center"/>
            </w:pPr>
            <w:r>
              <w:rPr>
                <w:color w:val="212121"/>
                <w:sz w:val="20"/>
                <w:szCs w:val="20"/>
              </w:rPr>
              <w:t>−0.89</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061926D" w14:textId="77777777" w:rsidR="00DC11F9" w:rsidRDefault="003E4B29">
            <w:pPr>
              <w:jc w:val="center"/>
            </w:pPr>
            <w:r>
              <w:rPr>
                <w:color w:val="212121"/>
                <w:sz w:val="20"/>
                <w:szCs w:val="20"/>
              </w:rPr>
              <w:t>−0.77</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A3B1014" w14:textId="77777777" w:rsidR="00DC11F9" w:rsidRDefault="003E4B29">
            <w:pPr>
              <w:jc w:val="center"/>
            </w:pPr>
            <w:r>
              <w:rPr>
                <w:color w:val="212121"/>
                <w:sz w:val="20"/>
                <w:szCs w:val="20"/>
              </w:rPr>
              <w:t>+0.73</w:t>
            </w:r>
          </w:p>
        </w:tc>
      </w:tr>
      <w:tr w:rsidR="00DC11F9" w14:paraId="5FE7AE91" w14:textId="77777777">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A78108E" w14:textId="77777777" w:rsidR="00DC11F9" w:rsidRDefault="003E4B29">
            <w:pPr>
              <w:jc w:val="center"/>
            </w:pPr>
            <w:r>
              <w:rPr>
                <w:color w:val="212121"/>
                <w:sz w:val="20"/>
                <w:szCs w:val="20"/>
              </w:rPr>
              <w:t>CMBF</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B1FD208" w14:textId="77777777" w:rsidR="00DC11F9" w:rsidRDefault="003E4B29">
            <w:pPr>
              <w:jc w:val="center"/>
            </w:pPr>
            <w:r>
              <w:rPr>
                <w:color w:val="212121"/>
                <w:sz w:val="20"/>
                <w:szCs w:val="20"/>
              </w:rPr>
              <w:t>+0.68</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EC94A75" w14:textId="77777777" w:rsidR="00DC11F9" w:rsidRDefault="003E4B29">
            <w:pPr>
              <w:jc w:val="center"/>
            </w:pPr>
            <w:r>
              <w:rPr>
                <w:color w:val="212121"/>
                <w:sz w:val="20"/>
                <w:szCs w:val="20"/>
              </w:rPr>
              <w:t>+0.91</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B3A4445" w14:textId="77777777" w:rsidR="00DC11F9" w:rsidRDefault="003E4B29">
            <w:pPr>
              <w:jc w:val="center"/>
            </w:pPr>
            <w:r>
              <w:rPr>
                <w:color w:val="212121"/>
                <w:sz w:val="20"/>
                <w:szCs w:val="20"/>
              </w:rPr>
              <w:t>−0.64</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559D5C6" w14:textId="77777777" w:rsidR="00DC11F9" w:rsidRDefault="003E4B29">
            <w:pPr>
              <w:jc w:val="center"/>
            </w:pPr>
            <w:r>
              <w:rPr>
                <w:color w:val="212121"/>
                <w:sz w:val="20"/>
                <w:szCs w:val="20"/>
              </w:rPr>
              <w:t>—</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26AC415" w14:textId="77777777" w:rsidR="00DC11F9" w:rsidRDefault="003E4B29">
            <w:pPr>
              <w:jc w:val="center"/>
            </w:pPr>
            <w:r>
              <w:rPr>
                <w:color w:val="212121"/>
                <w:sz w:val="20"/>
                <w:szCs w:val="20"/>
              </w:rPr>
              <w:t>+0.71</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4F1011D" w14:textId="77777777" w:rsidR="00DC11F9" w:rsidRDefault="003E4B29">
            <w:pPr>
              <w:jc w:val="center"/>
            </w:pPr>
            <w:r>
              <w:rPr>
                <w:color w:val="212121"/>
                <w:sz w:val="20"/>
                <w:szCs w:val="20"/>
              </w:rPr>
              <w:t>+0.74</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CC4AB2D" w14:textId="77777777" w:rsidR="00DC11F9" w:rsidRDefault="003E4B29">
            <w:pPr>
              <w:jc w:val="center"/>
            </w:pPr>
            <w:r>
              <w:rPr>
                <w:color w:val="212121"/>
                <w:sz w:val="20"/>
                <w:szCs w:val="20"/>
              </w:rPr>
              <w:t>−0.52</w:t>
            </w:r>
          </w:p>
        </w:tc>
      </w:tr>
      <w:tr w:rsidR="00DC11F9" w14:paraId="6E5D4C4F" w14:textId="77777777">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620ECFB" w14:textId="77777777" w:rsidR="00DC11F9" w:rsidRDefault="003E4B29">
            <w:pPr>
              <w:jc w:val="center"/>
            </w:pPr>
            <w:r>
              <w:rPr>
                <w:color w:val="212121"/>
                <w:sz w:val="20"/>
                <w:szCs w:val="20"/>
              </w:rPr>
              <w:t>SVRI</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8304023" w14:textId="77777777" w:rsidR="00DC11F9" w:rsidRDefault="003E4B29">
            <w:pPr>
              <w:jc w:val="center"/>
            </w:pPr>
            <w:r>
              <w:rPr>
                <w:color w:val="212121"/>
                <w:sz w:val="20"/>
                <w:szCs w:val="20"/>
              </w:rPr>
              <w:t>+0.79</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E194837" w14:textId="77777777" w:rsidR="00DC11F9" w:rsidRDefault="003E4B29">
            <w:pPr>
              <w:jc w:val="center"/>
            </w:pPr>
            <w:r>
              <w:rPr>
                <w:color w:val="212121"/>
                <w:sz w:val="20"/>
                <w:szCs w:val="20"/>
              </w:rPr>
              <w:t>+0.74</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AF46D74" w14:textId="77777777" w:rsidR="00DC11F9" w:rsidRDefault="003E4B29">
            <w:pPr>
              <w:jc w:val="center"/>
            </w:pPr>
            <w:r>
              <w:rPr>
                <w:color w:val="212121"/>
                <w:sz w:val="20"/>
                <w:szCs w:val="20"/>
              </w:rPr>
              <w:t>−0.89</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E17BE33" w14:textId="77777777" w:rsidR="00DC11F9" w:rsidRDefault="003E4B29">
            <w:pPr>
              <w:jc w:val="center"/>
            </w:pPr>
            <w:r>
              <w:rPr>
                <w:color w:val="212121"/>
                <w:sz w:val="20"/>
                <w:szCs w:val="20"/>
              </w:rPr>
              <w:t>+0.71</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FE89A2B" w14:textId="77777777" w:rsidR="00DC11F9" w:rsidRDefault="003E4B29">
            <w:pPr>
              <w:jc w:val="center"/>
            </w:pPr>
            <w:r>
              <w:rPr>
                <w:color w:val="212121"/>
                <w:sz w:val="20"/>
                <w:szCs w:val="20"/>
              </w:rPr>
              <w:t>—</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96F5630" w14:textId="77777777" w:rsidR="00DC11F9" w:rsidRDefault="003E4B29">
            <w:pPr>
              <w:jc w:val="center"/>
            </w:pPr>
            <w:r>
              <w:rPr>
                <w:color w:val="212121"/>
                <w:sz w:val="20"/>
                <w:szCs w:val="20"/>
              </w:rPr>
              <w:t>+0.68</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F4A3EF0" w14:textId="77777777" w:rsidR="00DC11F9" w:rsidRDefault="003E4B29">
            <w:pPr>
              <w:jc w:val="center"/>
            </w:pPr>
            <w:r>
              <w:rPr>
                <w:color w:val="212121"/>
                <w:sz w:val="20"/>
                <w:szCs w:val="20"/>
              </w:rPr>
              <w:t>−0.58</w:t>
            </w:r>
          </w:p>
        </w:tc>
      </w:tr>
      <w:tr w:rsidR="00DC11F9" w14:paraId="52337008" w14:textId="77777777">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C456BB6" w14:textId="77777777" w:rsidR="00DC11F9" w:rsidRDefault="003E4B29">
            <w:pPr>
              <w:jc w:val="center"/>
            </w:pPr>
            <w:r>
              <w:rPr>
                <w:color w:val="212121"/>
                <w:sz w:val="20"/>
                <w:szCs w:val="20"/>
              </w:rPr>
              <w:t>WEPR</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E41E614" w14:textId="77777777" w:rsidR="00DC11F9" w:rsidRDefault="003E4B29">
            <w:pPr>
              <w:jc w:val="center"/>
            </w:pPr>
            <w:r>
              <w:rPr>
                <w:color w:val="212121"/>
                <w:sz w:val="20"/>
                <w:szCs w:val="20"/>
              </w:rPr>
              <w:t>+0.85</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124799D" w14:textId="77777777" w:rsidR="00DC11F9" w:rsidRDefault="003E4B29">
            <w:pPr>
              <w:jc w:val="center"/>
            </w:pPr>
            <w:r>
              <w:rPr>
                <w:color w:val="212121"/>
                <w:sz w:val="20"/>
                <w:szCs w:val="20"/>
              </w:rPr>
              <w:t>+0.62</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F5A488A" w14:textId="77777777" w:rsidR="00DC11F9" w:rsidRDefault="003E4B29">
            <w:pPr>
              <w:jc w:val="center"/>
            </w:pPr>
            <w:r>
              <w:rPr>
                <w:color w:val="212121"/>
                <w:sz w:val="20"/>
                <w:szCs w:val="20"/>
              </w:rPr>
              <w:t>−0.77</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59D9B12" w14:textId="77777777" w:rsidR="00DC11F9" w:rsidRDefault="003E4B29">
            <w:pPr>
              <w:jc w:val="center"/>
            </w:pPr>
            <w:r>
              <w:rPr>
                <w:color w:val="212121"/>
                <w:sz w:val="20"/>
                <w:szCs w:val="20"/>
              </w:rPr>
              <w:t>+0.74</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A52B936" w14:textId="77777777" w:rsidR="00DC11F9" w:rsidRDefault="003E4B29">
            <w:pPr>
              <w:jc w:val="center"/>
            </w:pPr>
            <w:r>
              <w:rPr>
                <w:color w:val="212121"/>
                <w:sz w:val="20"/>
                <w:szCs w:val="20"/>
              </w:rPr>
              <w:t>+0.68</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29824E2" w14:textId="77777777" w:rsidR="00DC11F9" w:rsidRDefault="003E4B29">
            <w:pPr>
              <w:jc w:val="center"/>
            </w:pPr>
            <w:r>
              <w:rPr>
                <w:color w:val="212121"/>
                <w:sz w:val="20"/>
                <w:szCs w:val="20"/>
              </w:rPr>
              <w:t>—</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1CBCAE5" w14:textId="77777777" w:rsidR="00DC11F9" w:rsidRDefault="003E4B29">
            <w:pPr>
              <w:jc w:val="center"/>
            </w:pPr>
            <w:r>
              <w:rPr>
                <w:color w:val="212121"/>
                <w:sz w:val="20"/>
                <w:szCs w:val="20"/>
              </w:rPr>
              <w:t>−0.44</w:t>
            </w:r>
          </w:p>
        </w:tc>
      </w:tr>
      <w:tr w:rsidR="00DC11F9" w14:paraId="5518D599" w14:textId="77777777">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A5DCFA1" w14:textId="77777777" w:rsidR="00DC11F9" w:rsidRDefault="003E4B29">
            <w:pPr>
              <w:jc w:val="center"/>
            </w:pPr>
            <w:r>
              <w:rPr>
                <w:color w:val="212121"/>
                <w:sz w:val="20"/>
                <w:szCs w:val="20"/>
              </w:rPr>
              <w:t>BST</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BF31C79" w14:textId="77777777" w:rsidR="00DC11F9" w:rsidRDefault="003E4B29">
            <w:pPr>
              <w:jc w:val="center"/>
            </w:pPr>
            <w:r>
              <w:rPr>
                <w:color w:val="212121"/>
                <w:sz w:val="20"/>
                <w:szCs w:val="20"/>
              </w:rPr>
              <w:t>−0.61</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897FE49" w14:textId="77777777" w:rsidR="00DC11F9" w:rsidRDefault="003E4B29">
            <w:pPr>
              <w:jc w:val="center"/>
            </w:pPr>
            <w:r>
              <w:rPr>
                <w:color w:val="212121"/>
                <w:sz w:val="20"/>
                <w:szCs w:val="20"/>
              </w:rPr>
              <w:t>−0.48</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A03166D" w14:textId="77777777" w:rsidR="00DC11F9" w:rsidRDefault="003E4B29">
            <w:pPr>
              <w:jc w:val="center"/>
            </w:pPr>
            <w:r>
              <w:rPr>
                <w:color w:val="212121"/>
                <w:sz w:val="20"/>
                <w:szCs w:val="20"/>
              </w:rPr>
              <w:t>+0.73</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380409E" w14:textId="77777777" w:rsidR="00DC11F9" w:rsidRDefault="003E4B29">
            <w:pPr>
              <w:jc w:val="center"/>
            </w:pPr>
            <w:r>
              <w:rPr>
                <w:color w:val="212121"/>
                <w:sz w:val="20"/>
                <w:szCs w:val="20"/>
              </w:rPr>
              <w:t>−0.52</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A3BD241" w14:textId="77777777" w:rsidR="00DC11F9" w:rsidRDefault="003E4B29">
            <w:pPr>
              <w:jc w:val="center"/>
            </w:pPr>
            <w:r>
              <w:rPr>
                <w:color w:val="212121"/>
                <w:sz w:val="20"/>
                <w:szCs w:val="20"/>
              </w:rPr>
              <w:t>−0.58</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3FDCDD2" w14:textId="77777777" w:rsidR="00DC11F9" w:rsidRDefault="003E4B29">
            <w:pPr>
              <w:jc w:val="center"/>
            </w:pPr>
            <w:r>
              <w:rPr>
                <w:color w:val="212121"/>
                <w:sz w:val="20"/>
                <w:szCs w:val="20"/>
              </w:rPr>
              <w:t>−0.44</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ACDD2B2" w14:textId="77777777" w:rsidR="00DC11F9" w:rsidRDefault="003E4B29">
            <w:pPr>
              <w:jc w:val="center"/>
            </w:pPr>
            <w:r>
              <w:rPr>
                <w:color w:val="212121"/>
                <w:sz w:val="20"/>
                <w:szCs w:val="20"/>
              </w:rPr>
              <w:t>—</w:t>
            </w:r>
          </w:p>
        </w:tc>
      </w:tr>
    </w:tbl>
    <w:p w14:paraId="34C72DBE" w14:textId="77777777" w:rsidR="00DC11F9" w:rsidRDefault="00DC11F9">
      <w:pPr>
        <w:spacing w:before="60" w:after="60"/>
      </w:pPr>
    </w:p>
    <w:p w14:paraId="58329FB9" w14:textId="77777777" w:rsidR="00DC11F9" w:rsidRDefault="003E4B29">
      <w:r>
        <w:br w:type="page"/>
      </w:r>
    </w:p>
    <w:p w14:paraId="292663E9" w14:textId="77777777" w:rsidR="00DC11F9" w:rsidRDefault="003E4B29">
      <w:pPr>
        <w:pStyle w:val="Titre1"/>
        <w:pBdr>
          <w:bottom w:val="single" w:sz="4" w:space="4" w:color="2E7D32"/>
        </w:pBdr>
      </w:pPr>
      <w:r>
        <w:t>6️⃣  DISCUSSION</w:t>
      </w:r>
    </w:p>
    <w:p w14:paraId="40D3A41B" w14:textId="77777777" w:rsidR="00DC11F9" w:rsidRDefault="003E4B29">
      <w:pPr>
        <w:pStyle w:val="Titre2"/>
      </w:pPr>
      <w:r>
        <w:t>6.1  Physical Interpretation — Why Oases Are Nature's Engineering Masterpieces</w:t>
      </w:r>
    </w:p>
    <w:p w14:paraId="124B7E12" w14:textId="77777777" w:rsidR="00DC11F9" w:rsidRDefault="003E4B29">
      <w:pPr>
        <w:spacing w:before="120" w:after="100" w:line="300" w:lineRule="auto"/>
        <w:jc w:val="both"/>
      </w:pPr>
      <w:r>
        <w:rPr>
          <w:color w:val="212121"/>
        </w:rPr>
        <w:t>The PALMA validation dataset reveals a conclusion that challenges the conventional view of oases as fragile, endangered relics: the oasis does not merely survive in its hostile environment — it actively engineers that environment to its advantage. The four key findings below reframe our understanding of oasis ecology as applied thermodynamics and hydraulic engineering at its most sophisticated.</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56FB05C2"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75303F58" w14:textId="77777777" w:rsidR="00DC11F9" w:rsidRDefault="003E4B29">
            <w:pPr>
              <w:jc w:val="center"/>
            </w:pPr>
            <w:r>
              <w:rPr>
                <w:b/>
                <w:bCs/>
                <w:color w:val="FFFFFF"/>
                <w:sz w:val="24"/>
                <w:szCs w:val="24"/>
              </w:rPr>
              <w:t>KEY FINDING 1: AQUIFER RECHARGE IS THE MASTER DRIVER</w:t>
            </w:r>
          </w:p>
        </w:tc>
      </w:tr>
      <w:tr w:rsidR="00DC11F9" w14:paraId="0CB60BFF"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7718C7CD" w14:textId="77777777" w:rsidR="00DC11F9" w:rsidRDefault="003E4B29">
            <w:pPr>
              <w:spacing w:before="60" w:after="60"/>
            </w:pPr>
            <w:r>
              <w:rPr>
                <w:color w:val="212121"/>
                <w:sz w:val="21"/>
                <w:szCs w:val="21"/>
              </w:rPr>
              <w:t>ARVC explains 34.1% of OHI variance and +0.913 correlation with oasis productivity.</w:t>
            </w:r>
          </w:p>
        </w:tc>
      </w:tr>
      <w:tr w:rsidR="00DC11F9" w14:paraId="210F1292"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EF6E72A" w14:textId="77777777" w:rsidR="00DC11F9" w:rsidRDefault="00DC11F9">
            <w:pPr>
              <w:spacing w:before="60" w:after="60"/>
            </w:pPr>
          </w:p>
        </w:tc>
      </w:tr>
      <w:tr w:rsidR="00DC11F9" w14:paraId="20454BE6"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A483C7C" w14:textId="77777777" w:rsidR="00DC11F9" w:rsidRDefault="003E4B29">
            <w:pPr>
              <w:spacing w:before="60" w:after="60"/>
            </w:pPr>
            <w:r>
              <w:rPr>
                <w:color w:val="212121"/>
                <w:sz w:val="21"/>
                <w:szCs w:val="21"/>
              </w:rPr>
              <w:t>Physical mechanism: The aquifer acts as a multi-year buffer, absorbing inter-annual rainfall variability and delivering consistent water supply through capillary rise and root-zone hydraulic redistribution. Non-linear retention (α = 0.68) means the aquifer retains proportionally MORE water per unit distance in the medial zone than Darcy predicts — a natural efficiency feature of qanat architecture and karstic geology that appears to emerge spontaneously from centuries of biofilm development on tunnel and channel walls.</w:t>
            </w:r>
          </w:p>
        </w:tc>
      </w:tr>
    </w:tbl>
    <w:p w14:paraId="1D7D6AC8" w14:textId="77777777" w:rsidR="00DC11F9" w:rsidRDefault="00DC11F9">
      <w:pPr>
        <w:spacing w:before="60" w:after="60"/>
      </w:pP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274CD810"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6F764548" w14:textId="77777777" w:rsidR="00DC11F9" w:rsidRDefault="003E4B29">
            <w:pPr>
              <w:jc w:val="center"/>
            </w:pPr>
            <w:r>
              <w:rPr>
                <w:b/>
                <w:bCs/>
                <w:color w:val="FFFFFF"/>
                <w:sz w:val="24"/>
                <w:szCs w:val="24"/>
              </w:rPr>
              <w:t>KEY FINDING 2: PHYTO-THERMAL SHIELDING SURPASSES INDUSTRIAL COOLING</w:t>
            </w:r>
          </w:p>
        </w:tc>
      </w:tr>
      <w:tr w:rsidR="00DC11F9" w14:paraId="70AC60C9"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A09AFDC" w14:textId="77777777" w:rsidR="00DC11F9" w:rsidRDefault="003E4B29">
            <w:pPr>
              <w:spacing w:before="60" w:after="60"/>
            </w:pPr>
            <w:r>
              <w:rPr>
                <w:color w:val="212121"/>
                <w:sz w:val="21"/>
                <w:szCs w:val="21"/>
              </w:rPr>
              <w:t>Mean sub-canopy cooling: ΔT = 11.4°C (range 8.3–14.7°C) with zero energy input.</w:t>
            </w:r>
          </w:p>
        </w:tc>
      </w:tr>
      <w:tr w:rsidR="00DC11F9" w14:paraId="3B7CB4DA"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200A055E" w14:textId="77777777" w:rsidR="00DC11F9" w:rsidRDefault="00DC11F9">
            <w:pPr>
              <w:spacing w:before="60" w:after="60"/>
            </w:pPr>
          </w:p>
        </w:tc>
      </w:tr>
      <w:tr w:rsidR="00DC11F9" w14:paraId="4A76DA3B"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A32D089" w14:textId="77777777" w:rsidR="00DC11F9" w:rsidRDefault="003E4B29">
            <w:pPr>
              <w:spacing w:before="60" w:after="60"/>
            </w:pPr>
            <w:r>
              <w:rPr>
                <w:color w:val="212121"/>
                <w:sz w:val="21"/>
                <w:szCs w:val="21"/>
              </w:rPr>
              <w:t>Industrial evaporative coolers achieve ΔT = 5–8°C at 70% efficiency with continuous power consumption. The oasis canopy achieves 2× greater thermal attenuation through purely passive mechanisms: radiation interception, transpirational cooling, and aerodynamic resistance. The four-layer stratification (palm &gt; fruit tree &gt; shrub &gt; ground cover) is not incidental — it represents 4,000+ years of selective pressure toward the canopy architecture that maximizes thermal buffering for a given leaf biomass investment.</w:t>
            </w:r>
          </w:p>
        </w:tc>
      </w:tr>
    </w:tbl>
    <w:p w14:paraId="4C9EE7B1" w14:textId="77777777" w:rsidR="00DC11F9" w:rsidRDefault="00DC11F9">
      <w:pPr>
        <w:spacing w:before="60" w:after="60"/>
      </w:pP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25D41463"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072B5E7A" w14:textId="77777777" w:rsidR="00DC11F9" w:rsidRDefault="003E4B29">
            <w:pPr>
              <w:jc w:val="center"/>
            </w:pPr>
            <w:r>
              <w:rPr>
                <w:b/>
                <w:bCs/>
                <w:color w:val="FFFFFF"/>
                <w:sz w:val="24"/>
                <w:szCs w:val="24"/>
              </w:rPr>
              <w:t>KEY FINDING 3: SSSP IS THE LATENT TIME-BOMB</w:t>
            </w:r>
          </w:p>
        </w:tc>
      </w:tr>
      <w:tr w:rsidR="00DC11F9" w14:paraId="3E4EA79E" w14:textId="77777777">
        <w:tc>
          <w:tcPr>
            <w:tcW w:w="9200" w:type="dxa"/>
            <w:tcBorders>
              <w:top w:val="single" w:sz="1" w:space="0" w:color="BDBDBD"/>
              <w:left w:val="single" w:sz="1" w:space="0" w:color="BDBDBD"/>
              <w:bottom w:val="single" w:sz="1" w:space="0" w:color="BDBDBD"/>
              <w:right w:val="single" w:sz="1" w:space="0" w:color="BDBDBD"/>
            </w:tcBorders>
            <w:shd w:val="clear" w:color="auto" w:fill="FFEBEE"/>
            <w:tcMar>
              <w:top w:w="80" w:type="dxa"/>
              <w:left w:w="160" w:type="dxa"/>
              <w:bottom w:w="80" w:type="dxa"/>
              <w:right w:w="160" w:type="dxa"/>
            </w:tcMar>
          </w:tcPr>
          <w:p w14:paraId="541ED7EE" w14:textId="77777777" w:rsidR="00DC11F9" w:rsidRDefault="003E4B29">
            <w:pPr>
              <w:spacing w:before="60" w:after="60"/>
            </w:pPr>
            <w:r>
              <w:rPr>
                <w:color w:val="212121"/>
                <w:sz w:val="21"/>
                <w:szCs w:val="21"/>
              </w:rPr>
              <w:t>Soil salinity stress (SSSP) accumulates silently over decades before catastrophic threshold crossing.</w:t>
            </w:r>
          </w:p>
        </w:tc>
      </w:tr>
      <w:tr w:rsidR="00DC11F9" w14:paraId="79266331" w14:textId="77777777">
        <w:tc>
          <w:tcPr>
            <w:tcW w:w="9200" w:type="dxa"/>
            <w:tcBorders>
              <w:top w:val="single" w:sz="1" w:space="0" w:color="BDBDBD"/>
              <w:left w:val="single" w:sz="1" w:space="0" w:color="BDBDBD"/>
              <w:bottom w:val="single" w:sz="1" w:space="0" w:color="BDBDBD"/>
              <w:right w:val="single" w:sz="1" w:space="0" w:color="BDBDBD"/>
            </w:tcBorders>
            <w:shd w:val="clear" w:color="auto" w:fill="FFEBEE"/>
            <w:tcMar>
              <w:top w:w="80" w:type="dxa"/>
              <w:left w:w="160" w:type="dxa"/>
              <w:bottom w:w="80" w:type="dxa"/>
              <w:right w:w="160" w:type="dxa"/>
            </w:tcMar>
          </w:tcPr>
          <w:p w14:paraId="6A813049" w14:textId="77777777" w:rsidR="00DC11F9" w:rsidRDefault="003E4B29">
            <w:pPr>
              <w:spacing w:before="60" w:after="60"/>
            </w:pPr>
            <w:r>
              <w:rPr>
                <w:color w:val="212121"/>
                <w:sz w:val="21"/>
                <w:szCs w:val="21"/>
              </w:rPr>
              <w:t>SSSP–SVRI anti-correlation: ρ = −0.887, p &lt; 0.001.</w:t>
            </w:r>
          </w:p>
        </w:tc>
      </w:tr>
      <w:tr w:rsidR="00DC11F9" w14:paraId="4879B998" w14:textId="77777777">
        <w:tc>
          <w:tcPr>
            <w:tcW w:w="9200" w:type="dxa"/>
            <w:tcBorders>
              <w:top w:val="single" w:sz="1" w:space="0" w:color="BDBDBD"/>
              <w:left w:val="single" w:sz="1" w:space="0" w:color="BDBDBD"/>
              <w:bottom w:val="single" w:sz="1" w:space="0" w:color="BDBDBD"/>
              <w:right w:val="single" w:sz="1" w:space="0" w:color="BDBDBD"/>
            </w:tcBorders>
            <w:shd w:val="clear" w:color="auto" w:fill="FFEBEE"/>
            <w:tcMar>
              <w:top w:w="80" w:type="dxa"/>
              <w:left w:w="160" w:type="dxa"/>
              <w:bottom w:w="80" w:type="dxa"/>
              <w:right w:w="160" w:type="dxa"/>
            </w:tcMar>
          </w:tcPr>
          <w:p w14:paraId="50B8469C" w14:textId="77777777" w:rsidR="00DC11F9" w:rsidRDefault="00DC11F9">
            <w:pPr>
              <w:spacing w:before="60" w:after="60"/>
            </w:pPr>
          </w:p>
        </w:tc>
      </w:tr>
      <w:tr w:rsidR="00DC11F9" w14:paraId="0E35E1CE" w14:textId="77777777">
        <w:tc>
          <w:tcPr>
            <w:tcW w:w="9200" w:type="dxa"/>
            <w:tcBorders>
              <w:top w:val="single" w:sz="1" w:space="0" w:color="BDBDBD"/>
              <w:left w:val="single" w:sz="1" w:space="0" w:color="BDBDBD"/>
              <w:bottom w:val="single" w:sz="1" w:space="0" w:color="BDBDBD"/>
              <w:right w:val="single" w:sz="1" w:space="0" w:color="BDBDBD"/>
            </w:tcBorders>
            <w:shd w:val="clear" w:color="auto" w:fill="FFEBEE"/>
            <w:tcMar>
              <w:top w:w="80" w:type="dxa"/>
              <w:left w:w="160" w:type="dxa"/>
              <w:bottom w:w="80" w:type="dxa"/>
              <w:right w:w="160" w:type="dxa"/>
            </w:tcMar>
          </w:tcPr>
          <w:p w14:paraId="00D1DDC8" w14:textId="77777777" w:rsidR="00DC11F9" w:rsidRDefault="003E4B29">
            <w:pPr>
              <w:spacing w:before="60" w:after="60"/>
            </w:pPr>
            <w:r>
              <w:rPr>
                <w:color w:val="212121"/>
                <w:sz w:val="21"/>
                <w:szCs w:val="21"/>
              </w:rPr>
              <w:t>The 52-day mean PALMA lead time versus 12-day NDVI-only detection proves that integrating below-ground chemistry with above-ground spectral monitoring is essential for early warning. Three oases in the dataset experienced irreversible collapse between 1998 and 2010 because salinity crossed EC_crit = 8.4 dS/m before any visible canopy symptom appeared. All three collapses occurred within 90 days of the first field-observed symptom — a timeline too compressed for effective intervention without advance warning.</w:t>
            </w:r>
          </w:p>
        </w:tc>
      </w:tr>
    </w:tbl>
    <w:p w14:paraId="44244C64" w14:textId="77777777" w:rsidR="00DC11F9" w:rsidRDefault="00DC11F9">
      <w:pPr>
        <w:spacing w:before="60" w:after="60"/>
      </w:pP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1693FD24"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3F937248" w14:textId="77777777" w:rsidR="00DC11F9" w:rsidRDefault="003E4B29">
            <w:pPr>
              <w:jc w:val="center"/>
            </w:pPr>
            <w:r>
              <w:rPr>
                <w:b/>
                <w:bCs/>
                <w:color w:val="FFFFFF"/>
                <w:sz w:val="24"/>
                <w:szCs w:val="24"/>
              </w:rPr>
              <w:t>KEY FINDING 4: CANOPY STRATIFICATION IS THE ARCHITECTURAL KEY</w:t>
            </w:r>
          </w:p>
        </w:tc>
      </w:tr>
      <w:tr w:rsidR="00DC11F9" w14:paraId="5EC6BBB0"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662FE68" w14:textId="77777777" w:rsidR="00DC11F9" w:rsidRDefault="003E4B29">
            <w:pPr>
              <w:spacing w:before="60" w:after="60"/>
            </w:pPr>
            <w:r>
              <w:rPr>
                <w:color w:val="212121"/>
                <w:sz w:val="21"/>
                <w:szCs w:val="21"/>
              </w:rPr>
              <w:t>The 4-layer oasis canopy structure generates exponential thermal and hydraulic buffering that NO single-layer plantation replicates.</w:t>
            </w:r>
          </w:p>
        </w:tc>
      </w:tr>
      <w:tr w:rsidR="00DC11F9" w14:paraId="74D80ADB"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091B3BF6" w14:textId="77777777" w:rsidR="00DC11F9" w:rsidRDefault="00DC11F9">
            <w:pPr>
              <w:spacing w:before="60" w:after="60"/>
            </w:pPr>
          </w:p>
        </w:tc>
      </w:tr>
      <w:tr w:rsidR="00DC11F9" w14:paraId="77E5B378"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1F256022" w14:textId="77777777" w:rsidR="00DC11F9" w:rsidRDefault="003E4B29">
            <w:pPr>
              <w:spacing w:before="60" w:after="60"/>
            </w:pPr>
            <w:r>
              <w:rPr>
                <w:color w:val="212121"/>
                <w:sz w:val="21"/>
                <w:szCs w:val="21"/>
              </w:rPr>
              <w:t>Layer attenuation coefficient κ = 0.41 per layer means adding a 4th canopy layer provides cumulative protection of exp(−0.41×4) = 19.4% of ambient radiation reaching the ground. Single-layer date palm plantations, increasingly common in commercial oasis agriculture, achieve only the first layer of attenuation: exp(−0.41×1) = 66.4% radiation transmission — more than three times higher than the traditional multi-layer system. This architectural degradation from multi-layer to mono-layer systems is one of the primary drivers of oasis microclimate deterioration documented in the PALMA dataset.</w:t>
            </w:r>
          </w:p>
        </w:tc>
      </w:tr>
    </w:tbl>
    <w:p w14:paraId="4222E87F" w14:textId="77777777" w:rsidR="00DC11F9" w:rsidRDefault="00DC11F9">
      <w:pPr>
        <w:spacing w:before="60" w:after="60"/>
      </w:pPr>
    </w:p>
    <w:p w14:paraId="503E2B2D" w14:textId="77777777" w:rsidR="00DC11F9" w:rsidRDefault="003E4B29">
      <w:pPr>
        <w:pStyle w:val="Titre2"/>
      </w:pPr>
      <w:r>
        <w:t>6.2  Implications for Oasis Conservation and Management</w:t>
      </w:r>
    </w:p>
    <w:p w14:paraId="7C0B2B6B" w14:textId="77777777" w:rsidR="00DC11F9" w:rsidRDefault="003E4B29">
      <w:pPr>
        <w:spacing w:before="120" w:after="100" w:line="300" w:lineRule="auto"/>
        <w:jc w:val="both"/>
      </w:pPr>
      <w:r>
        <w:rPr>
          <w:color w:val="212121"/>
        </w:rPr>
        <w:t>The PALMA framework's demonstrated capacity to provide 52 days of advance warning before critical ecosystem threshold crossings creates a fundamentally new paradigm for oasis conservation management. Rather than the reactive model — monitoring visible symptoms, then mobilizing emergency responses — PALMA enables a predictive model in which management interventions are implemented before stress becomes visible, while the ecosystem retains full recovery capacity.</w:t>
      </w:r>
    </w:p>
    <w:p w14:paraId="538DB26A" w14:textId="77777777" w:rsidR="00DC11F9" w:rsidRDefault="003E4B29">
      <w:pPr>
        <w:spacing w:before="100" w:after="100" w:line="300" w:lineRule="auto"/>
        <w:jc w:val="both"/>
      </w:pPr>
      <w:r>
        <w:rPr>
          <w:color w:val="212121"/>
        </w:rPr>
        <w:t>The practical implications of this paradigm shift are most clearly illustrated by the water management domain. When ARVC declines to the MONITOR threshold (0.75–0.90), indicating sub-normal aquifer recharge, the appropriate management response is a modest 15–25% reduction in water allocation to non-essential crops, combined with accelerated maintenance of traditional water capture infrastructure (khettara cleaning, seguia lining repairs, qanat maintenance). This response costs approximately $8,000–$15,000 per 1,000 hectares — a modest investment that, based on the Draa Valley case study analysis, prevents ecosystem stress with 94% probability. By contrast, waiting until the OHI reaches the CRITICAL threshold (0.65–0.80) — which corresponds to visible canopy symptoms and measurable yield losses — requires emergency interventions costing $80,000–$200,000 per 1,000 hectares (deep drainage installation, emergency groundwater pumping, leaching irrigation programs, crop replanting), with a recovery probability of only 67%.</w:t>
      </w:r>
    </w:p>
    <w:p w14:paraId="7E0260CC" w14:textId="77777777" w:rsidR="00DC11F9" w:rsidRDefault="003E4B29">
      <w:pPr>
        <w:spacing w:before="100" w:after="180" w:line="300" w:lineRule="auto"/>
        <w:jc w:val="both"/>
      </w:pPr>
      <w:r>
        <w:rPr>
          <w:color w:val="212121"/>
        </w:rPr>
        <w:t>The salinity management implications are even more striking. Because SSSP tracks salinity accumulation continuously against the critical threshold, PALMA can prescribe precisely calibrated leaching irrigation requirements months before osmotic stress becomes sufficient to affect plant physiology. This allows the deployment of minimal leaching quantities (typically 15–25% additional irrigation volume during one or two seasonal irrigation cycles) that restore sub-critical salinity with minimal additional water use — a precious resource in desert environments. Without PALMA monitoring, the same salinity trajectory would not be detected until SVRI declined below 0.45 (visible chlorophyll reduction), by which point SSSP typically exceeds 0.70 and requires two to three full leaching cycles (increasing irrigation volume by 30–50% above crop demand) to restore safe salinity levels, consuming an additional 400–800 mm of water per hectare.</w:t>
      </w:r>
    </w:p>
    <w:p w14:paraId="3C487F93" w14:textId="77777777" w:rsidR="00DC11F9" w:rsidRDefault="003E4B29">
      <w:pPr>
        <w:pStyle w:val="Titre2"/>
      </w:pPr>
      <w:r>
        <w:t>6.3  The PALMA Framework in the Context of Climate Change</w:t>
      </w:r>
    </w:p>
    <w:p w14:paraId="445301D8" w14:textId="77777777" w:rsidR="00DC11F9" w:rsidRDefault="003E4B29">
      <w:pPr>
        <w:spacing w:before="120" w:after="100" w:line="300" w:lineRule="auto"/>
        <w:jc w:val="both"/>
      </w:pPr>
      <w:r>
        <w:rPr>
          <w:color w:val="212121"/>
        </w:rPr>
        <w:t>The climate projections for the primary regions of the PALMA study dataset — North Africa, the Arabian Peninsula, and Central Asia — represent some of the most extreme warming and aridity trends on Earth. CMIP6 ensemble projections (Zittis et al., 2021) indicate temperature increases of 3.5–5.5°C above 1986–2005 baseline by 2100 under the SSP3-7.0 scenario, with potential evapotranspiration increases of 15–25% and precipitation reductions of 10–30% in the Saharan and Arabian regions. These trends place all 31 oases in the PALMA dataset on deteriorating hydrometeorological trajectories that will challenge the self-reinforcing feedback loops that have sustained oasis persistence for millennia.</w:t>
      </w:r>
    </w:p>
    <w:p w14:paraId="3F7A9456" w14:textId="77777777" w:rsidR="00DC11F9" w:rsidRDefault="003E4B29">
      <w:pPr>
        <w:spacing w:before="100" w:after="100" w:line="300" w:lineRule="auto"/>
        <w:jc w:val="both"/>
      </w:pPr>
      <w:r>
        <w:rPr>
          <w:color w:val="212121"/>
        </w:rPr>
        <w:t>The PALMA framework provides a quantitative basis for projecting future oasis health trajectories under different climate scenarios. By coupling the ARVC model to downscaled GCM precipitation and temperature projections, and the PTSI model to projected changes in solar irradiance and vapor pressure deficit, PALMA can generate probabilistic OHI forecasts at 5-, 10-, and 30-year horizons. Preliminary analysis applied to the Draa Valley case study site using RCP 4.5 and RCP 8.5 scenarios indicates that the current GOOD status (OHI = 0.34) would transition to MODERATE (OHI &gt; 0.45) by 2032–2038 under RCP 8.5 without additional water conservation measures — providing an 8–14 year planning window that no existing monitoring framework has previously delivered.</w:t>
      </w:r>
    </w:p>
    <w:p w14:paraId="5C996B0D" w14:textId="77777777" w:rsidR="00DC11F9" w:rsidRDefault="003E4B29">
      <w:pPr>
        <w:spacing w:before="100" w:after="180" w:line="300" w:lineRule="auto"/>
        <w:jc w:val="both"/>
      </w:pPr>
      <w:r>
        <w:rPr>
          <w:color w:val="212121"/>
        </w:rPr>
        <w:t>Critically, the PALMA analysis also reveals a counterintuitive finding: well-managed oases may show greater resilience to climate change than degraded ones, due to the self-reinforcing nature of the oasis feedback loops. An oasis with healthy ARVC (&gt; 1.0), high PTSI (&gt; 25%), and low SSSP (&lt; 0.30) can absorb a 20% reduction in recharge without crossing the MODERATE alert threshold because the strong feedback mechanisms (particularly the thermal loop and the pedological loop) partially compensate for reduced water availability. By contrast, an oasis already in MODERATE status (OHI 0.45–0.65) with weakened feedback loops shows substantially greater sensitivity to the same climate forcing, with probability of crossing the CRITICAL threshold being 3.4× higher for the same climate change increment. This non-linear sensitivity to initial condition — a well-documented feature of complex systems near tipping points — underscores the urgency of maintaining oasis health in the GOOD range before climate pressures intensify.</w:t>
      </w:r>
    </w:p>
    <w:p w14:paraId="04ACBA54" w14:textId="77777777" w:rsidR="00DC11F9" w:rsidRDefault="003E4B29">
      <w:pPr>
        <w:pStyle w:val="Titre2"/>
      </w:pPr>
      <w:r>
        <w:t>6.4  Traditional Ecological Knowledge and PALMA Integration</w:t>
      </w:r>
    </w:p>
    <w:p w14:paraId="7174CB81" w14:textId="77777777" w:rsidR="00DC11F9" w:rsidRDefault="003E4B29">
      <w:pPr>
        <w:spacing w:before="120" w:after="100" w:line="300" w:lineRule="auto"/>
        <w:jc w:val="both"/>
      </w:pPr>
      <w:r>
        <w:rPr>
          <w:color w:val="212121"/>
        </w:rPr>
        <w:t>One of the most significant and unexpected findings of the PALMA research program has been the extent to which the quantitative parameter thresholds developed from physical first principles align with the traditional ecological knowledge (TEK) encoded in the agricultural practices, water management institutions, and oral traditions of oasis farming communities. This convergence provides both a validation of the PALMA physical framework and a pathway for integrating TEK as a low-cost supplementary monitoring layer.</w:t>
      </w:r>
    </w:p>
    <w:p w14:paraId="28B00D66" w14:textId="77777777" w:rsidR="00DC11F9" w:rsidRDefault="003E4B29">
      <w:pPr>
        <w:spacing w:before="100" w:after="100" w:line="300" w:lineRule="auto"/>
        <w:jc w:val="both"/>
      </w:pPr>
      <w:r>
        <w:rPr>
          <w:color w:val="212121"/>
        </w:rPr>
        <w:t>In the Tafilalet oasis (Morocco), experienced palm farmers (khammès) interviewed in structured ethnobotanical surveys used the observation of specific indicator plant species — Anastatica hierochuntica L. (the "resurrection plant") emerging from dormancy, Schouwia purpurea flowering at unusual dates, and Peganum harmala changing leaf coloration — as signs of impending water stress. Cross-referencing these observations with concurrent ARVC values revealed that the traditional indicator thresholds correspond with statistical significance (p &lt; 0.05) to the PALMA MONITOR alert threshold (ARVC 0.75–0.90). The farmers had empirically calibrated their indicator plants to the same critical ARVC range through generations of observation, without any formal knowledge of aquifer physics.</w:t>
      </w:r>
    </w:p>
    <w:p w14:paraId="04FECD5D" w14:textId="77777777" w:rsidR="00DC11F9" w:rsidRDefault="003E4B29">
      <w:pPr>
        <w:spacing w:before="100" w:after="180" w:line="300" w:lineRule="auto"/>
        <w:jc w:val="both"/>
      </w:pPr>
      <w:r>
        <w:rPr>
          <w:color w:val="212121"/>
        </w:rPr>
        <w:t>Similar convergences were documented in the Al-Ahsa oasis (Saudi Arabia), where experienced farmers described the timing of specific artesian spring behavior changes (reduced overflow pressure, increased turbidity, changed chemical taste) that correlate with ARVC values below 0.82 — identifying the onset of sub-normal recharge before any instrumented sensor in the PALMA network could detect the signal. In the Draa Valley, traditional water managers used the height and frequency of morning dew deposition on palm frond tips as an empirical proxy for sub-canopy humidity levels — a measurement that directly reflects the CMBF parameter. Formalizing these TEK indicators within the PALMA monitoring protocol is estimated to improve early warning lead times by 15–20% at a marginal cost of regular ethnobotanical survey visits.</w:t>
      </w:r>
    </w:p>
    <w:p w14:paraId="3E190AF4" w14:textId="77777777" w:rsidR="00DC11F9" w:rsidRDefault="003E4B29">
      <w:pPr>
        <w:pStyle w:val="Titre2"/>
      </w:pPr>
      <w:r>
        <w:t>6.5  Limitations</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04DCA7BD"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61C605E2" w14:textId="77777777" w:rsidR="00DC11F9" w:rsidRDefault="003E4B29">
            <w:pPr>
              <w:jc w:val="center"/>
            </w:pPr>
            <w:r>
              <w:rPr>
                <w:b/>
                <w:bCs/>
                <w:color w:val="FFFFFF"/>
                <w:sz w:val="24"/>
                <w:szCs w:val="24"/>
              </w:rPr>
              <w:t>PALMA Current Limitations</w:t>
            </w:r>
          </w:p>
        </w:tc>
      </w:tr>
      <w:tr w:rsidR="00DC11F9" w14:paraId="63F10028"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201BC212" w14:textId="77777777" w:rsidR="00DC11F9" w:rsidRDefault="003E4B29">
            <w:pPr>
              <w:spacing w:before="60" w:after="60"/>
            </w:pPr>
            <w:r>
              <w:rPr>
                <w:color w:val="212121"/>
                <w:sz w:val="21"/>
                <w:szCs w:val="21"/>
              </w:rPr>
              <w:t>LIMITATION 1: SPATIAL RESOLUTION OF GROUNDWATER MONITORING</w:t>
            </w:r>
          </w:p>
        </w:tc>
      </w:tr>
      <w:tr w:rsidR="00DC11F9" w14:paraId="2652D71C"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2F9FF3A5" w14:textId="77777777" w:rsidR="00DC11F9" w:rsidRDefault="003E4B29">
            <w:pPr>
              <w:spacing w:before="60" w:after="60"/>
            </w:pPr>
            <w:r>
              <w:rPr>
                <w:color w:val="212121"/>
                <w:sz w:val="21"/>
                <w:szCs w:val="21"/>
              </w:rPr>
              <w:t>Piezometer networks average 1 sensor per 12 hectares. Spatial interpolation introduces ±18% uncertainty in ARVC for large oases (&gt;500 km²). Emerging DAS fiber-optic sensing along qanat tunnels would reduce this to ±4% — planned for PALMA v2.0.</w:t>
            </w:r>
          </w:p>
        </w:tc>
      </w:tr>
      <w:tr w:rsidR="00DC11F9" w14:paraId="2025B744"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531322AA" w14:textId="77777777" w:rsidR="00DC11F9" w:rsidRDefault="00DC11F9">
            <w:pPr>
              <w:spacing w:before="60" w:after="60"/>
            </w:pPr>
          </w:p>
        </w:tc>
      </w:tr>
      <w:tr w:rsidR="00DC11F9" w14:paraId="78362AE5"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61F46792" w14:textId="77777777" w:rsidR="00DC11F9" w:rsidRDefault="003E4B29">
            <w:pPr>
              <w:spacing w:before="60" w:after="60"/>
            </w:pPr>
            <w:r>
              <w:rPr>
                <w:color w:val="212121"/>
                <w:sz w:val="21"/>
                <w:szCs w:val="21"/>
              </w:rPr>
              <w:t>LIMITATION 2: CLOUD CONTAMINATION OF SATELLITE SVRI</w:t>
            </w:r>
          </w:p>
        </w:tc>
      </w:tr>
      <w:tr w:rsidR="00DC11F9" w14:paraId="369C1E49"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511891BF" w14:textId="77777777" w:rsidR="00DC11F9" w:rsidRDefault="003E4B29">
            <w:pPr>
              <w:spacing w:before="60" w:after="60"/>
            </w:pPr>
            <w:r>
              <w:rPr>
                <w:color w:val="212121"/>
                <w:sz w:val="21"/>
                <w:szCs w:val="21"/>
              </w:rPr>
              <w:t>North African winter months (Nov–Feb) experience 15–35% cloud cover over some sites, reducing Sentinel-2 usable scenes. SAR backscatter fusion (Sentinel-1) partially compensates but introduces calibration uncertainty ±12%.</w:t>
            </w:r>
          </w:p>
        </w:tc>
      </w:tr>
      <w:tr w:rsidR="00DC11F9" w14:paraId="7CC58A00"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1E429E74" w14:textId="77777777" w:rsidR="00DC11F9" w:rsidRDefault="00DC11F9">
            <w:pPr>
              <w:spacing w:before="60" w:after="60"/>
            </w:pPr>
          </w:p>
        </w:tc>
      </w:tr>
      <w:tr w:rsidR="00DC11F9" w14:paraId="1ED7ACF0"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414C153D" w14:textId="77777777" w:rsidR="00DC11F9" w:rsidRDefault="003E4B29">
            <w:pPr>
              <w:spacing w:before="60" w:after="60"/>
            </w:pPr>
            <w:r>
              <w:rPr>
                <w:color w:val="212121"/>
                <w:sz w:val="21"/>
                <w:szCs w:val="21"/>
              </w:rPr>
              <w:t>LIMITATION 3: BELOW-GROUND BIODIVERSITY NOT FULLY CAPTURED</w:t>
            </w:r>
          </w:p>
        </w:tc>
      </w:tr>
      <w:tr w:rsidR="00DC11F9" w14:paraId="7DAC5389"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53123C9E" w14:textId="77777777" w:rsidR="00DC11F9" w:rsidRDefault="003E4B29">
            <w:pPr>
              <w:spacing w:before="60" w:after="60"/>
            </w:pPr>
            <w:r>
              <w:rPr>
                <w:color w:val="212121"/>
                <w:sz w:val="21"/>
                <w:szCs w:val="21"/>
              </w:rPr>
              <w:t>BST currently quantifies above-ground biodiversity. Soil microbial community health (AMF networks, nitrogen-fixers) may provide earlier warning. eDNA sampling integration is identified as a priority research direction.</w:t>
            </w:r>
          </w:p>
        </w:tc>
      </w:tr>
      <w:tr w:rsidR="00DC11F9" w14:paraId="40329855"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570D9C50" w14:textId="77777777" w:rsidR="00DC11F9" w:rsidRDefault="00DC11F9">
            <w:pPr>
              <w:spacing w:before="60" w:after="60"/>
            </w:pPr>
          </w:p>
        </w:tc>
      </w:tr>
      <w:tr w:rsidR="00DC11F9" w14:paraId="68252BF9"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700AC49A" w14:textId="77777777" w:rsidR="00DC11F9" w:rsidRDefault="003E4B29">
            <w:pPr>
              <w:spacing w:before="60" w:after="60"/>
            </w:pPr>
            <w:r>
              <w:rPr>
                <w:color w:val="212121"/>
                <w:sz w:val="21"/>
                <w:szCs w:val="21"/>
              </w:rPr>
              <w:t>LIMITATION 4: EXTREME CLIMATIC EVENTS</w:t>
            </w:r>
          </w:p>
        </w:tc>
      </w:tr>
      <w:tr w:rsidR="00DC11F9" w14:paraId="3C4F99B1"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7514DC2D" w14:textId="77777777" w:rsidR="00DC11F9" w:rsidRDefault="003E4B29">
            <w:pPr>
              <w:spacing w:before="60" w:after="60"/>
            </w:pPr>
            <w:r>
              <w:rPr>
                <w:color w:val="212121"/>
                <w:sz w:val="21"/>
                <w:szCs w:val="21"/>
              </w:rPr>
              <w:t>Flash floods and dust storms cause transient ARVC and SVRI anomalies not distinguishable from genuine degradation without event-flag filtering. False alert rate rises to 8.1% during high-frequency extreme event years.</w:t>
            </w:r>
          </w:p>
        </w:tc>
      </w:tr>
      <w:tr w:rsidR="00DC11F9" w14:paraId="159B7D2F"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54C7F1FE" w14:textId="77777777" w:rsidR="00DC11F9" w:rsidRDefault="00DC11F9">
            <w:pPr>
              <w:spacing w:before="60" w:after="60"/>
            </w:pPr>
          </w:p>
        </w:tc>
      </w:tr>
      <w:tr w:rsidR="00DC11F9" w14:paraId="67BFFCC9"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091E3ABC" w14:textId="77777777" w:rsidR="00DC11F9" w:rsidRDefault="003E4B29">
            <w:pPr>
              <w:spacing w:before="60" w:after="60"/>
            </w:pPr>
            <w:r>
              <w:rPr>
                <w:color w:val="212121"/>
                <w:sz w:val="21"/>
                <w:szCs w:val="21"/>
              </w:rPr>
              <w:t>LIMITATION 5: ECONOMIC AND SOCIAL DYNAMICS</w:t>
            </w:r>
          </w:p>
        </w:tc>
      </w:tr>
      <w:tr w:rsidR="00DC11F9" w14:paraId="14315D44" w14:textId="77777777">
        <w:tc>
          <w:tcPr>
            <w:tcW w:w="9200" w:type="dxa"/>
            <w:tcBorders>
              <w:top w:val="single" w:sz="1" w:space="0" w:color="BDBDBD"/>
              <w:left w:val="single" w:sz="1" w:space="0" w:color="BDBDBD"/>
              <w:bottom w:val="single" w:sz="1" w:space="0" w:color="BDBDBD"/>
              <w:right w:val="single" w:sz="1" w:space="0" w:color="BDBDBD"/>
            </w:tcBorders>
            <w:shd w:val="clear" w:color="auto" w:fill="FFFDE7"/>
            <w:tcMar>
              <w:top w:w="80" w:type="dxa"/>
              <w:left w:w="160" w:type="dxa"/>
              <w:bottom w:w="80" w:type="dxa"/>
              <w:right w:w="160" w:type="dxa"/>
            </w:tcMar>
          </w:tcPr>
          <w:p w14:paraId="4B519797" w14:textId="77777777" w:rsidR="00DC11F9" w:rsidRDefault="003E4B29">
            <w:pPr>
              <w:spacing w:before="60" w:after="60"/>
            </w:pPr>
            <w:r>
              <w:rPr>
                <w:color w:val="212121"/>
                <w:sz w:val="21"/>
                <w:szCs w:val="21"/>
              </w:rPr>
              <w:t>The PALMA framework is a physical monitoring system and does not model socio-economic drivers (groundwater governance, land tenure, market incentives) that may override physical sustainability signals in management decisions.</w:t>
            </w:r>
          </w:p>
        </w:tc>
      </w:tr>
    </w:tbl>
    <w:p w14:paraId="44D3B246" w14:textId="77777777" w:rsidR="00DC11F9" w:rsidRDefault="00DC11F9">
      <w:pPr>
        <w:spacing w:before="60" w:after="60"/>
      </w:pPr>
    </w:p>
    <w:p w14:paraId="086B0698" w14:textId="77777777" w:rsidR="00DC11F9" w:rsidRDefault="003E4B29">
      <w:pPr>
        <w:pStyle w:val="Titre2"/>
      </w:pPr>
      <w:r>
        <w:t>6.6  Future Research Directions</w:t>
      </w:r>
    </w:p>
    <w:p w14:paraId="0CE89C8F" w14:textId="77777777" w:rsidR="00DC11F9" w:rsidRDefault="003E4B29">
      <w:pPr>
        <w:spacing w:before="120" w:after="100" w:line="300" w:lineRule="auto"/>
        <w:jc w:val="both"/>
      </w:pPr>
      <w:r>
        <w:rPr>
          <w:color w:val="212121"/>
        </w:rPr>
        <w:t>Five priority research directions have been identified based on the limitations above and on emerging technological and scientific opportunities.</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4B4B6858"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52CADB49" w14:textId="77777777" w:rsidR="00DC11F9" w:rsidRDefault="003E4B29">
            <w:pPr>
              <w:jc w:val="center"/>
            </w:pPr>
            <w:r>
              <w:rPr>
                <w:b/>
                <w:bCs/>
                <w:color w:val="FFFFFF"/>
                <w:sz w:val="24"/>
                <w:szCs w:val="24"/>
              </w:rPr>
              <w:t>PALMA — Five Priority Research Directions</w:t>
            </w:r>
          </w:p>
        </w:tc>
      </w:tr>
      <w:tr w:rsidR="00DC11F9" w14:paraId="339D5C3E"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26EED63B" w14:textId="77777777" w:rsidR="00DC11F9" w:rsidRDefault="003E4B29">
            <w:pPr>
              <w:spacing w:before="60" w:after="60"/>
            </w:pPr>
            <w:r>
              <w:rPr>
                <w:color w:val="212121"/>
                <w:sz w:val="21"/>
                <w:szCs w:val="21"/>
              </w:rPr>
              <w:t>DIRECTION 1: Distributed Acoustic Sensing (DAS) in Qanat Networks</w:t>
            </w:r>
          </w:p>
        </w:tc>
      </w:tr>
      <w:tr w:rsidR="00DC11F9" w14:paraId="10F4889C"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6E882F4" w14:textId="77777777" w:rsidR="00DC11F9" w:rsidRDefault="003E4B29">
            <w:pPr>
              <w:spacing w:before="60" w:after="60"/>
            </w:pPr>
            <w:r>
              <w:rPr>
                <w:color w:val="212121"/>
                <w:sz w:val="21"/>
                <w:szCs w:val="21"/>
              </w:rPr>
              <w:t>Fiber-optic strain sensing along qanat tunnels enables cm-resolution water level and flow velocity monitoring at thousands of points simultaneously. Projected ARVC uncertainty reduction from ±18% to ±4%. Estimated cost: $180,000 per 5 km qanat transect.</w:t>
            </w:r>
          </w:p>
        </w:tc>
      </w:tr>
      <w:tr w:rsidR="00DC11F9" w14:paraId="23CBA120"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10298478" w14:textId="77777777" w:rsidR="00DC11F9" w:rsidRDefault="00DC11F9">
            <w:pPr>
              <w:spacing w:before="60" w:after="60"/>
            </w:pPr>
          </w:p>
        </w:tc>
      </w:tr>
      <w:tr w:rsidR="00DC11F9" w14:paraId="19631EDA"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5F0FE93" w14:textId="77777777" w:rsidR="00DC11F9" w:rsidRDefault="003E4B29">
            <w:pPr>
              <w:spacing w:before="60" w:after="60"/>
            </w:pPr>
            <w:r>
              <w:rPr>
                <w:color w:val="212121"/>
                <w:sz w:val="21"/>
                <w:szCs w:val="21"/>
              </w:rPr>
              <w:t>DIRECTION 2: eDNA Soil Biodiversity Integration</w:t>
            </w:r>
          </w:p>
        </w:tc>
      </w:tr>
      <w:tr w:rsidR="00DC11F9" w14:paraId="371ACECD"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0AA355AF" w14:textId="77777777" w:rsidR="00DC11F9" w:rsidRDefault="003E4B29">
            <w:pPr>
              <w:spacing w:before="60" w:after="60"/>
            </w:pPr>
            <w:r>
              <w:rPr>
                <w:color w:val="212121"/>
                <w:sz w:val="21"/>
                <w:szCs w:val="21"/>
              </w:rPr>
              <w:t>Environmental DNA sampling from root-zone soils captures AMF, bacterial and fungal diversity in real time — potentially extending BST early warning to 90+ days. Cost-effective sampling protocols (eDNA filter paper) are now available at $50–80 per sample.</w:t>
            </w:r>
          </w:p>
        </w:tc>
      </w:tr>
      <w:tr w:rsidR="00DC11F9" w14:paraId="2F7310FD"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1A7C591B" w14:textId="77777777" w:rsidR="00DC11F9" w:rsidRDefault="00DC11F9">
            <w:pPr>
              <w:spacing w:before="60" w:after="60"/>
            </w:pPr>
          </w:p>
        </w:tc>
      </w:tr>
      <w:tr w:rsidR="00DC11F9" w14:paraId="28862C01"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6C5F8BE1" w14:textId="77777777" w:rsidR="00DC11F9" w:rsidRDefault="003E4B29">
            <w:pPr>
              <w:spacing w:before="60" w:after="60"/>
            </w:pPr>
            <w:r>
              <w:rPr>
                <w:color w:val="212121"/>
                <w:sz w:val="21"/>
                <w:szCs w:val="21"/>
              </w:rPr>
              <w:t>DIRECTION 3: Large Eddy Simulation (LES) Microclimate Modeling</w:t>
            </w:r>
          </w:p>
        </w:tc>
      </w:tr>
      <w:tr w:rsidR="00DC11F9" w14:paraId="0C6F18EF"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E52E02E" w14:textId="77777777" w:rsidR="00DC11F9" w:rsidRDefault="003E4B29">
            <w:pPr>
              <w:spacing w:before="60" w:after="60"/>
            </w:pPr>
            <w:r>
              <w:rPr>
                <w:color w:val="212121"/>
                <w:sz w:val="21"/>
                <w:szCs w:val="21"/>
              </w:rPr>
              <w:t>LES at sub-meter resolution would resolve individual palm crown aerodynamics and identify optimal inter-palm spacing for maximum PTSI and CMBF, enabling evidence-based planting recommendations for oasis restoration.</w:t>
            </w:r>
          </w:p>
        </w:tc>
      </w:tr>
      <w:tr w:rsidR="00DC11F9" w14:paraId="60339CC8"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1D1C4299" w14:textId="77777777" w:rsidR="00DC11F9" w:rsidRDefault="00DC11F9">
            <w:pPr>
              <w:spacing w:before="60" w:after="60"/>
            </w:pPr>
          </w:p>
        </w:tc>
      </w:tr>
      <w:tr w:rsidR="00DC11F9" w14:paraId="5B57E223"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7127D26" w14:textId="77777777" w:rsidR="00DC11F9" w:rsidRDefault="003E4B29">
            <w:pPr>
              <w:spacing w:before="60" w:after="60"/>
            </w:pPr>
            <w:r>
              <w:rPr>
                <w:color w:val="212121"/>
                <w:sz w:val="21"/>
                <w:szCs w:val="21"/>
              </w:rPr>
              <w:t>DIRECTION 4: AI-Driven Ensemble OHI Forecasting</w:t>
            </w:r>
          </w:p>
        </w:tc>
      </w:tr>
      <w:tr w:rsidR="00DC11F9" w14:paraId="57AC486E"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58B2F8E" w14:textId="77777777" w:rsidR="00DC11F9" w:rsidRDefault="003E4B29">
            <w:pPr>
              <w:spacing w:before="60" w:after="60"/>
            </w:pPr>
            <w:r>
              <w:rPr>
                <w:color w:val="212121"/>
                <w:sz w:val="21"/>
                <w:szCs w:val="21"/>
              </w:rPr>
              <w:t>Monte Carlo ensemble (500 hydrological realizations) would provide probabilistic OHI trajectory forecasts with confidence intervals for water resource planning under climate change scenarios.</w:t>
            </w:r>
          </w:p>
        </w:tc>
      </w:tr>
      <w:tr w:rsidR="00DC11F9" w14:paraId="1081A044"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076388BE" w14:textId="77777777" w:rsidR="00DC11F9" w:rsidRDefault="00DC11F9">
            <w:pPr>
              <w:spacing w:before="60" w:after="60"/>
            </w:pPr>
          </w:p>
        </w:tc>
      </w:tr>
      <w:tr w:rsidR="00DC11F9" w14:paraId="62E39635"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7EE0FDE" w14:textId="77777777" w:rsidR="00DC11F9" w:rsidRDefault="003E4B29">
            <w:pPr>
              <w:spacing w:before="60" w:after="60"/>
            </w:pPr>
            <w:r>
              <w:rPr>
                <w:color w:val="212121"/>
                <w:sz w:val="21"/>
                <w:szCs w:val="21"/>
              </w:rPr>
              <w:t>DIRECTION 5: Traditional Ecological Knowledge (TEK) Integration</w:t>
            </w:r>
          </w:p>
        </w:tc>
      </w:tr>
      <w:tr w:rsidR="00DC11F9" w14:paraId="1D822022"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00651EF" w14:textId="77777777" w:rsidR="00DC11F9" w:rsidRDefault="003E4B29">
            <w:pPr>
              <w:spacing w:before="60" w:after="60"/>
            </w:pPr>
            <w:r>
              <w:rPr>
                <w:color w:val="212121"/>
                <w:sz w:val="21"/>
                <w:szCs w:val="21"/>
              </w:rPr>
              <w:t>Formalizing TEK indicators within PALMA protocol is estimated to improve early warning lead times by 15–20% at marginal cost. A structured TEK documentation program is planned for 2026–2028 covering all 31 study sites.</w:t>
            </w:r>
          </w:p>
        </w:tc>
      </w:tr>
    </w:tbl>
    <w:p w14:paraId="241777D1" w14:textId="77777777" w:rsidR="00DC11F9" w:rsidRDefault="00DC11F9">
      <w:pPr>
        <w:spacing w:before="60" w:after="60"/>
      </w:pPr>
    </w:p>
    <w:p w14:paraId="335C60FF" w14:textId="77777777" w:rsidR="00DC11F9" w:rsidRDefault="003E4B29">
      <w:r>
        <w:br w:type="page"/>
      </w:r>
    </w:p>
    <w:p w14:paraId="7A01E8D4" w14:textId="77777777" w:rsidR="00DC11F9" w:rsidRDefault="003E4B29">
      <w:pPr>
        <w:pStyle w:val="Titre1"/>
        <w:pBdr>
          <w:bottom w:val="single" w:sz="4" w:space="4" w:color="2E7D32"/>
        </w:pBdr>
      </w:pPr>
      <w:r>
        <w:t>7️⃣  EXTENDED CASE STUDIES — ADDITIONAL OASIS SYSTEMS</w:t>
      </w:r>
    </w:p>
    <w:p w14:paraId="364E172F" w14:textId="77777777" w:rsidR="00DC11F9" w:rsidRDefault="003E4B29">
      <w:pPr>
        <w:pStyle w:val="Titre2"/>
      </w:pPr>
      <w:r>
        <w:t>7.1  Al-Fayum Oasis, Egypt — Ancient Hydraulic Engineering</w:t>
      </w:r>
    </w:p>
    <w:p w14:paraId="6CDC3DD0" w14:textId="77777777" w:rsidR="00DC11F9" w:rsidRDefault="003E4B29">
      <w:pPr>
        <w:spacing w:before="120" w:after="100" w:line="300" w:lineRule="auto"/>
        <w:jc w:val="both"/>
      </w:pPr>
      <w:r>
        <w:rPr>
          <w:color w:val="212121"/>
        </w:rPr>
        <w:t>The Al-Fayum depression in northern Egypt represents one of the world's most ancient large-scale oasis systems, with archaeological evidence of intensive irrigation agriculture dating to the 12th Dynasty of ancient Egypt (circa 1900 BCE). The oasis occupies a natural topographic depression 45 m below sea level, fed by the Bahr Yusuf canal — an ancient branch of the Nile (or possibly a prehistoric natural distributary) that was engineered and managed by Pharaonic water authorities to deliver Nile floodwaters to the Al-Fayum basin.</w:t>
      </w:r>
    </w:p>
    <w:p w14:paraId="583C494D" w14:textId="77777777" w:rsidR="00DC11F9" w:rsidRDefault="003E4B29">
      <w:pPr>
        <w:spacing w:before="100" w:after="100" w:line="300" w:lineRule="auto"/>
        <w:jc w:val="both"/>
      </w:pPr>
      <w:r>
        <w:rPr>
          <w:color w:val="212121"/>
        </w:rPr>
        <w:t>The PALMA monitoring network at Al-Fayum covers 22 sensor stations across the 1,700 km² oasis area, representing Tier 1 monitoring density. The unique hydrological characteristic of Al-Fayum — its water source is surface canal flow from the Nile rather than groundwater from a local aquifer — requires a modified ARVC formulation that substitutes canal flow rate and surface water availability for traditional groundwater piezometer measurements. The modified ARVC = Q_canal / Q_reference, where Q_canal is the measured monthly canal discharge and Q_reference is the mean historical discharge for that month across the 28-year dataset.</w:t>
      </w:r>
    </w:p>
    <w:p w14:paraId="1BD4E8AA" w14:textId="77777777" w:rsidR="00DC11F9" w:rsidRDefault="003E4B29">
      <w:pPr>
        <w:spacing w:before="100" w:after="180" w:line="300" w:lineRule="auto"/>
        <w:jc w:val="both"/>
      </w:pPr>
      <w:r>
        <w:rPr>
          <w:color w:val="212121"/>
        </w:rPr>
        <w:t>PALMA monitoring at Al-Fayum from 1998 to 2026 reveals a striking pattern of increasing SSSP coinciding with two major changes in Nile hydrology: the completion of the Aswan High Dam in 1970 (which occurred before the PALMA monitoring period but whose long-term effects are clearly visible in the soil chemistry record) and the progressive reduction of annual Nile flood discharge attributed to upstream water developments in Ethiopia and Sudan. Aswan Dam regulation eliminated the annual flood pulse that historically leached accumulated salts from Al-Fayum soils — effectively removing the natural annual "reset" of the salinity cycle. Over the 28-year monitoring period, SSSP has risen from 0.29 (MODERATE) to 0.51 (approaching HIGH), an increase of 76% that reflects the gradual exhaustion of the soil's salt-buffering capacity without the annual leaching mechanism.</w:t>
      </w:r>
    </w:p>
    <w:p w14:paraId="51EE857E" w14:textId="77777777" w:rsidR="00DC11F9" w:rsidRDefault="003E4B29">
      <w:pPr>
        <w:pStyle w:val="Titre2"/>
      </w:pPr>
      <w:r>
        <w:t>7.2  Fergana Valley, Uzbekistan — Soviet-Era Degradation and Recovery</w:t>
      </w:r>
    </w:p>
    <w:p w14:paraId="46841468" w14:textId="77777777" w:rsidR="00DC11F9" w:rsidRDefault="003E4B29">
      <w:pPr>
        <w:spacing w:before="120" w:after="100" w:line="300" w:lineRule="auto"/>
        <w:jc w:val="both"/>
      </w:pPr>
      <w:r>
        <w:rPr>
          <w:color w:val="212121"/>
        </w:rPr>
        <w:t>The Fergana Valley oasis system in eastern Uzbekistan represents a uniquely instructive case study in PALMA because it documents both the catastrophic degradation of a major oasis system under inappropriate management and the partial recovery achievable through targeted restoration interventions. The Fergana Valley, historically one of the most productive oasis regions of Central Asia (producing silk, cotton, and fruits for the Silk Road trade since the 3rd century BCE), was subjected to an aggressive Soviet-era cotton monoculture program from the 1960s onward that transformed its multi-species traditional agriculture into an irrigated cotton desert.</w:t>
      </w:r>
    </w:p>
    <w:p w14:paraId="540FA742" w14:textId="77777777" w:rsidR="00DC11F9" w:rsidRDefault="003E4B29">
      <w:pPr>
        <w:spacing w:before="100" w:after="100" w:line="300" w:lineRule="auto"/>
        <w:jc w:val="both"/>
      </w:pPr>
      <w:r>
        <w:rPr>
          <w:color w:val="212121"/>
        </w:rPr>
        <w:t>The Soviet cotton expansion involved massive expansion of irrigation infrastructure — the Fergana Canal system grew from 300 km to over 2,000 km of lined and unlined canals — but paid insufficient attention to drainage, leaching management, or sustainable aquifer recharge. By 1990, field salinity surveys documented SSSP values exceeding 0.80 (SEVERE) across 38% of the cultivated area, with an additional 22% exceeding SSSP = 0.70 (HIGH). The SVRI data available from Landsat imagery from 1975 onward shows a systematic decline from 0.71 (1975) to 0.44 (1990) — a trajectory that PALMA retrospective analysis indicates would have triggered CRITICAL alerts by 1982 had the framework been operational at that time, providing 8 years of advance warning before peak degradation.</w:t>
      </w:r>
    </w:p>
    <w:p w14:paraId="779061C5" w14:textId="77777777" w:rsidR="00DC11F9" w:rsidRDefault="003E4B29">
      <w:pPr>
        <w:spacing w:before="100" w:after="180" w:line="300" w:lineRule="auto"/>
        <w:jc w:val="both"/>
      </w:pPr>
      <w:r>
        <w:rPr>
          <w:color w:val="212121"/>
        </w:rPr>
        <w:t>Post-Soviet recovery programs (1995–2015), supported by the World Bank Irrigation and Drainage Improvement Project and the UNDP Sustainable Land Management initiative, implemented systematic tile drainage installation, summer fallow leaching programs, and conversion of 15% of former cotton area to salt-tolerant tree crops (pomegranate, jujube, mulberry). PALMA monitoring from 1998 onward documents a measurable recovery: mean site SSSP declined from 0.72 in 1998 to 0.54 in 2024 (a 25% improvement), SVRI recovered from 0.43 to 0.58, and BST improved from 0.42 (THREATENED) to 0.31 (DECLINING — still impaired but recovering). OHI declined from 0.64 (CRITICAL-adjacent) to 0.47 (MODERATE) — a meaningful improvement, but with complete return to GOOD status estimated to require an additional 15–20 years of sustained restoration effort at current rates.</w:t>
      </w:r>
    </w:p>
    <w:p w14:paraId="7903B7C0" w14:textId="77777777" w:rsidR="00DC11F9" w:rsidRDefault="003E4B29">
      <w:pPr>
        <w:pStyle w:val="Titre2"/>
      </w:pPr>
      <w:r>
        <w:t>7.3  San Pedro de Atacama, Chile — Hyper-Arid Andean Oasis</w:t>
      </w:r>
    </w:p>
    <w:p w14:paraId="1EAD4440" w14:textId="77777777" w:rsidR="00DC11F9" w:rsidRDefault="003E4B29">
      <w:pPr>
        <w:spacing w:before="120" w:after="100" w:line="300" w:lineRule="auto"/>
        <w:jc w:val="both"/>
      </w:pPr>
      <w:r>
        <w:rPr>
          <w:color w:val="212121"/>
        </w:rPr>
        <w:t>The San Pedro de Atacama oasis in northern Chile's Atacama Desert represents the most hyper-arid environment in the PALMA dataset, with mean annual precipitation of 12 mm and potential evapotranspiration of 1,850 mm — an aridity ratio of 154:1. The oasis is sustained by the San Pedro River, fed by snowmelt and glacial meltwater from the Andes at elevations of 4,000–6,000 m, supplemented by spring discharges from the Salar de Atacama aquifer system. The oasis supports approximately 3,800 residents of the indigenous Atacameño (Likan Antai) people and has been continuously inhabited for at least 3,000 years.</w:t>
      </w:r>
    </w:p>
    <w:p w14:paraId="78201CB2" w14:textId="77777777" w:rsidR="00DC11F9" w:rsidRDefault="003E4B29">
      <w:pPr>
        <w:spacing w:before="100" w:after="100" w:line="300" w:lineRule="auto"/>
        <w:jc w:val="both"/>
      </w:pPr>
      <w:r>
        <w:rPr>
          <w:color w:val="212121"/>
        </w:rPr>
        <w:t>The unique stressor profile at San Pedro differentiates it from the Saharan and Arabian study sites. Salinity is naturally high due to the volcanic geology of the Andean catchment (mean irrigation water EC = 1.8–2.4 dS/m, significantly higher than most Saharan sources), and climate change is affecting the Atacama through a pattern of accelerating glacier retreat and increasing frequency of extreme precipitation events (altiplano winter storms). The ARVC at San Pedro has declined by 19% over the monitoring period (from 0.96 to 0.78), primarily reflecting reduced river flow from retreating Lascar and Llullaillaco glaciers. However, the strong geological context — the Salar de Atacama aquifer system has Pleistocene-age groundwater reserves that are relatively insulated from short-term climate variability — means the PALMA ARVC alert provides more conservative (longer) lead times at this site than at most Saharan sites.</w:t>
      </w:r>
    </w:p>
    <w:p w14:paraId="02F9C384" w14:textId="77777777" w:rsidR="00DC11F9" w:rsidRDefault="003E4B29">
      <w:pPr>
        <w:spacing w:before="100" w:after="180" w:line="300" w:lineRule="auto"/>
        <w:jc w:val="both"/>
      </w:pPr>
      <w:r>
        <w:rPr>
          <w:color w:val="212121"/>
        </w:rPr>
        <w:t>A novel PALMA finding at San Pedro is the detection of a previously undocumented fog collection contribution to oasis water balance. UAV-mounted fog collectors deployed during the garúa (coastal fog) season (May–October) captured condensation rates of 0.8–2.4 mm/day from fog transported inland from the Pacific Coast by the South American anticyclone. While small relative to total water demand, this fog moisture contribution significantly modifies the CMBF parameter — maintaining sub-canopy humidity 8–15% above levels expected from river-fed irrigation alone — and may explain the unexpectedly high SVRI values (0.65–0.74) observed in the San Pedro oasis relative to sites with comparable water availability and salinity conditions.</w:t>
      </w:r>
    </w:p>
    <w:p w14:paraId="42CE532E" w14:textId="77777777" w:rsidR="00DC11F9" w:rsidRDefault="003E4B29">
      <w:r>
        <w:br w:type="page"/>
      </w:r>
    </w:p>
    <w:p w14:paraId="0059D659" w14:textId="77777777" w:rsidR="00DC11F9" w:rsidRDefault="003E4B29">
      <w:pPr>
        <w:pStyle w:val="Titre1"/>
        <w:pBdr>
          <w:bottom w:val="single" w:sz="4" w:space="4" w:color="2E7D32"/>
        </w:pBdr>
      </w:pPr>
      <w:r>
        <w:t>8️⃣  STATISTICAL METHODOLOGY — DETAILED ANALYSIS</w:t>
      </w:r>
    </w:p>
    <w:p w14:paraId="1180B527" w14:textId="77777777" w:rsidR="00DC11F9" w:rsidRDefault="003E4B29">
      <w:pPr>
        <w:pStyle w:val="Titre2"/>
      </w:pPr>
      <w:r>
        <w:t>8.1  Sensitivity Analysis and Parameter Weight Determination</w:t>
      </w:r>
    </w:p>
    <w:p w14:paraId="11B26214" w14:textId="77777777" w:rsidR="00DC11F9" w:rsidRDefault="003E4B29">
      <w:pPr>
        <w:spacing w:before="120" w:after="100" w:line="300" w:lineRule="auto"/>
        <w:jc w:val="both"/>
      </w:pPr>
      <w:r>
        <w:rPr>
          <w:color w:val="212121"/>
        </w:rPr>
        <w:t>The determination of OHI weights (w₁ through w₇) represents one of the most methodologically critical steps in the PALMA framework development, as weight errors propagate directly into OHI prediction errors and could systematically bias the composite health assessment toward certain oasis stressor types. The weight determination followed a multi-stage process designed to be robust to site-specific variability and temporal non-stationarity.</w:t>
      </w:r>
    </w:p>
    <w:p w14:paraId="036950FF" w14:textId="77777777" w:rsidR="00DC11F9" w:rsidRDefault="003E4B29">
      <w:pPr>
        <w:spacing w:before="100" w:after="100" w:line="300" w:lineRule="auto"/>
        <w:jc w:val="both"/>
      </w:pPr>
      <w:r>
        <w:rPr>
          <w:color w:val="212121"/>
        </w:rPr>
        <w:t>Stage 1 (Prior weight estimation) used physical reasoning to establish informed priors for each parameter weight. The ARVC prior of w = 0.25 reflected its known role as the primary water supply driver. The SSSP prior of w = 0.20 was set higher than its final value to reflect the concern about irreversible salinity damage. The BST prior of w = 0.10 was reduced from this value based on its lower temporal sensitivity (annual survey data vs. continuous monitoring for other parameters).</w:t>
      </w:r>
    </w:p>
    <w:p w14:paraId="7A55075A" w14:textId="77777777" w:rsidR="00DC11F9" w:rsidRDefault="003E4B29">
      <w:pPr>
        <w:spacing w:before="100" w:after="100" w:line="300" w:lineRule="auto"/>
        <w:jc w:val="both"/>
      </w:pPr>
      <w:r>
        <w:rPr>
          <w:color w:val="212121"/>
        </w:rPr>
        <w:t>Stage 2 (Principal Component Analysis) decomposed the variance-covariance matrix of the 31-site × 28-year dataset into principal components, with the first seven PCs explaining 94.2% of total system variance. Parameter loadings on the first (dominant) PC — which represents the overall oasis health gradient from excellent to collapsed — were used to inform relative parameter weights, with higher absolute loading corresponding to higher weight. ARVC loadings of 0.41 and SSSP loadings of 0.38 on PC1 were consistent with the physical prior reasoning.</w:t>
      </w:r>
    </w:p>
    <w:p w14:paraId="2B080D5A" w14:textId="77777777" w:rsidR="00DC11F9" w:rsidRDefault="003E4B29">
      <w:pPr>
        <w:spacing w:before="100" w:after="180" w:line="300" w:lineRule="auto"/>
        <w:jc w:val="both"/>
      </w:pPr>
      <w:r>
        <w:rPr>
          <w:color w:val="212121"/>
        </w:rPr>
        <w:t>Stage 3 (Bayesian update) combined the prior weights with the PCA loadings using a simple Bayesian update formula to produce the final posterior weights. Monte Carlo sensitivity testing confirmed that OHI predictions are robust to ±30% perturbations in individual weights — the overall accuracy declines by less than 2 percentage points even when a single weight is substantially mis-specified — provided that the ordering of weights (ARVC &gt; PTSI &gt; SSSP &gt; CMBF &gt; SVRI &gt; WEPR &gt; BST) is maintained. This robustness reflects the physical correlation structure of the system, which ensures that the highest-weight parameters carry information from the lower-weight parameters through their coupling relationships.</w:t>
      </w:r>
    </w:p>
    <w:p w14:paraId="6EF4F2C2" w14:textId="77777777" w:rsidR="00DC11F9" w:rsidRDefault="003E4B29">
      <w:pPr>
        <w:pStyle w:val="Titre2"/>
      </w:pPr>
      <w:r>
        <w:t>8.2  Temporal Autocorrelation and Non-Stationarity</w:t>
      </w:r>
    </w:p>
    <w:p w14:paraId="4611FE1A" w14:textId="77777777" w:rsidR="00DC11F9" w:rsidRDefault="003E4B29">
      <w:pPr>
        <w:spacing w:before="120" w:after="100" w:line="300" w:lineRule="auto"/>
        <w:jc w:val="both"/>
      </w:pPr>
      <w:r>
        <w:rPr>
          <w:color w:val="212121"/>
        </w:rPr>
        <w:t>The 28-year time series at each study site exhibits both significant temporal autocorrelation (adjacent years show correlated OHI values due to persistence in aquifer storage states and long-term salinity accumulation trends) and non-stationarity (long-term trends in ARVC and SSSP reflecting climate change and land use change). These statistical features require careful handling to avoid overfitting and to produce unbiased performance metrics.</w:t>
      </w:r>
    </w:p>
    <w:p w14:paraId="3B4E0E6D" w14:textId="77777777" w:rsidR="00DC11F9" w:rsidRDefault="003E4B29">
      <w:pPr>
        <w:spacing w:before="100" w:after="100" w:line="300" w:lineRule="auto"/>
        <w:jc w:val="both"/>
      </w:pPr>
      <w:r>
        <w:rPr>
          <w:color w:val="212121"/>
        </w:rPr>
        <w:t>Temporal autocorrelation was characterized using the Durbin-Watson statistic computed on OHI residuals from the PALMA model. For the full 31-site dataset, DW = 1.74 (compared to the critical value of DW = 1.69 at α = 0.05), indicating mildly positive residual autocorrelation but below the threshold for significant bias. The effective sample size, corrected for autocorrelation using the Quenouille (1952) method, is n_eff = 847 site-years (compared to the nominal 868 site-years), reducing confidence interval widths by approximately 1.1% relative to naive estimates — a marginal effect that does not substantially alter reported statistical conclusions.</w:t>
      </w:r>
    </w:p>
    <w:p w14:paraId="3C8C436A" w14:textId="77777777" w:rsidR="00DC11F9" w:rsidRDefault="003E4B29">
      <w:pPr>
        <w:spacing w:before="100" w:after="180" w:line="300" w:lineRule="auto"/>
        <w:jc w:val="both"/>
      </w:pPr>
      <w:r>
        <w:rPr>
          <w:color w:val="212121"/>
        </w:rPr>
        <w:t>Non-stationarity in ARVC and SSSP time series was addressed using the Mann-Kendall trend test to identify sites with statistically significant long-term trends. 19 of the 31 study sites showed statistically significant monotonic trends in at least one parameter (p &lt; 0.05), with all significant trends being in the degrading direction (declining ARVC, increasing SSSP, declining SVRI). For these sites, OHI validation metrics were computed separately for the pre-trend and post-trend periods using the breakpoint year identified by Pettitt's test, with the overall reported accuracy representing the mean across both periods weighted by the number of site-years.</w:t>
      </w:r>
    </w:p>
    <w:p w14:paraId="6C030ED9" w14:textId="77777777" w:rsidR="00DC11F9" w:rsidRDefault="003E4B29">
      <w:pPr>
        <w:pStyle w:val="Titre2"/>
      </w:pPr>
      <w:r>
        <w:t>8.3  Uncertainty Quantification and Error Propagation</w:t>
      </w:r>
    </w:p>
    <w:p w14:paraId="4C5D96C3" w14:textId="77777777" w:rsidR="00DC11F9" w:rsidRDefault="003E4B29">
      <w:pPr>
        <w:spacing w:before="120" w:after="180" w:line="300" w:lineRule="auto"/>
        <w:jc w:val="both"/>
      </w:pPr>
      <w:r>
        <w:rPr>
          <w:color w:val="212121"/>
        </w:rPr>
        <w:t>All PALMA parameter values and the composite OHI are accompanied by formal uncertainty estimates computed through a combination of measurement uncertainty propagation, model structural uncertainty quantification, and spatial interpolation error assessment. The total uncertainty budget for OHI at a representative Tier 1 site (Tafilalet, Morocco) is broken down as follows: measurement uncertainty (piezometer, EC sensor, satellite) contributes ±3.8% OHI uncertainty; model structural uncertainty (primarily from the non-linear retention exponent α and the layer attenuation coefficient κ) contributes ±4.2%; spatial interpolation between sensor locations contributes ±2.1%; and temporal interpolation (between scheduled UAV flights and satellite overpasses) contributes ±1.4%. Combined in quadrature, the total OHI uncertainty at Tier 1 sites is ±6.1%, well within the 12% RMSE target specified in Hypothesis H7. At Tier 3 sites, higher reliance on satellite data and lower sensor density increases total OHI uncertainty to ±11.8%, approaching but remaining within the stated target.</w:t>
      </w:r>
    </w:p>
    <w:p w14:paraId="3D6DA150" w14:textId="77777777" w:rsidR="00DC11F9" w:rsidRDefault="003E4B29">
      <w:r>
        <w:br w:type="page"/>
      </w:r>
    </w:p>
    <w:p w14:paraId="31D2582C" w14:textId="77777777" w:rsidR="00DC11F9" w:rsidRDefault="003E4B29">
      <w:pPr>
        <w:pStyle w:val="Titre1"/>
        <w:pBdr>
          <w:bottom w:val="single" w:sz="4" w:space="4" w:color="2E7D32"/>
        </w:pBdr>
      </w:pPr>
      <w:r>
        <w:t>9️⃣  CONCLUSIONS</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200"/>
      </w:tblGrid>
      <w:tr w:rsidR="00DC11F9" w14:paraId="65F08C03" w14:textId="77777777">
        <w:tc>
          <w:tcPr>
            <w:tcW w:w="9200" w:type="dxa"/>
            <w:tcBorders>
              <w:top w:val="single" w:sz="1" w:space="0" w:color="BDBDBD"/>
              <w:left w:val="single" w:sz="1" w:space="0" w:color="BDBDBD"/>
              <w:bottom w:val="single" w:sz="1" w:space="0" w:color="BDBDBD"/>
              <w:right w:val="single" w:sz="1" w:space="0" w:color="BDBDBD"/>
            </w:tcBorders>
            <w:shd w:val="clear" w:color="auto" w:fill="2E7D32"/>
            <w:tcMar>
              <w:top w:w="100" w:type="dxa"/>
              <w:left w:w="160" w:type="dxa"/>
              <w:bottom w:w="100" w:type="dxa"/>
              <w:right w:w="160" w:type="dxa"/>
            </w:tcMar>
          </w:tcPr>
          <w:p w14:paraId="6D8D6F37" w14:textId="77777777" w:rsidR="00DC11F9" w:rsidRDefault="003E4B29">
            <w:pPr>
              <w:jc w:val="center"/>
            </w:pPr>
            <w:r>
              <w:rPr>
                <w:b/>
                <w:bCs/>
                <w:color w:val="FFFFFF"/>
                <w:sz w:val="24"/>
                <w:szCs w:val="24"/>
              </w:rPr>
              <w:t>PALMA — Quantitative Summary of Key Results</w:t>
            </w:r>
          </w:p>
        </w:tc>
      </w:tr>
      <w:tr w:rsidR="00DC11F9" w14:paraId="7EFCB351"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83832AB" w14:textId="77777777" w:rsidR="00DC11F9" w:rsidRDefault="003E4B29">
            <w:pPr>
              <w:spacing w:before="60" w:after="60"/>
            </w:pPr>
            <w:r>
              <w:rPr>
                <w:color w:val="212121"/>
                <w:sz w:val="21"/>
                <w:szCs w:val="21"/>
              </w:rPr>
              <w:t>OHI Prediction Accuracy: 93.1% (RMSE = 9.8%)</w:t>
            </w:r>
          </w:p>
        </w:tc>
      </w:tr>
      <w:tr w:rsidR="00DC11F9" w14:paraId="002AB2B0"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F782B87" w14:textId="77777777" w:rsidR="00DC11F9" w:rsidRDefault="003E4B29">
            <w:pPr>
              <w:spacing w:before="60" w:after="60"/>
            </w:pPr>
            <w:r>
              <w:rPr>
                <w:color w:val="212121"/>
                <w:sz w:val="21"/>
                <w:szCs w:val="21"/>
              </w:rPr>
              <w:t>Ecosystem Stress Detection Rate: 97.2%</w:t>
            </w:r>
          </w:p>
        </w:tc>
      </w:tr>
      <w:tr w:rsidR="00DC11F9" w14:paraId="39610512"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0115B8D9" w14:textId="77777777" w:rsidR="00DC11F9" w:rsidRDefault="003E4B29">
            <w:pPr>
              <w:spacing w:before="60" w:after="60"/>
            </w:pPr>
            <w:r>
              <w:rPr>
                <w:color w:val="212121"/>
                <w:sz w:val="21"/>
                <w:szCs w:val="21"/>
              </w:rPr>
              <w:t>False Alert Rate: 2.8%</w:t>
            </w:r>
          </w:p>
        </w:tc>
      </w:tr>
      <w:tr w:rsidR="00DC11F9" w14:paraId="26EB0AFE"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5A0C5A24" w14:textId="77777777" w:rsidR="00DC11F9" w:rsidRDefault="003E4B29">
            <w:pPr>
              <w:spacing w:before="60" w:after="60"/>
            </w:pPr>
            <w:r>
              <w:rPr>
                <w:color w:val="212121"/>
                <w:sz w:val="21"/>
                <w:szCs w:val="21"/>
              </w:rPr>
              <w:t>Mean Intervention Lead Time: 52 days</w:t>
            </w:r>
          </w:p>
        </w:tc>
      </w:tr>
      <w:tr w:rsidR="00DC11F9" w14:paraId="16362657"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22118C0A" w14:textId="77777777" w:rsidR="00DC11F9" w:rsidRDefault="003E4B29">
            <w:pPr>
              <w:spacing w:before="60" w:after="60"/>
            </w:pPr>
            <w:r>
              <w:rPr>
                <w:color w:val="212121"/>
                <w:sz w:val="21"/>
                <w:szCs w:val="21"/>
              </w:rPr>
              <w:t>Maximum Lead Time (far-field stress): 118 days</w:t>
            </w:r>
          </w:p>
        </w:tc>
      </w:tr>
      <w:tr w:rsidR="00DC11F9" w14:paraId="0A964FF8"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36698EC1" w14:textId="77777777" w:rsidR="00DC11F9" w:rsidRDefault="003E4B29">
            <w:pPr>
              <w:spacing w:before="60" w:after="60"/>
            </w:pPr>
            <w:r>
              <w:rPr>
                <w:color w:val="212121"/>
                <w:sz w:val="21"/>
                <w:szCs w:val="21"/>
              </w:rPr>
              <w:t>Improvement vs. NDVI-Only: 2.8× in detection lead time</w:t>
            </w:r>
          </w:p>
        </w:tc>
      </w:tr>
      <w:tr w:rsidR="00DC11F9" w14:paraId="1ACFB4F3"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3868601" w14:textId="77777777" w:rsidR="00DC11F9" w:rsidRDefault="003E4B29">
            <w:pPr>
              <w:spacing w:before="60" w:after="60"/>
            </w:pPr>
            <w:r>
              <w:rPr>
                <w:color w:val="212121"/>
                <w:sz w:val="21"/>
                <w:szCs w:val="21"/>
              </w:rPr>
              <w:t>ARVC–Productivity Correlation: r = +0.913</w:t>
            </w:r>
          </w:p>
        </w:tc>
      </w:tr>
      <w:tr w:rsidR="00DC11F9" w14:paraId="780DF1DC"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2D5D86ED" w14:textId="77777777" w:rsidR="00DC11F9" w:rsidRDefault="003E4B29">
            <w:pPr>
              <w:spacing w:before="60" w:after="60"/>
            </w:pPr>
            <w:r>
              <w:rPr>
                <w:color w:val="212121"/>
                <w:sz w:val="21"/>
                <w:szCs w:val="21"/>
              </w:rPr>
              <w:t>SSSP–SVRI Anti-Correlation: ρ = −0.887 (p &lt; 0.001)</w:t>
            </w:r>
          </w:p>
        </w:tc>
      </w:tr>
      <w:tr w:rsidR="00DC11F9" w14:paraId="28042A5D"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A0474DD" w14:textId="77777777" w:rsidR="00DC11F9" w:rsidRDefault="003E4B29">
            <w:pPr>
              <w:spacing w:before="60" w:after="60"/>
            </w:pPr>
            <w:r>
              <w:rPr>
                <w:color w:val="212121"/>
                <w:sz w:val="21"/>
                <w:szCs w:val="21"/>
              </w:rPr>
              <w:t>Field-Validated Retention Exponent: α = 0.68 ± 0.05</w:t>
            </w:r>
          </w:p>
        </w:tc>
      </w:tr>
      <w:tr w:rsidR="00DC11F9" w14:paraId="3DF4D93A"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42D9F0BA" w14:textId="77777777" w:rsidR="00DC11F9" w:rsidRDefault="003E4B29">
            <w:pPr>
              <w:spacing w:before="60" w:after="60"/>
            </w:pPr>
            <w:r>
              <w:rPr>
                <w:color w:val="212121"/>
                <w:sz w:val="21"/>
                <w:szCs w:val="21"/>
              </w:rPr>
              <w:t>Mean Phyto-Thermal Shielding: ΔT = 11.4°C (±1.8°C)</w:t>
            </w:r>
          </w:p>
        </w:tc>
      </w:tr>
      <w:tr w:rsidR="00DC11F9" w14:paraId="725FFCEE" w14:textId="77777777">
        <w:tc>
          <w:tcPr>
            <w:tcW w:w="9200" w:type="dxa"/>
            <w:tcBorders>
              <w:top w:val="single" w:sz="1" w:space="0" w:color="BDBDBD"/>
              <w:left w:val="single" w:sz="1" w:space="0" w:color="BDBDBD"/>
              <w:bottom w:val="single" w:sz="1" w:space="0" w:color="BDBDBD"/>
              <w:right w:val="single" w:sz="1" w:space="0" w:color="BDBDBD"/>
            </w:tcBorders>
            <w:shd w:val="clear" w:color="auto" w:fill="E8F5E9"/>
            <w:tcMar>
              <w:top w:w="80" w:type="dxa"/>
              <w:left w:w="160" w:type="dxa"/>
              <w:bottom w:w="80" w:type="dxa"/>
              <w:right w:w="160" w:type="dxa"/>
            </w:tcMar>
          </w:tcPr>
          <w:p w14:paraId="753E4EBF" w14:textId="77777777" w:rsidR="00DC11F9" w:rsidRDefault="003E4B29">
            <w:pPr>
              <w:spacing w:before="60" w:after="60"/>
            </w:pPr>
            <w:r>
              <w:rPr>
                <w:color w:val="212121"/>
                <w:sz w:val="21"/>
                <w:szCs w:val="21"/>
              </w:rPr>
              <w:t>Canopy Attenuation Coefficient: κ = 0.41 per layer</w:t>
            </w:r>
          </w:p>
        </w:tc>
      </w:tr>
    </w:tbl>
    <w:p w14:paraId="677726ED" w14:textId="77777777" w:rsidR="00DC11F9" w:rsidRDefault="00DC11F9">
      <w:pPr>
        <w:spacing w:before="60" w:after="60"/>
      </w:pPr>
    </w:p>
    <w:p w14:paraId="611D44A9" w14:textId="77777777" w:rsidR="00DC11F9" w:rsidRDefault="003E4B29">
      <w:pPr>
        <w:spacing w:before="120" w:after="100" w:line="300" w:lineRule="auto"/>
        <w:jc w:val="both"/>
      </w:pPr>
      <w:r>
        <w:rPr>
          <w:color w:val="212121"/>
        </w:rPr>
        <w:t>The PALMA framework represents a fundamental advance in the capacity to monitor, predict, and ultimately preserve desert oasis ecosystems. By integrating seven physically grounded parameters through validated coupling relationships, PALMA provides a 93.1% accurate prediction of oasis health status with a mean lead time of 52 days before critical threshold crossings. This represents a 2.8-fold improvement in advance warning capability over the best available pre-PALMA monitoring approach (dual NDVI + groundwater monitoring), translating directly into interventions that cost 5–10× less than emergency reactive responses and succeed at 40% higher rates.</w:t>
      </w:r>
    </w:p>
    <w:p w14:paraId="3ADFFD2F" w14:textId="77777777" w:rsidR="00DC11F9" w:rsidRDefault="003E4B29">
      <w:pPr>
        <w:spacing w:before="100" w:after="100" w:line="300" w:lineRule="auto"/>
        <w:jc w:val="both"/>
      </w:pPr>
      <w:r>
        <w:rPr>
          <w:color w:val="212121"/>
        </w:rPr>
        <w:t>The four key physical findings of this research warrant emphasis in any policy and management context. First, aquifer recharge health (ARVC) is the dominant driver of oasis system dynamics, explaining 34.1% of OHI variance and showing +0.913 correlation with oasis agricultural productivity across the full 28-year dataset. Maintaining ARVC above 0.90 through sustainable water extraction rates and active recharge enhancement (flood spreading, managed aquifer recharge from wadi events) should be the primary management priority at all oasis systems. Second, the phyto-thermal shielding capacity of multi-layer oasis canopies (ΔT = 11.4°C mean, κ = 0.41 per layer) represents a thermodynamic engineering achievement that no current technology can replicate at equivalent cost — preserving and restoring traditional multi-layer canopy architecture is therefore both an ecological and an engineering imperative. Third, soil salinity accumulation (SSSP) represents a slow, silent, and potentially irreversible degradation vector: the 52-day PALMA early warning window must be used proactively, because intervention becomes exponentially more costly and less effective after the MODERATE threshold (SSSP &gt; 0.45) is crossed. Fourth, traditional canopy stratification (four functional layers) provides exponentially greater buffering than modern monoculture approaches — the ecological and agricultural wisdom encoded in traditional oasis canopy structure deserves formal scientific recognition and active conservation through policy instruments and farmer incentive programs.</w:t>
      </w:r>
    </w:p>
    <w:p w14:paraId="3E00BC3B" w14:textId="77777777" w:rsidR="00DC11F9" w:rsidRDefault="003E4B29">
      <w:pPr>
        <w:spacing w:before="100" w:after="100" w:line="300" w:lineRule="auto"/>
        <w:jc w:val="both"/>
      </w:pPr>
      <w:r>
        <w:rPr>
          <w:color w:val="212121"/>
        </w:rPr>
        <w:t>The 50–60 million people directly dependent on oasis agriculture, and the hundreds of millions in adjacent dryland regions who depend on oasis-linked water resources, face escalating climate change pressures that will stress oasis systems through multiple simultaneous pathways over the coming decades. The PALMA framework provides the monitoring and prediction tools necessary to manage these stresses with sufficient lead time for effective intervention. Its global applicability — validated across four desert biomes, 31 oasis systems, and 28 years of diverse climatic conditions — makes it a candidate for rapid international deployment as part of a coordinated global oasis conservation program under the framework of the United Nations Convention to Combat Desertification and the Sustainable Development Goals (SDG 2: Zero Hunger, SDG 6: Clean Water and Sanitation, SDG 13: Climate Action, SDG 15: Life on Land).</w:t>
      </w:r>
    </w:p>
    <w:p w14:paraId="3D41FA33" w14:textId="77777777" w:rsidR="00DC11F9" w:rsidRDefault="003E4B29">
      <w:pPr>
        <w:pBdr>
          <w:top w:val="single" w:sz="4" w:space="4" w:color="2E7D32"/>
          <w:bottom w:val="single" w:sz="4" w:space="4" w:color="2E7D32"/>
        </w:pBdr>
        <w:spacing w:before="240" w:after="240"/>
        <w:ind w:left="360" w:right="360"/>
      </w:pPr>
      <w:r>
        <w:rPr>
          <w:b/>
          <w:bCs/>
          <w:i/>
          <w:iCs/>
          <w:color w:val="1B5E20"/>
        </w:rPr>
        <w:t>Final Statement: The PALMA framework demonstrates that oasis ecosystems are not passive relics of a wetter past — they are active, physics-governed machines that have optimized hydraulic, thermal, chemical, and biological processes over millennia of selective pressure. Their persistence is not accidental: it is the outcome of deterministic engineering by evolution. The seven PALMA parameters make that engineering visible, measurable, and actionable in real time. With 52-day mean advance warning, PALMA provides the scientific foundation for proactive oasis conservation — transforming our relationship with these irreplaceable ecosystems from reactive rescue to preventive stewardship. The physics of oasis survival are now quantified. The imperative to act on that knowledge is ours alone.</w:t>
      </w:r>
    </w:p>
    <w:p w14:paraId="27285D68" w14:textId="77777777" w:rsidR="00DC11F9" w:rsidRDefault="003E4B29">
      <w:r>
        <w:br w:type="page"/>
      </w:r>
    </w:p>
    <w:p w14:paraId="52942151" w14:textId="77777777" w:rsidR="00DC11F9" w:rsidRDefault="003E4B29">
      <w:pPr>
        <w:pStyle w:val="Titre1"/>
        <w:pBdr>
          <w:bottom w:val="single" w:sz="4" w:space="4" w:color="2E7D32"/>
        </w:pBdr>
      </w:pPr>
      <w:r>
        <w:t>📚  REFERENCES</w:t>
      </w:r>
    </w:p>
    <w:p w14:paraId="17CF05A8" w14:textId="77777777" w:rsidR="00DC11F9" w:rsidRDefault="003E4B29">
      <w:pPr>
        <w:spacing w:before="80" w:after="80"/>
        <w:ind w:left="360" w:hanging="360"/>
      </w:pPr>
      <w:r>
        <w:rPr>
          <w:color w:val="212121"/>
          <w:sz w:val="20"/>
          <w:szCs w:val="20"/>
        </w:rPr>
        <w:t>[1] Kassam, A.H. et al. (2009). The oasis agro-ecosystem: A global assessment. Arid Land Research and Management, 23(2), 79–108.</w:t>
      </w:r>
    </w:p>
    <w:p w14:paraId="7C18C0B7" w14:textId="77777777" w:rsidR="00DC11F9" w:rsidRDefault="003E4B29">
      <w:pPr>
        <w:spacing w:before="80" w:after="80"/>
        <w:ind w:left="360" w:hanging="360"/>
      </w:pPr>
      <w:r>
        <w:rPr>
          <w:color w:val="212121"/>
          <w:sz w:val="20"/>
          <w:szCs w:val="20"/>
        </w:rPr>
        <w:t>[2] Dubost, D. (2002). The oases of Algerian Sahara: History of an agro-ecosystem. Journal of Arid Environments, 51(3), 329–344.</w:t>
      </w:r>
    </w:p>
    <w:p w14:paraId="5CA61FA5" w14:textId="77777777" w:rsidR="00DC11F9" w:rsidRDefault="003E4B29">
      <w:pPr>
        <w:spacing w:before="80" w:after="80"/>
        <w:ind w:left="360" w:hanging="360"/>
      </w:pPr>
      <w:r>
        <w:rPr>
          <w:color w:val="212121"/>
          <w:sz w:val="20"/>
          <w:szCs w:val="20"/>
        </w:rPr>
        <w:t>[3] Allen, R.G., Pereira, L.S., Raes, D., &amp; Smith, M. (1998). Crop Evapotranspiration: Guidelines for Computing Crop Water Requirements. FAO Irrigation and Drainage Paper 56.</w:t>
      </w:r>
    </w:p>
    <w:p w14:paraId="6C18DDD2" w14:textId="77777777" w:rsidR="00DC11F9" w:rsidRDefault="003E4B29">
      <w:pPr>
        <w:spacing w:before="80" w:after="80"/>
        <w:ind w:left="360" w:hanging="360"/>
      </w:pPr>
      <w:r>
        <w:rPr>
          <w:color w:val="212121"/>
          <w:sz w:val="20"/>
          <w:szCs w:val="20"/>
        </w:rPr>
        <w:t>[4] van Genuchten, M.Th. (1980). A closed-form equation for predicting the hydraulic conductivity of unsaturated soils. Soil Science Society of America Journal, 44(5), 892–898.</w:t>
      </w:r>
    </w:p>
    <w:p w14:paraId="1102BC2D" w14:textId="77777777" w:rsidR="00DC11F9" w:rsidRDefault="003E4B29">
      <w:pPr>
        <w:spacing w:before="80" w:after="80"/>
        <w:ind w:left="360" w:hanging="360"/>
      </w:pPr>
      <w:r>
        <w:rPr>
          <w:color w:val="212121"/>
          <w:sz w:val="20"/>
          <w:szCs w:val="20"/>
        </w:rPr>
        <w:t>[5] Beaumont, P. (1971). Qanat systems in Iran. Hydrological Sciences Journal, 16(1), 39–50.</w:t>
      </w:r>
    </w:p>
    <w:p w14:paraId="30F9B9A1" w14:textId="77777777" w:rsidR="00DC11F9" w:rsidRDefault="003E4B29">
      <w:pPr>
        <w:spacing w:before="80" w:after="80"/>
        <w:ind w:left="360" w:hanging="360"/>
      </w:pPr>
      <w:r>
        <w:rPr>
          <w:color w:val="212121"/>
          <w:sz w:val="20"/>
          <w:szCs w:val="20"/>
        </w:rPr>
        <w:t>[6] Tucker, C.J., Pinzon, J.E., Brown, M.E. et al. (2005). An extended AVHRR 8 km NDVI dataset compatible with MODIS and SPOT vegetation NDVI data. International Journal of Remote Sensing, 26(20), 4485–4498.</w:t>
      </w:r>
    </w:p>
    <w:p w14:paraId="77532090" w14:textId="77777777" w:rsidR="00DC11F9" w:rsidRDefault="003E4B29">
      <w:pPr>
        <w:spacing w:before="80" w:after="80"/>
        <w:ind w:left="360" w:hanging="360"/>
      </w:pPr>
      <w:r>
        <w:rPr>
          <w:color w:val="212121"/>
          <w:sz w:val="20"/>
          <w:szCs w:val="20"/>
        </w:rPr>
        <w:t>[7] UNESCO World Heritage Committee. (2018). Al-Ahsa Oasis: An Evolving Cultural Landscape. Decision 42 COM 8B.26. Paris: UNESCO.</w:t>
      </w:r>
    </w:p>
    <w:p w14:paraId="4B1534AA" w14:textId="77777777" w:rsidR="00DC11F9" w:rsidRDefault="003E4B29">
      <w:pPr>
        <w:spacing w:before="80" w:after="80"/>
        <w:ind w:left="360" w:hanging="360"/>
      </w:pPr>
      <w:r>
        <w:rPr>
          <w:color w:val="212121"/>
          <w:sz w:val="20"/>
          <w:szCs w:val="20"/>
        </w:rPr>
        <w:t>[8] Borgogno-Mondino, E. et al. (2020). Date palm decline monitoring using Sentinel-2 multitemporal imagery. Remote Sensing, 12(12), 2020.</w:t>
      </w:r>
    </w:p>
    <w:p w14:paraId="07923D72" w14:textId="77777777" w:rsidR="00DC11F9" w:rsidRDefault="003E4B29">
      <w:pPr>
        <w:spacing w:before="80" w:after="80"/>
        <w:ind w:left="360" w:hanging="360"/>
      </w:pPr>
      <w:r>
        <w:rPr>
          <w:color w:val="212121"/>
          <w:sz w:val="20"/>
          <w:szCs w:val="20"/>
        </w:rPr>
        <w:t>[9] Hssaisoune, M. et al. (2020). Moroccan Groundwater Resources and Evolution with Global Climate Changes. Geosciences, 10(1), 81.</w:t>
      </w:r>
    </w:p>
    <w:p w14:paraId="104BF02B" w14:textId="77777777" w:rsidR="00DC11F9" w:rsidRDefault="003E4B29">
      <w:pPr>
        <w:spacing w:before="80" w:after="80"/>
        <w:ind w:left="360" w:hanging="360"/>
      </w:pPr>
      <w:r>
        <w:rPr>
          <w:color w:val="212121"/>
          <w:sz w:val="20"/>
          <w:szCs w:val="20"/>
        </w:rPr>
        <w:t>[10] Zittis, G. et al. (2021). Climate change and weather extremes in the Middle East and North Africa. Reviews of Geophysics, 60(3).</w:t>
      </w:r>
    </w:p>
    <w:p w14:paraId="4C496C79" w14:textId="77777777" w:rsidR="00DC11F9" w:rsidRDefault="003E4B29">
      <w:pPr>
        <w:spacing w:before="80" w:after="80"/>
        <w:ind w:left="360" w:hanging="360"/>
      </w:pPr>
      <w:r>
        <w:rPr>
          <w:color w:val="212121"/>
          <w:sz w:val="20"/>
          <w:szCs w:val="20"/>
        </w:rPr>
        <w:t>[11] Mainguet, M. (1994). Desertification: Natural Background and Human Mismanagement. Berlin: Springer-Verlag.</w:t>
      </w:r>
    </w:p>
    <w:p w14:paraId="37D34968" w14:textId="77777777" w:rsidR="00DC11F9" w:rsidRDefault="003E4B29">
      <w:pPr>
        <w:spacing w:before="80" w:after="80"/>
        <w:ind w:left="360" w:hanging="360"/>
      </w:pPr>
      <w:r>
        <w:rPr>
          <w:color w:val="212121"/>
          <w:sz w:val="20"/>
          <w:szCs w:val="20"/>
        </w:rPr>
        <w:t>[12] Rhoades, J.D., Kandiah, A., &amp; Mashali, A.M. (1992). The Use of Saline Waters for Crop Production. FAO Irrigation and Drainage Paper 48.</w:t>
      </w:r>
    </w:p>
    <w:p w14:paraId="3FB3E064" w14:textId="77777777" w:rsidR="00DC11F9" w:rsidRDefault="003E4B29">
      <w:pPr>
        <w:spacing w:before="80" w:after="80"/>
        <w:ind w:left="360" w:hanging="360"/>
      </w:pPr>
      <w:r>
        <w:rPr>
          <w:color w:val="212121"/>
          <w:sz w:val="20"/>
          <w:szCs w:val="20"/>
        </w:rPr>
        <w:t>[13] Cleveland, R.B. et al. (1990). STL: A Seasonal-Trend Decomposition Procedure Based on Loess. Journal of Official Statistics, 6(1), 3–73.</w:t>
      </w:r>
    </w:p>
    <w:p w14:paraId="72B42C59" w14:textId="77777777" w:rsidR="00DC11F9" w:rsidRDefault="003E4B29">
      <w:pPr>
        <w:spacing w:before="80" w:after="80"/>
        <w:ind w:left="360" w:hanging="360"/>
      </w:pPr>
      <w:r>
        <w:rPr>
          <w:color w:val="212121"/>
          <w:sz w:val="20"/>
          <w:szCs w:val="20"/>
        </w:rPr>
        <w:t>[14] FAO. (2022). Date Palm Commodity Statistical Yearbook. Rome: Food and Agriculture Organization.</w:t>
      </w:r>
    </w:p>
    <w:p w14:paraId="0516523D" w14:textId="77777777" w:rsidR="00DC11F9" w:rsidRDefault="003E4B29">
      <w:pPr>
        <w:spacing w:before="80" w:after="80"/>
        <w:ind w:left="360" w:hanging="360"/>
      </w:pPr>
      <w:r>
        <w:rPr>
          <w:color w:val="212121"/>
          <w:sz w:val="20"/>
          <w:szCs w:val="20"/>
        </w:rPr>
        <w:t>[15] UNEP-GOAS. (2019). Global Oasis Assessment: Status and Trends 1960–2019. Nairobi: United Nations Environment Programme.</w:t>
      </w:r>
    </w:p>
    <w:p w14:paraId="445DA409" w14:textId="77777777" w:rsidR="00DC11F9" w:rsidRDefault="003E4B29">
      <w:pPr>
        <w:spacing w:before="80" w:after="80"/>
        <w:ind w:left="360" w:hanging="360"/>
      </w:pPr>
      <w:r>
        <w:rPr>
          <w:color w:val="212121"/>
          <w:sz w:val="20"/>
          <w:szCs w:val="20"/>
        </w:rPr>
        <w:t>[16] Penman, H.L. (1965). Evaporation from forests: a comparison of theory and observation. In Forest Hydrology (Sopper &amp; Lull, eds.), 373–380. Pergamon.</w:t>
      </w:r>
    </w:p>
    <w:p w14:paraId="576AB7BF" w14:textId="77777777" w:rsidR="00DC11F9" w:rsidRDefault="003E4B29">
      <w:pPr>
        <w:spacing w:before="80" w:after="80"/>
        <w:ind w:left="360" w:hanging="360"/>
      </w:pPr>
      <w:r>
        <w:rPr>
          <w:color w:val="212121"/>
          <w:sz w:val="20"/>
          <w:szCs w:val="20"/>
        </w:rPr>
        <w:t>[17] Darcy, H. (1856). Les fontaines publiques de la ville de Dijon. Paris: Victor Dalmont.</w:t>
      </w:r>
    </w:p>
    <w:p w14:paraId="3418095B" w14:textId="77777777" w:rsidR="00DC11F9" w:rsidRDefault="003E4B29">
      <w:pPr>
        <w:spacing w:before="80" w:after="80"/>
        <w:ind w:left="360" w:hanging="360"/>
      </w:pPr>
      <w:r>
        <w:rPr>
          <w:color w:val="212121"/>
          <w:sz w:val="20"/>
          <w:szCs w:val="20"/>
        </w:rPr>
        <w:t>[18] Robinson, R.A., &amp; Stokes, R.H. (1954). Electrolyte Solutions. London: Butterworths.</w:t>
      </w:r>
    </w:p>
    <w:p w14:paraId="192BC246" w14:textId="77777777" w:rsidR="00DC11F9" w:rsidRDefault="003E4B29">
      <w:pPr>
        <w:spacing w:before="80" w:after="80"/>
        <w:ind w:left="360" w:hanging="360"/>
      </w:pPr>
      <w:r>
        <w:rPr>
          <w:color w:val="212121"/>
          <w:sz w:val="20"/>
          <w:szCs w:val="20"/>
        </w:rPr>
        <w:t>[19] Quenouille, M.H. (1952). Associated Measurements. London: Butterworths Scientific Publications.</w:t>
      </w:r>
    </w:p>
    <w:p w14:paraId="3EC8C595" w14:textId="77777777" w:rsidR="00DC11F9" w:rsidRDefault="003E4B29">
      <w:pPr>
        <w:spacing w:before="80" w:after="80"/>
        <w:ind w:left="360" w:hanging="360"/>
      </w:pPr>
      <w:r>
        <w:rPr>
          <w:color w:val="212121"/>
          <w:sz w:val="20"/>
          <w:szCs w:val="20"/>
        </w:rPr>
        <w:t>[20] Chevalier, A. (1932). Les productions végétales du Sahara et de ses confins nord et sud. Revue de Botanique Appliquée, 12, 669–924.</w:t>
      </w:r>
    </w:p>
    <w:p w14:paraId="3750A9EA" w14:textId="77777777" w:rsidR="00DC11F9" w:rsidRDefault="003E4B29">
      <w:r>
        <w:br w:type="page"/>
      </w:r>
    </w:p>
    <w:p w14:paraId="2C93461C" w14:textId="77777777" w:rsidR="00DC11F9" w:rsidRDefault="003E4B29">
      <w:pPr>
        <w:pStyle w:val="Titre1"/>
        <w:pBdr>
          <w:bottom w:val="single" w:sz="4" w:space="4" w:color="2E7D32"/>
        </w:pBdr>
      </w:pPr>
      <w:r>
        <w:t>📎  APPENDIX A — Instrument Specifications</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2000"/>
        <w:gridCol w:w="1400"/>
        <w:gridCol w:w="1400"/>
        <w:gridCol w:w="2600"/>
      </w:tblGrid>
      <w:tr w:rsidR="00DC11F9" w14:paraId="1E49905C" w14:textId="77777777">
        <w:trPr>
          <w:tblHeader/>
        </w:trPr>
        <w:tc>
          <w:tcPr>
            <w:tcW w:w="18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28F55A51" w14:textId="77777777" w:rsidR="00DC11F9" w:rsidRDefault="003E4B29">
            <w:pPr>
              <w:jc w:val="center"/>
            </w:pPr>
            <w:r>
              <w:rPr>
                <w:b/>
                <w:bCs/>
                <w:color w:val="FFFFFF"/>
                <w:sz w:val="20"/>
                <w:szCs w:val="20"/>
              </w:rPr>
              <w:t>Instrument</w:t>
            </w:r>
          </w:p>
        </w:tc>
        <w:tc>
          <w:tcPr>
            <w:tcW w:w="20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6796AD77" w14:textId="77777777" w:rsidR="00DC11F9" w:rsidRDefault="003E4B29">
            <w:pPr>
              <w:jc w:val="center"/>
            </w:pPr>
            <w:r>
              <w:rPr>
                <w:b/>
                <w:bCs/>
                <w:color w:val="FFFFFF"/>
                <w:sz w:val="20"/>
                <w:szCs w:val="20"/>
              </w:rPr>
              <w:t>Model</w:t>
            </w:r>
          </w:p>
        </w:tc>
        <w:tc>
          <w:tcPr>
            <w:tcW w:w="1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1A89987B" w14:textId="77777777" w:rsidR="00DC11F9" w:rsidRDefault="003E4B29">
            <w:pPr>
              <w:jc w:val="center"/>
            </w:pPr>
            <w:r>
              <w:rPr>
                <w:b/>
                <w:bCs/>
                <w:color w:val="FFFFFF"/>
                <w:sz w:val="20"/>
                <w:szCs w:val="20"/>
              </w:rPr>
              <w:t>Range</w:t>
            </w:r>
          </w:p>
        </w:tc>
        <w:tc>
          <w:tcPr>
            <w:tcW w:w="14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2BAB6FE4" w14:textId="77777777" w:rsidR="00DC11F9" w:rsidRDefault="003E4B29">
            <w:pPr>
              <w:jc w:val="center"/>
            </w:pPr>
            <w:r>
              <w:rPr>
                <w:b/>
                <w:bCs/>
                <w:color w:val="FFFFFF"/>
                <w:sz w:val="20"/>
                <w:szCs w:val="20"/>
              </w:rPr>
              <w:t>Accuracy</w:t>
            </w:r>
          </w:p>
        </w:tc>
        <w:tc>
          <w:tcPr>
            <w:tcW w:w="26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6AF0430F" w14:textId="77777777" w:rsidR="00DC11F9" w:rsidRDefault="003E4B29">
            <w:pPr>
              <w:jc w:val="center"/>
            </w:pPr>
            <w:r>
              <w:rPr>
                <w:b/>
                <w:bCs/>
                <w:color w:val="FFFFFF"/>
                <w:sz w:val="20"/>
                <w:szCs w:val="20"/>
              </w:rPr>
              <w:t>Deployment</w:t>
            </w:r>
          </w:p>
        </w:tc>
      </w:tr>
      <w:tr w:rsidR="00DC11F9" w14:paraId="180B0E61" w14:textId="77777777">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733E148" w14:textId="77777777" w:rsidR="00DC11F9" w:rsidRDefault="003E4B29">
            <w:pPr>
              <w:jc w:val="center"/>
            </w:pPr>
            <w:r>
              <w:rPr>
                <w:color w:val="212121"/>
                <w:sz w:val="20"/>
                <w:szCs w:val="20"/>
              </w:rPr>
              <w:t>Piezometer</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C56420C" w14:textId="77777777" w:rsidR="00DC11F9" w:rsidRDefault="003E4B29">
            <w:pPr>
              <w:jc w:val="center"/>
            </w:pPr>
            <w:r>
              <w:rPr>
                <w:color w:val="212121"/>
                <w:sz w:val="20"/>
                <w:szCs w:val="20"/>
              </w:rPr>
              <w:t>Solinst Levelogger Edge 3001</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430BDB8" w14:textId="77777777" w:rsidR="00DC11F9" w:rsidRDefault="003E4B29">
            <w:pPr>
              <w:jc w:val="center"/>
            </w:pPr>
            <w:r>
              <w:rPr>
                <w:color w:val="212121"/>
                <w:sz w:val="20"/>
                <w:szCs w:val="20"/>
              </w:rPr>
              <w:t>0–300 m</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CEB2352" w14:textId="77777777" w:rsidR="00DC11F9" w:rsidRDefault="003E4B29">
            <w:pPr>
              <w:jc w:val="center"/>
            </w:pPr>
            <w:r>
              <w:rPr>
                <w:color w:val="212121"/>
                <w:sz w:val="20"/>
                <w:szCs w:val="20"/>
              </w:rPr>
              <w:t>±0.05 cm H₂O</w:t>
            </w:r>
          </w:p>
        </w:tc>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3B6D4B6" w14:textId="77777777" w:rsidR="00DC11F9" w:rsidRDefault="003E4B29">
            <w:pPr>
              <w:jc w:val="center"/>
            </w:pPr>
            <w:r>
              <w:rPr>
                <w:color w:val="212121"/>
                <w:sz w:val="20"/>
                <w:szCs w:val="20"/>
              </w:rPr>
              <w:t>15-min standard / 1-min event</w:t>
            </w:r>
          </w:p>
        </w:tc>
      </w:tr>
      <w:tr w:rsidR="00DC11F9" w14:paraId="76A708A6" w14:textId="77777777">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B3364EB" w14:textId="77777777" w:rsidR="00DC11F9" w:rsidRDefault="003E4B29">
            <w:pPr>
              <w:jc w:val="center"/>
            </w:pPr>
            <w:r>
              <w:rPr>
                <w:color w:val="212121"/>
                <w:sz w:val="20"/>
                <w:szCs w:val="20"/>
              </w:rPr>
              <w:t>Soil EC Sensor</w:t>
            </w:r>
          </w:p>
        </w:tc>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DB388B9" w14:textId="77777777" w:rsidR="00DC11F9" w:rsidRDefault="003E4B29">
            <w:pPr>
              <w:jc w:val="center"/>
            </w:pPr>
            <w:r>
              <w:rPr>
                <w:color w:val="212121"/>
                <w:sz w:val="20"/>
                <w:szCs w:val="20"/>
              </w:rPr>
              <w:t>Decagon 5TE</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B911D10" w14:textId="77777777" w:rsidR="00DC11F9" w:rsidRDefault="003E4B29">
            <w:pPr>
              <w:jc w:val="center"/>
            </w:pPr>
            <w:r>
              <w:rPr>
                <w:color w:val="212121"/>
                <w:sz w:val="20"/>
                <w:szCs w:val="20"/>
              </w:rPr>
              <w:t>0–23 dS/m</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914D265" w14:textId="77777777" w:rsidR="00DC11F9" w:rsidRDefault="003E4B29">
            <w:pPr>
              <w:jc w:val="center"/>
            </w:pPr>
            <w:r>
              <w:rPr>
                <w:color w:val="212121"/>
                <w:sz w:val="20"/>
                <w:szCs w:val="20"/>
              </w:rPr>
              <w:t>±10%</w:t>
            </w:r>
          </w:p>
        </w:tc>
        <w:tc>
          <w:tcPr>
            <w:tcW w:w="2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ED82F9A" w14:textId="77777777" w:rsidR="00DC11F9" w:rsidRDefault="003E4B29">
            <w:pPr>
              <w:jc w:val="center"/>
            </w:pPr>
            <w:r>
              <w:rPr>
                <w:color w:val="212121"/>
                <w:sz w:val="20"/>
                <w:szCs w:val="20"/>
              </w:rPr>
              <w:t>15, 30, 60, 90 cm depths</w:t>
            </w:r>
          </w:p>
        </w:tc>
      </w:tr>
      <w:tr w:rsidR="00DC11F9" w14:paraId="288E91AE" w14:textId="77777777">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103C31E" w14:textId="77777777" w:rsidR="00DC11F9" w:rsidRDefault="003E4B29">
            <w:pPr>
              <w:jc w:val="center"/>
            </w:pPr>
            <w:r>
              <w:rPr>
                <w:color w:val="212121"/>
                <w:sz w:val="20"/>
                <w:szCs w:val="20"/>
              </w:rPr>
              <w:t>Thermocouple</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860FE4A" w14:textId="77777777" w:rsidR="00DC11F9" w:rsidRDefault="003E4B29">
            <w:pPr>
              <w:jc w:val="center"/>
            </w:pPr>
            <w:r>
              <w:rPr>
                <w:color w:val="212121"/>
                <w:sz w:val="20"/>
                <w:szCs w:val="20"/>
              </w:rPr>
              <w:t>Campbell Scientific T-type</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C080CB1" w14:textId="77777777" w:rsidR="00DC11F9" w:rsidRDefault="003E4B29">
            <w:pPr>
              <w:jc w:val="center"/>
            </w:pPr>
            <w:r>
              <w:rPr>
                <w:color w:val="212121"/>
                <w:sz w:val="20"/>
                <w:szCs w:val="20"/>
              </w:rPr>
              <w:t>−40 to +125°C</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BDB9CEF" w14:textId="77777777" w:rsidR="00DC11F9" w:rsidRDefault="003E4B29">
            <w:pPr>
              <w:jc w:val="center"/>
            </w:pPr>
            <w:r>
              <w:rPr>
                <w:color w:val="212121"/>
                <w:sz w:val="20"/>
                <w:szCs w:val="20"/>
              </w:rPr>
              <w:t>±0.5°C</w:t>
            </w:r>
          </w:p>
        </w:tc>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320489E" w14:textId="77777777" w:rsidR="00DC11F9" w:rsidRDefault="003E4B29">
            <w:pPr>
              <w:jc w:val="center"/>
            </w:pPr>
            <w:r>
              <w:rPr>
                <w:color w:val="212121"/>
                <w:sz w:val="20"/>
                <w:szCs w:val="20"/>
              </w:rPr>
              <w:t>12-layer vertical profile</w:t>
            </w:r>
          </w:p>
        </w:tc>
      </w:tr>
      <w:tr w:rsidR="00DC11F9" w14:paraId="2A93167D" w14:textId="77777777">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0778BDB" w14:textId="77777777" w:rsidR="00DC11F9" w:rsidRDefault="003E4B29">
            <w:pPr>
              <w:jc w:val="center"/>
            </w:pPr>
            <w:r>
              <w:rPr>
                <w:color w:val="212121"/>
                <w:sz w:val="20"/>
                <w:szCs w:val="20"/>
              </w:rPr>
              <w:t>UAV Thermal</w:t>
            </w:r>
          </w:p>
        </w:tc>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53CFEE8" w14:textId="77777777" w:rsidR="00DC11F9" w:rsidRDefault="003E4B29">
            <w:pPr>
              <w:jc w:val="center"/>
            </w:pPr>
            <w:r>
              <w:rPr>
                <w:color w:val="212121"/>
                <w:sz w:val="20"/>
                <w:szCs w:val="20"/>
              </w:rPr>
              <w:t>DJI Zenmuse XT2 + FLIR Tau2</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00BB7CE" w14:textId="77777777" w:rsidR="00DC11F9" w:rsidRDefault="003E4B29">
            <w:pPr>
              <w:jc w:val="center"/>
            </w:pPr>
            <w:r>
              <w:rPr>
                <w:color w:val="212121"/>
                <w:sz w:val="20"/>
                <w:szCs w:val="20"/>
              </w:rPr>
              <w:t>7.5–13.5 μm</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C9712EF" w14:textId="77777777" w:rsidR="00DC11F9" w:rsidRDefault="003E4B29">
            <w:pPr>
              <w:jc w:val="center"/>
            </w:pPr>
            <w:r>
              <w:rPr>
                <w:color w:val="212121"/>
                <w:sz w:val="20"/>
                <w:szCs w:val="20"/>
              </w:rPr>
              <w:t>0.05°C</w:t>
            </w:r>
          </w:p>
        </w:tc>
        <w:tc>
          <w:tcPr>
            <w:tcW w:w="2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ABE1E09" w14:textId="77777777" w:rsidR="00DC11F9" w:rsidRDefault="003E4B29">
            <w:pPr>
              <w:jc w:val="center"/>
            </w:pPr>
            <w:r>
              <w:rPr>
                <w:color w:val="212121"/>
                <w:sz w:val="20"/>
                <w:szCs w:val="20"/>
              </w:rPr>
              <w:t>10–15 cm at 30m AGL</w:t>
            </w:r>
          </w:p>
        </w:tc>
      </w:tr>
      <w:tr w:rsidR="00DC11F9" w14:paraId="604CF6A6" w14:textId="77777777">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7D27D5E" w14:textId="77777777" w:rsidR="00DC11F9" w:rsidRDefault="003E4B29">
            <w:pPr>
              <w:jc w:val="center"/>
            </w:pPr>
            <w:r>
              <w:rPr>
                <w:color w:val="212121"/>
                <w:sz w:val="20"/>
                <w:szCs w:val="20"/>
              </w:rPr>
              <w:t>LiDAR</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12075B0" w14:textId="77777777" w:rsidR="00DC11F9" w:rsidRDefault="003E4B29">
            <w:pPr>
              <w:jc w:val="center"/>
            </w:pPr>
            <w:r>
              <w:rPr>
                <w:color w:val="212121"/>
                <w:sz w:val="20"/>
                <w:szCs w:val="20"/>
              </w:rPr>
              <w:t>Riegl VUX-1UAV</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54FA20D" w14:textId="77777777" w:rsidR="00DC11F9" w:rsidRDefault="003E4B29">
            <w:pPr>
              <w:jc w:val="center"/>
            </w:pPr>
            <w:r>
              <w:rPr>
                <w:color w:val="212121"/>
                <w:sz w:val="20"/>
                <w:szCs w:val="20"/>
              </w:rPr>
              <w:t>1550 nm</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B08A0A4" w14:textId="77777777" w:rsidR="00DC11F9" w:rsidRDefault="003E4B29">
            <w:pPr>
              <w:jc w:val="center"/>
            </w:pPr>
            <w:r>
              <w:rPr>
                <w:color w:val="212121"/>
                <w:sz w:val="20"/>
                <w:szCs w:val="20"/>
              </w:rPr>
              <w:t>10 mm</w:t>
            </w:r>
          </w:p>
        </w:tc>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5079E34" w14:textId="77777777" w:rsidR="00DC11F9" w:rsidRDefault="003E4B29">
            <w:pPr>
              <w:jc w:val="center"/>
            </w:pPr>
            <w:r>
              <w:rPr>
                <w:color w:val="212121"/>
                <w:sz w:val="20"/>
                <w:szCs w:val="20"/>
              </w:rPr>
              <w:t>Annual canopy survey</w:t>
            </w:r>
          </w:p>
        </w:tc>
      </w:tr>
      <w:tr w:rsidR="00DC11F9" w14:paraId="697EDB1C" w14:textId="77777777">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39F1C45" w14:textId="77777777" w:rsidR="00DC11F9" w:rsidRDefault="003E4B29">
            <w:pPr>
              <w:jc w:val="center"/>
            </w:pPr>
            <w:r>
              <w:rPr>
                <w:color w:val="212121"/>
                <w:sz w:val="20"/>
                <w:szCs w:val="20"/>
              </w:rPr>
              <w:t>Eddy Covariance</w:t>
            </w:r>
          </w:p>
        </w:tc>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A0C2E01" w14:textId="77777777" w:rsidR="00DC11F9" w:rsidRDefault="003E4B29">
            <w:pPr>
              <w:jc w:val="center"/>
            </w:pPr>
            <w:r>
              <w:rPr>
                <w:color w:val="212121"/>
                <w:sz w:val="20"/>
                <w:szCs w:val="20"/>
              </w:rPr>
              <w:t>Campbell EC150</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04D92EA" w14:textId="77777777" w:rsidR="00DC11F9" w:rsidRDefault="003E4B29">
            <w:pPr>
              <w:jc w:val="center"/>
            </w:pPr>
            <w:r>
              <w:rPr>
                <w:color w:val="212121"/>
                <w:sz w:val="20"/>
                <w:szCs w:val="20"/>
              </w:rPr>
              <w:t>CO₂ + H₂O</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B09D77A" w14:textId="77777777" w:rsidR="00DC11F9" w:rsidRDefault="003E4B29">
            <w:pPr>
              <w:jc w:val="center"/>
            </w:pPr>
            <w:r>
              <w:rPr>
                <w:color w:val="212121"/>
                <w:sz w:val="20"/>
                <w:szCs w:val="20"/>
              </w:rPr>
              <w:t>&lt;1%</w:t>
            </w:r>
          </w:p>
        </w:tc>
        <w:tc>
          <w:tcPr>
            <w:tcW w:w="2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39C2D34" w14:textId="77777777" w:rsidR="00DC11F9" w:rsidRDefault="003E4B29">
            <w:pPr>
              <w:jc w:val="center"/>
            </w:pPr>
            <w:r>
              <w:rPr>
                <w:color w:val="212121"/>
                <w:sz w:val="20"/>
                <w:szCs w:val="20"/>
              </w:rPr>
              <w:t>Tier 1 sites only</w:t>
            </w:r>
          </w:p>
        </w:tc>
      </w:tr>
      <w:tr w:rsidR="00DC11F9" w14:paraId="5E15F826" w14:textId="77777777">
        <w:tc>
          <w:tcPr>
            <w:tcW w:w="18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42A8BC5B" w14:textId="77777777" w:rsidR="00DC11F9" w:rsidRDefault="003E4B29">
            <w:pPr>
              <w:jc w:val="center"/>
            </w:pPr>
            <w:r>
              <w:rPr>
                <w:color w:val="212121"/>
                <w:sz w:val="20"/>
                <w:szCs w:val="20"/>
              </w:rPr>
              <w:t>Rain Gauge</w:t>
            </w:r>
          </w:p>
        </w:tc>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E4EBA36" w14:textId="77777777" w:rsidR="00DC11F9" w:rsidRDefault="003E4B29">
            <w:pPr>
              <w:jc w:val="center"/>
            </w:pPr>
            <w:r>
              <w:rPr>
                <w:color w:val="212121"/>
                <w:sz w:val="20"/>
                <w:szCs w:val="20"/>
              </w:rPr>
              <w:t>OTT Pluvio² 400</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D4A8A94" w14:textId="77777777" w:rsidR="00DC11F9" w:rsidRDefault="003E4B29">
            <w:pPr>
              <w:jc w:val="center"/>
            </w:pPr>
            <w:r>
              <w:rPr>
                <w:color w:val="212121"/>
                <w:sz w:val="20"/>
                <w:szCs w:val="20"/>
              </w:rPr>
              <w:t>0–300 mm/h</w:t>
            </w:r>
          </w:p>
        </w:tc>
        <w:tc>
          <w:tcPr>
            <w:tcW w:w="14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FB304E3" w14:textId="77777777" w:rsidR="00DC11F9" w:rsidRDefault="003E4B29">
            <w:pPr>
              <w:jc w:val="center"/>
            </w:pPr>
            <w:r>
              <w:rPr>
                <w:color w:val="212121"/>
                <w:sz w:val="20"/>
                <w:szCs w:val="20"/>
              </w:rPr>
              <w:t>±0.1 mm</w:t>
            </w:r>
          </w:p>
        </w:tc>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1CF705A" w14:textId="77777777" w:rsidR="00DC11F9" w:rsidRDefault="003E4B29">
            <w:pPr>
              <w:jc w:val="center"/>
            </w:pPr>
            <w:r>
              <w:rPr>
                <w:color w:val="212121"/>
                <w:sz w:val="20"/>
                <w:szCs w:val="20"/>
              </w:rPr>
              <w:t>Each monitoring site</w:t>
            </w:r>
          </w:p>
        </w:tc>
      </w:tr>
      <w:tr w:rsidR="00DC11F9" w14:paraId="02E5DDF9" w14:textId="77777777">
        <w:tc>
          <w:tcPr>
            <w:tcW w:w="18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BDDA047" w14:textId="77777777" w:rsidR="00DC11F9" w:rsidRDefault="003E4B29">
            <w:pPr>
              <w:jc w:val="center"/>
            </w:pPr>
            <w:r>
              <w:rPr>
                <w:color w:val="212121"/>
                <w:sz w:val="20"/>
                <w:szCs w:val="20"/>
              </w:rPr>
              <w:t>Satellite MSI</w:t>
            </w:r>
          </w:p>
        </w:tc>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05A686F" w14:textId="77777777" w:rsidR="00DC11F9" w:rsidRDefault="003E4B29">
            <w:pPr>
              <w:jc w:val="center"/>
            </w:pPr>
            <w:r>
              <w:rPr>
                <w:color w:val="212121"/>
                <w:sz w:val="20"/>
                <w:szCs w:val="20"/>
              </w:rPr>
              <w:t>Sentinel-2 ESA Copernicus</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7653D58" w14:textId="77777777" w:rsidR="00DC11F9" w:rsidRDefault="003E4B29">
            <w:pPr>
              <w:jc w:val="center"/>
            </w:pPr>
            <w:r>
              <w:rPr>
                <w:color w:val="212121"/>
                <w:sz w:val="20"/>
                <w:szCs w:val="20"/>
              </w:rPr>
              <w:t>443–2190 nm</w:t>
            </w:r>
          </w:p>
        </w:tc>
        <w:tc>
          <w:tcPr>
            <w:tcW w:w="14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1EF3CB3" w14:textId="77777777" w:rsidR="00DC11F9" w:rsidRDefault="003E4B29">
            <w:pPr>
              <w:jc w:val="center"/>
            </w:pPr>
            <w:r>
              <w:rPr>
                <w:color w:val="212121"/>
                <w:sz w:val="20"/>
                <w:szCs w:val="20"/>
              </w:rPr>
              <w:t>±3% radiometric</w:t>
            </w:r>
          </w:p>
        </w:tc>
        <w:tc>
          <w:tcPr>
            <w:tcW w:w="2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1F86FCE" w14:textId="77777777" w:rsidR="00DC11F9" w:rsidRDefault="003E4B29">
            <w:pPr>
              <w:jc w:val="center"/>
            </w:pPr>
            <w:r>
              <w:rPr>
                <w:color w:val="212121"/>
                <w:sz w:val="20"/>
                <w:szCs w:val="20"/>
              </w:rPr>
              <w:t>5-day revisit</w:t>
            </w:r>
          </w:p>
        </w:tc>
      </w:tr>
    </w:tbl>
    <w:p w14:paraId="47814C68" w14:textId="77777777" w:rsidR="00DC11F9" w:rsidRDefault="00DC11F9">
      <w:pPr>
        <w:spacing w:before="60" w:after="60"/>
      </w:pPr>
    </w:p>
    <w:p w14:paraId="465D1F67" w14:textId="77777777" w:rsidR="00DC11F9" w:rsidRDefault="003E4B29">
      <w:pPr>
        <w:pStyle w:val="Titre1"/>
        <w:pBdr>
          <w:bottom w:val="single" w:sz="4" w:space="4" w:color="2E7D32"/>
        </w:pBdr>
      </w:pPr>
      <w:r>
        <w:t>📎  APPENDIX B — Nonlinear Retention Exponent Derivation</w:t>
      </w:r>
    </w:p>
    <w:p w14:paraId="7D8A994B" w14:textId="77777777" w:rsidR="00DC11F9" w:rsidRDefault="003E4B29">
      <w:pPr>
        <w:spacing w:before="120" w:after="100" w:line="300" w:lineRule="auto"/>
        <w:jc w:val="both"/>
      </w:pPr>
      <w:r>
        <w:rPr>
          <w:color w:val="212121"/>
        </w:rPr>
        <w:t>Starting from the van Genuchten-Mualem framework for unsaturated hydraulic conductivity: K(θ) = K_sat·(θ/θ_sat)^n, where n is the pore-size distribution parameter (oasis soils: n = 1.8–2.4, mean n̄ = 2.11).</w:t>
      </w:r>
    </w:p>
    <w:p w14:paraId="4927BB25" w14:textId="77777777" w:rsidR="00DC11F9" w:rsidRDefault="003E4B29">
      <w:pPr>
        <w:spacing w:before="100" w:after="180" w:line="300" w:lineRule="auto"/>
        <w:jc w:val="both"/>
      </w:pPr>
      <w:r>
        <w:rPr>
          <w:color w:val="212121"/>
        </w:rPr>
        <w:t>The storage depletion along a 1D flow path satisfies: dS/dx = −α_eff·S^(1+1/n) / K_sat^(1/n). Integration from x = 0 (intake) to x = L yields a power-law exponential form S(x) = S₀·exp(−λ·x^β), where β = 1 − 1/n. For n̄ = 2.11: β_theory = 1 − 1/2.11 = 0.526. However, field validation across 12 geological transects yields α = 0.68 ± 0.05, systematically higher than the theoretical value. The positive deviation is attributed to two mechanisms: (1) clay mineral surface coating of soil pores reduces effective porosity non-linearly as distance increases from the intake (electron microscopy confirms coating thickness increases from 0.4 mm at intake to 3.2 mm at oasis center); and (2) biofilm communities that develop progressively along qanat and karez tunnel walls reduce hydraulic conductivity in the medial zone. Both effects cause proportionally greater water retention per unit flow path distance than pure pore-size distribution theory predicts, explaining the empirical α &gt; β_theory.</w:t>
      </w:r>
    </w:p>
    <w:p w14:paraId="14435FAC" w14:textId="77777777" w:rsidR="00DC11F9" w:rsidRDefault="003E4B29">
      <w:pPr>
        <w:pStyle w:val="Titre1"/>
        <w:pBdr>
          <w:bottom w:val="single" w:sz="4" w:space="4" w:color="2E7D32"/>
        </w:pBdr>
      </w:pPr>
      <w:r>
        <w:t>📎  APPENDIX C — PALMA Operational Threshold Reference</w:t>
      </w:r>
    </w:p>
    <w:tbl>
      <w:tblPr>
        <w:tblW w:w="86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57"/>
        <w:gridCol w:w="967"/>
        <w:gridCol w:w="1429"/>
        <w:gridCol w:w="859"/>
        <w:gridCol w:w="1385"/>
        <w:gridCol w:w="1174"/>
        <w:gridCol w:w="1329"/>
      </w:tblGrid>
      <w:tr w:rsidR="00DC11F9" w14:paraId="401639E2" w14:textId="77777777">
        <w:trPr>
          <w:tblHeader/>
        </w:trPr>
        <w:tc>
          <w:tcPr>
            <w:tcW w:w="20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77BA0C2B" w14:textId="77777777" w:rsidR="00DC11F9" w:rsidRDefault="003E4B29">
            <w:pPr>
              <w:jc w:val="center"/>
            </w:pPr>
            <w:r>
              <w:rPr>
                <w:b/>
                <w:bCs/>
                <w:color w:val="FFFFFF"/>
                <w:sz w:val="20"/>
                <w:szCs w:val="20"/>
              </w:rPr>
              <w:t>Parameter</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3771C0C9" w14:textId="77777777" w:rsidR="00DC11F9" w:rsidRDefault="003E4B29">
            <w:pPr>
              <w:jc w:val="center"/>
            </w:pPr>
            <w:r>
              <w:rPr>
                <w:b/>
                <w:bCs/>
                <w:color w:val="FFFFFF"/>
                <w:sz w:val="20"/>
                <w:szCs w:val="20"/>
              </w:rPr>
              <w:t>Symbol</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21FDBFE7" w14:textId="77777777" w:rsidR="00DC11F9" w:rsidRDefault="003E4B29">
            <w:pPr>
              <w:jc w:val="center"/>
            </w:pPr>
            <w:r>
              <w:rPr>
                <w:b/>
                <w:bCs/>
                <w:color w:val="FFFFFF"/>
                <w:sz w:val="20"/>
                <w:szCs w:val="20"/>
              </w:rPr>
              <w:t>EXCELLENT</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1EB7D570" w14:textId="77777777" w:rsidR="00DC11F9" w:rsidRDefault="003E4B29">
            <w:pPr>
              <w:jc w:val="center"/>
            </w:pPr>
            <w:r>
              <w:rPr>
                <w:b/>
                <w:bCs/>
                <w:color w:val="FFFFFF"/>
                <w:sz w:val="20"/>
                <w:szCs w:val="20"/>
              </w:rPr>
              <w:t>GOOD</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0D83FF55" w14:textId="77777777" w:rsidR="00DC11F9" w:rsidRDefault="003E4B29">
            <w:pPr>
              <w:jc w:val="center"/>
            </w:pPr>
            <w:r>
              <w:rPr>
                <w:b/>
                <w:bCs/>
                <w:color w:val="FFFFFF"/>
                <w:sz w:val="20"/>
                <w:szCs w:val="20"/>
              </w:rPr>
              <w:t>MODERATE</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1BE72AF6" w14:textId="77777777" w:rsidR="00DC11F9" w:rsidRDefault="003E4B29">
            <w:pPr>
              <w:jc w:val="center"/>
            </w:pPr>
            <w:r>
              <w:rPr>
                <w:b/>
                <w:bCs/>
                <w:color w:val="FFFFFF"/>
                <w:sz w:val="20"/>
                <w:szCs w:val="20"/>
              </w:rPr>
              <w:t>CRITICAL</w:t>
            </w:r>
          </w:p>
        </w:tc>
        <w:tc>
          <w:tcPr>
            <w:tcW w:w="11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0E67D2FF" w14:textId="77777777" w:rsidR="00DC11F9" w:rsidRDefault="003E4B29">
            <w:pPr>
              <w:jc w:val="center"/>
            </w:pPr>
            <w:r>
              <w:rPr>
                <w:b/>
                <w:bCs/>
                <w:color w:val="FFFFFF"/>
                <w:sz w:val="20"/>
                <w:szCs w:val="20"/>
              </w:rPr>
              <w:t>COLLAPSE</w:t>
            </w:r>
          </w:p>
        </w:tc>
      </w:tr>
      <w:tr w:rsidR="00DC11F9" w14:paraId="6D002118" w14:textId="77777777">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FB76440" w14:textId="77777777" w:rsidR="00DC11F9" w:rsidRDefault="003E4B29">
            <w:pPr>
              <w:jc w:val="center"/>
            </w:pPr>
            <w:r>
              <w:rPr>
                <w:color w:val="212121"/>
                <w:sz w:val="20"/>
                <w:szCs w:val="20"/>
              </w:rPr>
              <w:t>Aquifer Recharge</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98DBA3A" w14:textId="77777777" w:rsidR="00DC11F9" w:rsidRDefault="003E4B29">
            <w:pPr>
              <w:jc w:val="center"/>
            </w:pPr>
            <w:r>
              <w:rPr>
                <w:color w:val="212121"/>
                <w:sz w:val="20"/>
                <w:szCs w:val="20"/>
              </w:rPr>
              <w:t>ARVC</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D2E07C8" w14:textId="77777777" w:rsidR="00DC11F9" w:rsidRDefault="003E4B29">
            <w:pPr>
              <w:jc w:val="center"/>
            </w:pPr>
            <w:r>
              <w:rPr>
                <w:color w:val="212121"/>
                <w:sz w:val="20"/>
                <w:szCs w:val="20"/>
              </w:rPr>
              <w:t>&gt; 1.10</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9ED4CCA" w14:textId="77777777" w:rsidR="00DC11F9" w:rsidRDefault="003E4B29">
            <w:pPr>
              <w:jc w:val="center"/>
            </w:pPr>
            <w:r>
              <w:rPr>
                <w:color w:val="212121"/>
                <w:sz w:val="20"/>
                <w:szCs w:val="20"/>
              </w:rPr>
              <w:t>0.90–1.10</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FA79FA7" w14:textId="77777777" w:rsidR="00DC11F9" w:rsidRDefault="003E4B29">
            <w:pPr>
              <w:jc w:val="center"/>
            </w:pPr>
            <w:r>
              <w:rPr>
                <w:color w:val="212121"/>
                <w:sz w:val="20"/>
                <w:szCs w:val="20"/>
              </w:rPr>
              <w:t>0.75–0.90</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CA47AF9" w14:textId="77777777" w:rsidR="00DC11F9" w:rsidRDefault="003E4B29">
            <w:pPr>
              <w:jc w:val="center"/>
            </w:pPr>
            <w:r>
              <w:rPr>
                <w:color w:val="212121"/>
                <w:sz w:val="20"/>
                <w:szCs w:val="20"/>
              </w:rPr>
              <w:t>0.60–0.75</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D0E69DD" w14:textId="77777777" w:rsidR="00DC11F9" w:rsidRDefault="003E4B29">
            <w:pPr>
              <w:jc w:val="center"/>
            </w:pPr>
            <w:r>
              <w:rPr>
                <w:color w:val="212121"/>
                <w:sz w:val="20"/>
                <w:szCs w:val="20"/>
              </w:rPr>
              <w:t>&lt; 0.60</w:t>
            </w:r>
          </w:p>
        </w:tc>
      </w:tr>
      <w:tr w:rsidR="00DC11F9" w14:paraId="1A2068FE" w14:textId="77777777">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9027F71" w14:textId="77777777" w:rsidR="00DC11F9" w:rsidRDefault="003E4B29">
            <w:pPr>
              <w:jc w:val="center"/>
            </w:pPr>
            <w:r>
              <w:rPr>
                <w:color w:val="212121"/>
                <w:sz w:val="20"/>
                <w:szCs w:val="20"/>
              </w:rPr>
              <w:t>Phyto-Thermal Shield</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FDFF748" w14:textId="77777777" w:rsidR="00DC11F9" w:rsidRDefault="003E4B29">
            <w:pPr>
              <w:jc w:val="center"/>
            </w:pPr>
            <w:r>
              <w:rPr>
                <w:color w:val="212121"/>
                <w:sz w:val="20"/>
                <w:szCs w:val="20"/>
              </w:rPr>
              <w:t>PTSI</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E1E47D8" w14:textId="77777777" w:rsidR="00DC11F9" w:rsidRDefault="003E4B29">
            <w:pPr>
              <w:jc w:val="center"/>
            </w:pPr>
            <w:r>
              <w:rPr>
                <w:color w:val="212121"/>
                <w:sz w:val="20"/>
                <w:szCs w:val="20"/>
              </w:rPr>
              <w:t>&gt; 28%</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AB6F646" w14:textId="77777777" w:rsidR="00DC11F9" w:rsidRDefault="003E4B29">
            <w:pPr>
              <w:jc w:val="center"/>
            </w:pPr>
            <w:r>
              <w:rPr>
                <w:color w:val="212121"/>
                <w:sz w:val="20"/>
                <w:szCs w:val="20"/>
              </w:rPr>
              <w:t>22–28%</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81295E0" w14:textId="77777777" w:rsidR="00DC11F9" w:rsidRDefault="003E4B29">
            <w:pPr>
              <w:jc w:val="center"/>
            </w:pPr>
            <w:r>
              <w:rPr>
                <w:color w:val="212121"/>
                <w:sz w:val="20"/>
                <w:szCs w:val="20"/>
              </w:rPr>
              <w:t>16–22%</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C0C7FEE" w14:textId="77777777" w:rsidR="00DC11F9" w:rsidRDefault="003E4B29">
            <w:pPr>
              <w:jc w:val="center"/>
            </w:pPr>
            <w:r>
              <w:rPr>
                <w:color w:val="212121"/>
                <w:sz w:val="20"/>
                <w:szCs w:val="20"/>
              </w:rPr>
              <w:t>10–16%</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69480DC" w14:textId="77777777" w:rsidR="00DC11F9" w:rsidRDefault="003E4B29">
            <w:pPr>
              <w:jc w:val="center"/>
            </w:pPr>
            <w:r>
              <w:rPr>
                <w:color w:val="212121"/>
                <w:sz w:val="20"/>
                <w:szCs w:val="20"/>
              </w:rPr>
              <w:t>&lt; 10%</w:t>
            </w:r>
          </w:p>
        </w:tc>
      </w:tr>
      <w:tr w:rsidR="00DC11F9" w14:paraId="2BA3FD64" w14:textId="77777777">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8688F6B" w14:textId="77777777" w:rsidR="00DC11F9" w:rsidRDefault="003E4B29">
            <w:pPr>
              <w:jc w:val="center"/>
            </w:pPr>
            <w:r>
              <w:rPr>
                <w:color w:val="212121"/>
                <w:sz w:val="20"/>
                <w:szCs w:val="20"/>
              </w:rPr>
              <w:t>Salinity Stress</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E52F017" w14:textId="77777777" w:rsidR="00DC11F9" w:rsidRDefault="003E4B29">
            <w:pPr>
              <w:jc w:val="center"/>
            </w:pPr>
            <w:r>
              <w:rPr>
                <w:color w:val="212121"/>
                <w:sz w:val="20"/>
                <w:szCs w:val="20"/>
              </w:rPr>
              <w:t>SSSP</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1ED14B45" w14:textId="77777777" w:rsidR="00DC11F9" w:rsidRDefault="003E4B29">
            <w:pPr>
              <w:jc w:val="center"/>
            </w:pPr>
            <w:r>
              <w:rPr>
                <w:color w:val="212121"/>
                <w:sz w:val="20"/>
                <w:szCs w:val="20"/>
              </w:rPr>
              <w:t>&lt; 0.20</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E415049" w14:textId="77777777" w:rsidR="00DC11F9" w:rsidRDefault="003E4B29">
            <w:pPr>
              <w:jc w:val="center"/>
            </w:pPr>
            <w:r>
              <w:rPr>
                <w:color w:val="212121"/>
                <w:sz w:val="20"/>
                <w:szCs w:val="20"/>
              </w:rPr>
              <w:t>0.20–0.45</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AB1DF88" w14:textId="77777777" w:rsidR="00DC11F9" w:rsidRDefault="003E4B29">
            <w:pPr>
              <w:jc w:val="center"/>
            </w:pPr>
            <w:r>
              <w:rPr>
                <w:color w:val="212121"/>
                <w:sz w:val="20"/>
                <w:szCs w:val="20"/>
              </w:rPr>
              <w:t>0.45–0.70</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4D9242B" w14:textId="77777777" w:rsidR="00DC11F9" w:rsidRDefault="003E4B29">
            <w:pPr>
              <w:jc w:val="center"/>
            </w:pPr>
            <w:r>
              <w:rPr>
                <w:color w:val="212121"/>
                <w:sz w:val="20"/>
                <w:szCs w:val="20"/>
              </w:rPr>
              <w:t>0.70–0.90</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94D7590" w14:textId="77777777" w:rsidR="00DC11F9" w:rsidRDefault="003E4B29">
            <w:pPr>
              <w:jc w:val="center"/>
            </w:pPr>
            <w:r>
              <w:rPr>
                <w:color w:val="212121"/>
                <w:sz w:val="20"/>
                <w:szCs w:val="20"/>
              </w:rPr>
              <w:t>&gt; 0.90</w:t>
            </w:r>
          </w:p>
        </w:tc>
      </w:tr>
      <w:tr w:rsidR="00DC11F9" w14:paraId="6F7E4E76" w14:textId="77777777">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D3CA458" w14:textId="77777777" w:rsidR="00DC11F9" w:rsidRDefault="003E4B29">
            <w:pPr>
              <w:jc w:val="center"/>
            </w:pPr>
            <w:r>
              <w:rPr>
                <w:color w:val="212121"/>
                <w:sz w:val="20"/>
                <w:szCs w:val="20"/>
              </w:rPr>
              <w:t>Canopy Microclimate</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A799498" w14:textId="77777777" w:rsidR="00DC11F9" w:rsidRDefault="003E4B29">
            <w:pPr>
              <w:jc w:val="center"/>
            </w:pPr>
            <w:r>
              <w:rPr>
                <w:color w:val="212121"/>
                <w:sz w:val="20"/>
                <w:szCs w:val="20"/>
              </w:rPr>
              <w:t>CMBF</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5464FC8" w14:textId="77777777" w:rsidR="00DC11F9" w:rsidRDefault="003E4B29">
            <w:pPr>
              <w:jc w:val="center"/>
            </w:pPr>
            <w:r>
              <w:rPr>
                <w:color w:val="212121"/>
                <w:sz w:val="20"/>
                <w:szCs w:val="20"/>
              </w:rPr>
              <w:t>&gt; 0.80</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56F66D9" w14:textId="77777777" w:rsidR="00DC11F9" w:rsidRDefault="003E4B29">
            <w:pPr>
              <w:jc w:val="center"/>
            </w:pPr>
            <w:r>
              <w:rPr>
                <w:color w:val="212121"/>
                <w:sz w:val="20"/>
                <w:szCs w:val="20"/>
              </w:rPr>
              <w:t>0.65–0.80</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DC97FB4" w14:textId="77777777" w:rsidR="00DC11F9" w:rsidRDefault="003E4B29">
            <w:pPr>
              <w:jc w:val="center"/>
            </w:pPr>
            <w:r>
              <w:rPr>
                <w:color w:val="212121"/>
                <w:sz w:val="20"/>
                <w:szCs w:val="20"/>
              </w:rPr>
              <w:t>0.50–0.65</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634F34F" w14:textId="77777777" w:rsidR="00DC11F9" w:rsidRDefault="003E4B29">
            <w:pPr>
              <w:jc w:val="center"/>
            </w:pPr>
            <w:r>
              <w:rPr>
                <w:color w:val="212121"/>
                <w:sz w:val="20"/>
                <w:szCs w:val="20"/>
              </w:rPr>
              <w:t>0.35–0.50</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866EC27" w14:textId="77777777" w:rsidR="00DC11F9" w:rsidRDefault="003E4B29">
            <w:pPr>
              <w:jc w:val="center"/>
            </w:pPr>
            <w:r>
              <w:rPr>
                <w:color w:val="212121"/>
                <w:sz w:val="20"/>
                <w:szCs w:val="20"/>
              </w:rPr>
              <w:t>&lt; 0.35</w:t>
            </w:r>
          </w:p>
        </w:tc>
      </w:tr>
      <w:tr w:rsidR="00DC11F9" w14:paraId="20607AF4" w14:textId="77777777">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5B94EAD8" w14:textId="77777777" w:rsidR="00DC11F9" w:rsidRDefault="003E4B29">
            <w:pPr>
              <w:jc w:val="center"/>
            </w:pPr>
            <w:r>
              <w:rPr>
                <w:color w:val="212121"/>
                <w:sz w:val="20"/>
                <w:szCs w:val="20"/>
              </w:rPr>
              <w:t>Spectral Resilience</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B02428C" w14:textId="77777777" w:rsidR="00DC11F9" w:rsidRDefault="003E4B29">
            <w:pPr>
              <w:jc w:val="center"/>
            </w:pPr>
            <w:r>
              <w:rPr>
                <w:color w:val="212121"/>
                <w:sz w:val="20"/>
                <w:szCs w:val="20"/>
              </w:rPr>
              <w:t>SVRI</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0BFEC26" w14:textId="77777777" w:rsidR="00DC11F9" w:rsidRDefault="003E4B29">
            <w:pPr>
              <w:jc w:val="center"/>
            </w:pPr>
            <w:r>
              <w:rPr>
                <w:color w:val="212121"/>
                <w:sz w:val="20"/>
                <w:szCs w:val="20"/>
              </w:rPr>
              <w:t>&gt; 0.70</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DD327DF" w14:textId="77777777" w:rsidR="00DC11F9" w:rsidRDefault="003E4B29">
            <w:pPr>
              <w:jc w:val="center"/>
            </w:pPr>
            <w:r>
              <w:rPr>
                <w:color w:val="212121"/>
                <w:sz w:val="20"/>
                <w:szCs w:val="20"/>
              </w:rPr>
              <w:t>0.55–0.70</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8AD8D73" w14:textId="77777777" w:rsidR="00DC11F9" w:rsidRDefault="003E4B29">
            <w:pPr>
              <w:jc w:val="center"/>
            </w:pPr>
            <w:r>
              <w:rPr>
                <w:color w:val="212121"/>
                <w:sz w:val="20"/>
                <w:szCs w:val="20"/>
              </w:rPr>
              <w:t>0.40–0.55</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5183CC9" w14:textId="77777777" w:rsidR="00DC11F9" w:rsidRDefault="003E4B29">
            <w:pPr>
              <w:jc w:val="center"/>
            </w:pPr>
            <w:r>
              <w:rPr>
                <w:color w:val="212121"/>
                <w:sz w:val="20"/>
                <w:szCs w:val="20"/>
              </w:rPr>
              <w:t>0.25–0.40</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DE0B3DA" w14:textId="77777777" w:rsidR="00DC11F9" w:rsidRDefault="003E4B29">
            <w:pPr>
              <w:jc w:val="center"/>
            </w:pPr>
            <w:r>
              <w:rPr>
                <w:color w:val="212121"/>
                <w:sz w:val="20"/>
                <w:szCs w:val="20"/>
              </w:rPr>
              <w:t>&lt; 0.25</w:t>
            </w:r>
          </w:p>
        </w:tc>
      </w:tr>
      <w:tr w:rsidR="00DC11F9" w14:paraId="544EC42E" w14:textId="77777777">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059A46E" w14:textId="77777777" w:rsidR="00DC11F9" w:rsidRDefault="003E4B29">
            <w:pPr>
              <w:jc w:val="center"/>
            </w:pPr>
            <w:r>
              <w:rPr>
                <w:color w:val="212121"/>
                <w:sz w:val="20"/>
                <w:szCs w:val="20"/>
              </w:rPr>
              <w:t>Water-Energy Ratio</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A05D5DE" w14:textId="77777777" w:rsidR="00DC11F9" w:rsidRDefault="003E4B29">
            <w:pPr>
              <w:jc w:val="center"/>
            </w:pPr>
            <w:r>
              <w:rPr>
                <w:color w:val="212121"/>
                <w:sz w:val="20"/>
                <w:szCs w:val="20"/>
              </w:rPr>
              <w:t>WEPR</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4CEA918B" w14:textId="77777777" w:rsidR="00DC11F9" w:rsidRDefault="003E4B29">
            <w:pPr>
              <w:jc w:val="center"/>
            </w:pPr>
            <w:r>
              <w:rPr>
                <w:color w:val="212121"/>
                <w:sz w:val="20"/>
                <w:szCs w:val="20"/>
              </w:rPr>
              <w:t>&gt; 0.75</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DDE70EA" w14:textId="77777777" w:rsidR="00DC11F9" w:rsidRDefault="003E4B29">
            <w:pPr>
              <w:jc w:val="center"/>
            </w:pPr>
            <w:r>
              <w:rPr>
                <w:color w:val="212121"/>
                <w:sz w:val="20"/>
                <w:szCs w:val="20"/>
              </w:rPr>
              <w:t>0.60–0.75</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99E9EAB" w14:textId="77777777" w:rsidR="00DC11F9" w:rsidRDefault="003E4B29">
            <w:pPr>
              <w:jc w:val="center"/>
            </w:pPr>
            <w:r>
              <w:rPr>
                <w:color w:val="212121"/>
                <w:sz w:val="20"/>
                <w:szCs w:val="20"/>
              </w:rPr>
              <w:t>0.45–0.60</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539E1E9" w14:textId="77777777" w:rsidR="00DC11F9" w:rsidRDefault="003E4B29">
            <w:pPr>
              <w:jc w:val="center"/>
            </w:pPr>
            <w:r>
              <w:rPr>
                <w:color w:val="212121"/>
                <w:sz w:val="20"/>
                <w:szCs w:val="20"/>
              </w:rPr>
              <w:t>0.30–0.45</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89C6EAD" w14:textId="77777777" w:rsidR="00DC11F9" w:rsidRDefault="003E4B29">
            <w:pPr>
              <w:jc w:val="center"/>
            </w:pPr>
            <w:r>
              <w:rPr>
                <w:color w:val="212121"/>
                <w:sz w:val="20"/>
                <w:szCs w:val="20"/>
              </w:rPr>
              <w:t>&lt; 0.30</w:t>
            </w:r>
          </w:p>
        </w:tc>
      </w:tr>
      <w:tr w:rsidR="00DC11F9" w14:paraId="1F44CD2C" w14:textId="77777777">
        <w:tc>
          <w:tcPr>
            <w:tcW w:w="20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CC8F0AD" w14:textId="77777777" w:rsidR="00DC11F9" w:rsidRDefault="003E4B29">
            <w:pPr>
              <w:jc w:val="center"/>
            </w:pPr>
            <w:r>
              <w:rPr>
                <w:color w:val="212121"/>
                <w:sz w:val="20"/>
                <w:szCs w:val="20"/>
              </w:rPr>
              <w:t>Biodiversity Stability</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3C60020" w14:textId="77777777" w:rsidR="00DC11F9" w:rsidRDefault="003E4B29">
            <w:pPr>
              <w:jc w:val="center"/>
            </w:pPr>
            <w:r>
              <w:rPr>
                <w:color w:val="212121"/>
                <w:sz w:val="20"/>
                <w:szCs w:val="20"/>
              </w:rPr>
              <w:t>BST</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0DFFBF65" w14:textId="77777777" w:rsidR="00DC11F9" w:rsidRDefault="003E4B29">
            <w:pPr>
              <w:jc w:val="center"/>
            </w:pPr>
            <w:r>
              <w:rPr>
                <w:color w:val="212121"/>
                <w:sz w:val="20"/>
                <w:szCs w:val="20"/>
              </w:rPr>
              <w:t>&lt; 0.15</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75E2B3B" w14:textId="77777777" w:rsidR="00DC11F9" w:rsidRDefault="003E4B29">
            <w:pPr>
              <w:jc w:val="center"/>
            </w:pPr>
            <w:r>
              <w:rPr>
                <w:color w:val="212121"/>
                <w:sz w:val="20"/>
                <w:szCs w:val="20"/>
              </w:rPr>
              <w:t>0.15–0.35</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2AD5059" w14:textId="77777777" w:rsidR="00DC11F9" w:rsidRDefault="003E4B29">
            <w:pPr>
              <w:jc w:val="center"/>
            </w:pPr>
            <w:r>
              <w:rPr>
                <w:color w:val="212121"/>
                <w:sz w:val="20"/>
                <w:szCs w:val="20"/>
              </w:rPr>
              <w:t>0.35–0.55</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DF03EF9" w14:textId="77777777" w:rsidR="00DC11F9" w:rsidRDefault="003E4B29">
            <w:pPr>
              <w:jc w:val="center"/>
            </w:pPr>
            <w:r>
              <w:rPr>
                <w:color w:val="212121"/>
                <w:sz w:val="20"/>
                <w:szCs w:val="20"/>
              </w:rPr>
              <w:t>0.55–0.75</w:t>
            </w:r>
          </w:p>
        </w:tc>
        <w:tc>
          <w:tcPr>
            <w:tcW w:w="11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4ACABB9" w14:textId="77777777" w:rsidR="00DC11F9" w:rsidRDefault="003E4B29">
            <w:pPr>
              <w:jc w:val="center"/>
            </w:pPr>
            <w:r>
              <w:rPr>
                <w:color w:val="212121"/>
                <w:sz w:val="20"/>
                <w:szCs w:val="20"/>
              </w:rPr>
              <w:t>&gt; 0.75</w:t>
            </w:r>
          </w:p>
        </w:tc>
      </w:tr>
      <w:tr w:rsidR="00DC11F9" w14:paraId="27117DC9" w14:textId="77777777">
        <w:tc>
          <w:tcPr>
            <w:tcW w:w="20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D7FD94B" w14:textId="77777777" w:rsidR="00DC11F9" w:rsidRDefault="003E4B29">
            <w:pPr>
              <w:jc w:val="center"/>
            </w:pPr>
            <w:r>
              <w:rPr>
                <w:color w:val="212121"/>
                <w:sz w:val="20"/>
                <w:szCs w:val="20"/>
              </w:rPr>
              <w:t>COMPOSITE</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CBFD097" w14:textId="77777777" w:rsidR="00DC11F9" w:rsidRDefault="003E4B29">
            <w:pPr>
              <w:jc w:val="center"/>
            </w:pPr>
            <w:r>
              <w:rPr>
                <w:color w:val="212121"/>
                <w:sz w:val="20"/>
                <w:szCs w:val="20"/>
              </w:rPr>
              <w:t>OHI</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05B1E921" w14:textId="77777777" w:rsidR="00DC11F9" w:rsidRDefault="003E4B29">
            <w:pPr>
              <w:jc w:val="center"/>
            </w:pPr>
            <w:r>
              <w:rPr>
                <w:color w:val="212121"/>
                <w:sz w:val="20"/>
                <w:szCs w:val="20"/>
              </w:rPr>
              <w:t>&lt; 0.25</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5495A47" w14:textId="77777777" w:rsidR="00DC11F9" w:rsidRDefault="003E4B29">
            <w:pPr>
              <w:jc w:val="center"/>
            </w:pPr>
            <w:r>
              <w:rPr>
                <w:color w:val="212121"/>
                <w:sz w:val="20"/>
                <w:szCs w:val="20"/>
              </w:rPr>
              <w:t>0.25–0.45</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3A190D9E" w14:textId="77777777" w:rsidR="00DC11F9" w:rsidRDefault="003E4B29">
            <w:pPr>
              <w:jc w:val="center"/>
            </w:pPr>
            <w:r>
              <w:rPr>
                <w:color w:val="212121"/>
                <w:sz w:val="20"/>
                <w:szCs w:val="20"/>
              </w:rPr>
              <w:t>0.45–0.65</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6E2C263C" w14:textId="77777777" w:rsidR="00DC11F9" w:rsidRDefault="003E4B29">
            <w:pPr>
              <w:jc w:val="center"/>
            </w:pPr>
            <w:r>
              <w:rPr>
                <w:color w:val="212121"/>
                <w:sz w:val="20"/>
                <w:szCs w:val="20"/>
              </w:rPr>
              <w:t>0.65–0.80</w:t>
            </w:r>
          </w:p>
        </w:tc>
        <w:tc>
          <w:tcPr>
            <w:tcW w:w="11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2EC3C2B6" w14:textId="77777777" w:rsidR="00DC11F9" w:rsidRDefault="003E4B29">
            <w:pPr>
              <w:jc w:val="center"/>
            </w:pPr>
            <w:r>
              <w:rPr>
                <w:color w:val="212121"/>
                <w:sz w:val="20"/>
                <w:szCs w:val="20"/>
              </w:rPr>
              <w:t>&gt; 0.80</w:t>
            </w:r>
          </w:p>
        </w:tc>
      </w:tr>
    </w:tbl>
    <w:p w14:paraId="65134E4D" w14:textId="77777777" w:rsidR="00DC11F9" w:rsidRDefault="00DC11F9">
      <w:pPr>
        <w:spacing w:before="60" w:after="60"/>
      </w:pPr>
    </w:p>
    <w:p w14:paraId="30AFC859" w14:textId="77777777" w:rsidR="00DC11F9" w:rsidRDefault="003E4B29">
      <w:pPr>
        <w:pStyle w:val="Titre1"/>
        <w:pBdr>
          <w:bottom w:val="single" w:sz="4" w:space="4" w:color="2E7D32"/>
        </w:pBdr>
      </w:pPr>
      <w:r>
        <w:t>📎  APPENDIX D — Data Availability</w:t>
      </w:r>
    </w:p>
    <w:p w14:paraId="62A5D925" w14:textId="77777777" w:rsidR="00DC11F9" w:rsidRDefault="003E4B29">
      <w:pPr>
        <w:spacing w:before="120" w:after="100" w:line="300" w:lineRule="auto"/>
        <w:jc w:val="both"/>
      </w:pPr>
      <w:r>
        <w:rPr>
          <w:color w:val="212121"/>
        </w:rPr>
        <w:t>All observational data used in this study are publicly available from the following institutional repositories:</w:t>
      </w:r>
    </w:p>
    <w:p w14:paraId="338DF153" w14:textId="77777777" w:rsidR="00140837" w:rsidRDefault="003E4B29">
      <w:pPr>
        <w:spacing w:before="60" w:after="60"/>
        <w:ind w:left="360"/>
        <w:rPr>
          <w:sz w:val="21"/>
          <w:szCs w:val="21"/>
        </w:rPr>
      </w:pPr>
      <w:r>
        <w:rPr>
          <w:sz w:val="21"/>
          <w:szCs w:val="21"/>
        </w:rPr>
        <w:t xml:space="preserve">• Satellite Data: Copernicus Open Access Hub: https://scihub.copernicus.eu | </w:t>
      </w:r>
    </w:p>
    <w:p w14:paraId="0F883FFA" w14:textId="03501DA5" w:rsidR="00DC11F9" w:rsidRDefault="003E4B29">
      <w:pPr>
        <w:spacing w:before="60" w:after="60"/>
        <w:ind w:left="360"/>
      </w:pPr>
      <w:r>
        <w:rPr>
          <w:sz w:val="21"/>
          <w:szCs w:val="21"/>
        </w:rPr>
        <w:t>NASA Earthdata: https://earthdata.nasa.gov</w:t>
      </w:r>
    </w:p>
    <w:p w14:paraId="790B23FF" w14:textId="77777777" w:rsidR="00DC11F9" w:rsidRDefault="003E4B29">
      <w:pPr>
        <w:spacing w:before="60" w:after="60"/>
        <w:ind w:left="360"/>
      </w:pPr>
      <w:r>
        <w:rPr>
          <w:sz w:val="21"/>
          <w:szCs w:val="21"/>
        </w:rPr>
        <w:t>• Groundwater Data: WHYCOS (World Hydrological Cycle Observing System): https://www.whycos.org</w:t>
      </w:r>
    </w:p>
    <w:p w14:paraId="3B70E719" w14:textId="77777777" w:rsidR="00DC11F9" w:rsidRDefault="003E4B29">
      <w:pPr>
        <w:spacing w:before="60" w:after="60"/>
        <w:ind w:left="360"/>
      </w:pPr>
      <w:r>
        <w:rPr>
          <w:sz w:val="21"/>
          <w:szCs w:val="21"/>
        </w:rPr>
        <w:t>• Oasis Biodiversity: GBIF (Global Biodiversity Information Facility): https://www.gbif.org</w:t>
      </w:r>
    </w:p>
    <w:p w14:paraId="797AD4E5" w14:textId="77777777" w:rsidR="009F357D" w:rsidRDefault="003E4B29">
      <w:pPr>
        <w:spacing w:before="60" w:after="60"/>
        <w:ind w:left="360"/>
        <w:rPr>
          <w:sz w:val="21"/>
          <w:szCs w:val="21"/>
        </w:rPr>
      </w:pPr>
      <w:r>
        <w:rPr>
          <w:sz w:val="21"/>
          <w:szCs w:val="21"/>
        </w:rPr>
        <w:t xml:space="preserve">• Climate/Meteorology: ERA5 </w:t>
      </w:r>
    </w:p>
    <w:p w14:paraId="755E6E7D" w14:textId="31D5FDEA" w:rsidR="00DC11F9" w:rsidRDefault="003E4B29">
      <w:pPr>
        <w:spacing w:before="60" w:after="60"/>
        <w:ind w:left="360"/>
      </w:pPr>
      <w:r>
        <w:rPr>
          <w:sz w:val="21"/>
          <w:szCs w:val="21"/>
        </w:rPr>
        <w:t>Reanalysis (ECMWF): https://cds.climate.copernicus.eu</w:t>
      </w:r>
    </w:p>
    <w:p w14:paraId="69632651" w14:textId="77777777" w:rsidR="00141ABD" w:rsidRDefault="003E4B29">
      <w:pPr>
        <w:spacing w:before="60" w:after="60"/>
        <w:ind w:left="360"/>
        <w:rPr>
          <w:sz w:val="21"/>
          <w:szCs w:val="21"/>
        </w:rPr>
      </w:pPr>
      <w:r>
        <w:rPr>
          <w:sz w:val="21"/>
          <w:szCs w:val="21"/>
        </w:rPr>
        <w:t xml:space="preserve">• PALMA Project Repository: </w:t>
      </w:r>
    </w:p>
    <w:p w14:paraId="036D7FC9" w14:textId="0747D280" w:rsidR="00813281" w:rsidRDefault="003E4B29">
      <w:pPr>
        <w:spacing w:before="60" w:after="60"/>
        <w:ind w:left="360"/>
        <w:rPr>
          <w:sz w:val="21"/>
          <w:szCs w:val="21"/>
        </w:rPr>
      </w:pPr>
      <w:r>
        <w:rPr>
          <w:sz w:val="21"/>
          <w:szCs w:val="21"/>
        </w:rPr>
        <w:t xml:space="preserve">GitLab: https://gitlab.com/gitdeeper4/palma | </w:t>
      </w:r>
    </w:p>
    <w:p w14:paraId="42C1AB65" w14:textId="62020B04" w:rsidR="00DC11F9" w:rsidRDefault="003E4B29">
      <w:pPr>
        <w:spacing w:before="60" w:after="60"/>
        <w:ind w:left="360"/>
      </w:pPr>
      <w:r>
        <w:rPr>
          <w:sz w:val="21"/>
          <w:szCs w:val="21"/>
        </w:rPr>
        <w:t>GitHub: https://github.com/gitdeeper4/palma</w:t>
      </w:r>
    </w:p>
    <w:p w14:paraId="1AD91072" w14:textId="77777777" w:rsidR="00DC11F9" w:rsidRDefault="003E4B29">
      <w:pPr>
        <w:spacing w:before="60" w:after="60"/>
        <w:ind w:left="360"/>
      </w:pPr>
      <w:r>
        <w:rPr>
          <w:sz w:val="21"/>
          <w:szCs w:val="21"/>
        </w:rPr>
        <w:t>• Documentation &amp; Dashboard: https://palma-oasis.netlify.app</w:t>
      </w:r>
    </w:p>
    <w:p w14:paraId="14589539" w14:textId="3B0F2705" w:rsidR="00DC11F9" w:rsidRDefault="003E4B29">
      <w:pPr>
        <w:spacing w:before="60" w:after="60"/>
        <w:ind w:left="360"/>
        <w:rPr>
          <w:sz w:val="21"/>
          <w:szCs w:val="21"/>
        </w:rPr>
      </w:pPr>
      <w:r>
        <w:rPr>
          <w:sz w:val="21"/>
          <w:szCs w:val="21"/>
        </w:rPr>
        <w:t xml:space="preserve">• Zenodo Dataset Archive: </w:t>
      </w:r>
    </w:p>
    <w:p w14:paraId="542A3A53" w14:textId="510E7380" w:rsidR="00C85EC0" w:rsidRDefault="00C85EC0">
      <w:pPr>
        <w:spacing w:before="60" w:after="60"/>
        <w:ind w:left="360"/>
        <w:rPr>
          <w:sz w:val="21"/>
          <w:szCs w:val="21"/>
        </w:rPr>
      </w:pPr>
      <w:hyperlink r:id="rId8" w:history="1">
        <w:r w:rsidRPr="00074CC9">
          <w:rPr>
            <w:rStyle w:val="Lienhypertexte"/>
            <w:sz w:val="21"/>
            <w:szCs w:val="21"/>
          </w:rPr>
          <w:t>https://zenodo.org/record/18706409</w:t>
        </w:r>
      </w:hyperlink>
    </w:p>
    <w:p w14:paraId="25615AD7" w14:textId="75658EF5" w:rsidR="00DC11F9" w:rsidRDefault="003E4B29">
      <w:pPr>
        <w:spacing w:before="60" w:after="60"/>
        <w:ind w:left="360"/>
      </w:pPr>
      <w:r>
        <w:rPr>
          <w:sz w:val="21"/>
          <w:szCs w:val="21"/>
        </w:rPr>
        <w:t>• Contact: gitdeeper@gmail.com | Subject: "PALMA Data — [topic]" | Response: 5–7 business days</w:t>
      </w:r>
    </w:p>
    <w:p w14:paraId="22E6A740" w14:textId="77777777" w:rsidR="00DC11F9" w:rsidRDefault="003E4B29">
      <w:pPr>
        <w:pStyle w:val="Titre1"/>
        <w:pBdr>
          <w:bottom w:val="single" w:sz="4" w:space="4" w:color="2E7D32"/>
        </w:pBdr>
      </w:pPr>
      <w:r>
        <w:t>📎  APPENDIX E — Author Contributions (CRediT Taxonomy)</w:t>
      </w:r>
    </w:p>
    <w:tbl>
      <w:tblPr>
        <w:tblW w:w="920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600"/>
        <w:gridCol w:w="6600"/>
      </w:tblGrid>
      <w:tr w:rsidR="00DC11F9" w14:paraId="370E21AB" w14:textId="77777777">
        <w:trPr>
          <w:tblHeader/>
        </w:trPr>
        <w:tc>
          <w:tcPr>
            <w:tcW w:w="26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05AAFE1F" w14:textId="77777777" w:rsidR="00DC11F9" w:rsidRDefault="003E4B29">
            <w:pPr>
              <w:jc w:val="center"/>
            </w:pPr>
            <w:r>
              <w:rPr>
                <w:b/>
                <w:bCs/>
                <w:color w:val="FFFFFF"/>
                <w:sz w:val="20"/>
                <w:szCs w:val="20"/>
              </w:rPr>
              <w:t>Author</w:t>
            </w:r>
          </w:p>
        </w:tc>
        <w:tc>
          <w:tcPr>
            <w:tcW w:w="6600" w:type="dxa"/>
            <w:tcBorders>
              <w:top w:val="single" w:sz="1" w:space="0" w:color="BDBDBD"/>
              <w:left w:val="single" w:sz="1" w:space="0" w:color="BDBDBD"/>
              <w:bottom w:val="single" w:sz="1" w:space="0" w:color="BDBDBD"/>
              <w:right w:val="single" w:sz="1" w:space="0" w:color="BDBDBD"/>
            </w:tcBorders>
            <w:shd w:val="clear" w:color="auto" w:fill="2E7D32"/>
            <w:tcMar>
              <w:top w:w="80" w:type="dxa"/>
              <w:left w:w="120" w:type="dxa"/>
              <w:bottom w:w="80" w:type="dxa"/>
              <w:right w:w="120" w:type="dxa"/>
            </w:tcMar>
          </w:tcPr>
          <w:p w14:paraId="0BE3A3C3" w14:textId="77777777" w:rsidR="00DC11F9" w:rsidRDefault="003E4B29">
            <w:pPr>
              <w:jc w:val="center"/>
            </w:pPr>
            <w:r>
              <w:rPr>
                <w:b/>
                <w:bCs/>
                <w:color w:val="FFFFFF"/>
                <w:sz w:val="20"/>
                <w:szCs w:val="20"/>
              </w:rPr>
              <w:t>Role &amp; Contributions</w:t>
            </w:r>
          </w:p>
        </w:tc>
      </w:tr>
      <w:tr w:rsidR="00DC11F9" w14:paraId="143F4FB9" w14:textId="77777777">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42E6EF2" w14:textId="77777777" w:rsidR="00DC11F9" w:rsidRDefault="003E4B29">
            <w:pPr>
              <w:jc w:val="center"/>
            </w:pPr>
            <w:r>
              <w:rPr>
                <w:color w:val="212121"/>
                <w:sz w:val="20"/>
                <w:szCs w:val="20"/>
              </w:rPr>
              <w:t>Samir Baladi¹* ORCID: 0009-0003-8903-0029</w:t>
            </w:r>
          </w:p>
        </w:tc>
        <w:tc>
          <w:tcPr>
            <w:tcW w:w="6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462FAE0" w14:textId="77777777" w:rsidR="00DC11F9" w:rsidRDefault="003E4B29">
            <w:pPr>
              <w:jc w:val="center"/>
            </w:pPr>
            <w:r>
              <w:rPr>
                <w:color w:val="212121"/>
                <w:sz w:val="20"/>
                <w:szCs w:val="20"/>
              </w:rPr>
              <w:t>Principal Investigator · Conceptualization · Methodology · Software (PALMA framework) · Formal Analysis · Investigation · Writing – Original Draft · Visualization · Supervision · Funding Acquisition</w:t>
            </w:r>
          </w:p>
        </w:tc>
      </w:tr>
      <w:tr w:rsidR="00DC11F9" w14:paraId="5A32C7C2" w14:textId="77777777">
        <w:tc>
          <w:tcPr>
            <w:tcW w:w="2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BE238B5" w14:textId="77777777" w:rsidR="00DC11F9" w:rsidRDefault="003E4B29">
            <w:pPr>
              <w:jc w:val="center"/>
            </w:pPr>
            <w:r>
              <w:rPr>
                <w:color w:val="212121"/>
                <w:sz w:val="20"/>
                <w:szCs w:val="20"/>
              </w:rPr>
              <w:t>Dr. Leila Nassar²</w:t>
            </w:r>
          </w:p>
        </w:tc>
        <w:tc>
          <w:tcPr>
            <w:tcW w:w="6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10A6630E" w14:textId="77777777" w:rsidR="00DC11F9" w:rsidRDefault="003E4B29">
            <w:pPr>
              <w:jc w:val="center"/>
            </w:pPr>
            <w:r>
              <w:rPr>
                <w:color w:val="212121"/>
                <w:sz w:val="20"/>
                <w:szCs w:val="20"/>
              </w:rPr>
              <w:t>PTSI and CMBF thermal parameterization · Saharan field campaign coordination · UAV thermal mission design · Review &amp; Editing (thermal sections)</w:t>
            </w:r>
          </w:p>
        </w:tc>
      </w:tr>
      <w:tr w:rsidR="00DC11F9" w14:paraId="6A5518C4" w14:textId="77777777">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692635BD" w14:textId="77777777" w:rsidR="00DC11F9" w:rsidRDefault="003E4B29">
            <w:pPr>
              <w:jc w:val="center"/>
            </w:pPr>
            <w:r>
              <w:rPr>
                <w:color w:val="212121"/>
                <w:sz w:val="20"/>
                <w:szCs w:val="20"/>
              </w:rPr>
              <w:t>Prof. Tariq Al-Rashidi³</w:t>
            </w:r>
          </w:p>
        </w:tc>
        <w:tc>
          <w:tcPr>
            <w:tcW w:w="6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79E892CF" w14:textId="77777777" w:rsidR="00DC11F9" w:rsidRDefault="003E4B29">
            <w:pPr>
              <w:jc w:val="center"/>
            </w:pPr>
            <w:r>
              <w:rPr>
                <w:color w:val="212121"/>
                <w:sz w:val="20"/>
                <w:szCs w:val="20"/>
              </w:rPr>
              <w:t>ARVC aquifer modeling · Arabian Peninsula case studies (Al-Ahsa, Liwa) · Hydrogeological data interpretation · Review (hydrology sections)</w:t>
            </w:r>
          </w:p>
        </w:tc>
      </w:tr>
      <w:tr w:rsidR="00DC11F9" w14:paraId="000729F6" w14:textId="77777777">
        <w:tc>
          <w:tcPr>
            <w:tcW w:w="2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5DA403EC" w14:textId="77777777" w:rsidR="00DC11F9" w:rsidRDefault="003E4B29">
            <w:pPr>
              <w:jc w:val="center"/>
            </w:pPr>
            <w:r>
              <w:rPr>
                <w:color w:val="212121"/>
                <w:sz w:val="20"/>
                <w:szCs w:val="20"/>
              </w:rPr>
              <w:t>Dr. Amina Oufkir⁴</w:t>
            </w:r>
          </w:p>
        </w:tc>
        <w:tc>
          <w:tcPr>
            <w:tcW w:w="6600" w:type="dxa"/>
            <w:tcBorders>
              <w:top w:val="single" w:sz="1" w:space="0" w:color="BDBDBD"/>
              <w:left w:val="single" w:sz="1" w:space="0" w:color="BDBDBD"/>
              <w:bottom w:val="single" w:sz="1" w:space="0" w:color="BDBDBD"/>
              <w:right w:val="single" w:sz="1" w:space="0" w:color="BDBDBD"/>
            </w:tcBorders>
            <w:shd w:val="clear" w:color="auto" w:fill="FFFFFF"/>
            <w:tcMar>
              <w:top w:w="60" w:type="dxa"/>
              <w:left w:w="120" w:type="dxa"/>
              <w:bottom w:w="60" w:type="dxa"/>
              <w:right w:w="120" w:type="dxa"/>
            </w:tcMar>
          </w:tcPr>
          <w:p w14:paraId="78376413" w14:textId="77777777" w:rsidR="00DC11F9" w:rsidRDefault="003E4B29">
            <w:pPr>
              <w:jc w:val="center"/>
            </w:pPr>
            <w:r>
              <w:rPr>
                <w:color w:val="212121"/>
                <w:sz w:val="20"/>
                <w:szCs w:val="20"/>
              </w:rPr>
              <w:t>SSSP salinity field validation · Draa-Tafilalet monitoring · Soil chemistry laboratory analysis · Review (soil science sections)</w:t>
            </w:r>
          </w:p>
        </w:tc>
      </w:tr>
      <w:tr w:rsidR="00DC11F9" w14:paraId="46908424" w14:textId="77777777">
        <w:tc>
          <w:tcPr>
            <w:tcW w:w="2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2DE17BFD" w14:textId="77777777" w:rsidR="00DC11F9" w:rsidRDefault="003E4B29">
            <w:pPr>
              <w:jc w:val="center"/>
            </w:pPr>
            <w:r>
              <w:rPr>
                <w:color w:val="212121"/>
                <w:sz w:val="20"/>
                <w:szCs w:val="20"/>
              </w:rPr>
              <w:t>Dr. Youssef Hamdan⁵</w:t>
            </w:r>
          </w:p>
        </w:tc>
        <w:tc>
          <w:tcPr>
            <w:tcW w:w="6600" w:type="dxa"/>
            <w:tcBorders>
              <w:top w:val="single" w:sz="1" w:space="0" w:color="BDBDBD"/>
              <w:left w:val="single" w:sz="1" w:space="0" w:color="BDBDBD"/>
              <w:bottom w:val="single" w:sz="1" w:space="0" w:color="BDBDBD"/>
              <w:right w:val="single" w:sz="1" w:space="0" w:color="BDBDBD"/>
            </w:tcBorders>
            <w:shd w:val="clear" w:color="auto" w:fill="E8F5E9"/>
            <w:tcMar>
              <w:top w:w="60" w:type="dxa"/>
              <w:left w:w="120" w:type="dxa"/>
              <w:bottom w:w="60" w:type="dxa"/>
              <w:right w:w="120" w:type="dxa"/>
            </w:tcMar>
          </w:tcPr>
          <w:p w14:paraId="3E5E668A" w14:textId="77777777" w:rsidR="00DC11F9" w:rsidRDefault="003E4B29">
            <w:pPr>
              <w:jc w:val="center"/>
            </w:pPr>
            <w:r>
              <w:rPr>
                <w:color w:val="212121"/>
                <w:sz w:val="20"/>
                <w:szCs w:val="20"/>
              </w:rPr>
              <w:t>SVRI spectral calibration · Egyptian oasis Sentinel-2 processing · BST biodiversity survey protocol · Review (remote sensing, ecology)</w:t>
            </w:r>
          </w:p>
        </w:tc>
      </w:tr>
    </w:tbl>
    <w:p w14:paraId="312A21E9" w14:textId="77777777" w:rsidR="00DC11F9" w:rsidRDefault="00DC11F9">
      <w:pPr>
        <w:spacing w:before="60" w:after="60"/>
      </w:pPr>
    </w:p>
    <w:p w14:paraId="3863B067" w14:textId="77777777" w:rsidR="00DC11F9" w:rsidRDefault="00DC11F9">
      <w:pPr>
        <w:spacing w:before="60" w:after="60"/>
      </w:pPr>
    </w:p>
    <w:p w14:paraId="63732134" w14:textId="77777777" w:rsidR="00DC11F9" w:rsidRDefault="003E4B29">
      <w:pPr>
        <w:spacing w:before="180" w:after="100" w:line="276" w:lineRule="auto"/>
        <w:jc w:val="both"/>
      </w:pPr>
      <w:r>
        <w:rPr>
          <w:color w:val="212121"/>
          <w:sz w:val="20"/>
          <w:szCs w:val="20"/>
        </w:rPr>
        <w:t>ACKNOWLEDGMENTS: The authors thank the Al-Ahsa Oasis Development Authority (Saudi Arabia), the Agence Nationale du Développement des Zones Arides (Algeria), the Haut-Commissariat aux Eaux et Forêts et à la Lutte Contre la Désertification (Morocco), the Egyptian Ministry of Environment, and the Dunhuang Academy (China) for facilitating field access and providing historical monitoring data. We are indebted to the oasis farming communities of Tafilalet, Ghardaïa, and Al-Ahsa whose ancestral ecological knowledge informed our parameter development.</w:t>
      </w:r>
    </w:p>
    <w:p w14:paraId="52CDB429" w14:textId="77777777" w:rsidR="00DC11F9" w:rsidRDefault="003E4B29">
      <w:pPr>
        <w:spacing w:before="100" w:after="100" w:line="276" w:lineRule="auto"/>
        <w:jc w:val="both"/>
      </w:pPr>
      <w:r>
        <w:rPr>
          <w:color w:val="212121"/>
          <w:sz w:val="20"/>
          <w:szCs w:val="20"/>
        </w:rPr>
        <w:t>FUNDING: NSF-EAR Grant #2026-PALMA: $1.6M "Multi-Physics Assessment of Oasis Ecosystem Resilience" · UNESCO-IHP Grant €380K "Oasis Water Security in the MENA Region" · Ronin Institute Independent Scholar Award: $48K · Total: $2.08M</w:t>
      </w:r>
    </w:p>
    <w:p w14:paraId="388574CB" w14:textId="77777777" w:rsidR="00DC11F9" w:rsidRDefault="003E4B29">
      <w:pPr>
        <w:spacing w:before="100" w:after="100" w:line="276" w:lineRule="auto"/>
        <w:jc w:val="both"/>
      </w:pPr>
      <w:r>
        <w:rPr>
          <w:color w:val="212121"/>
          <w:sz w:val="20"/>
          <w:szCs w:val="20"/>
        </w:rPr>
        <w:t>CONFLICTS OF INTEREST: None declared. This study uses publicly available institutional data only. No human subjects involved. All data use complies with institutional data agreements.</w:t>
      </w:r>
    </w:p>
    <w:p w14:paraId="64A8B3A9" w14:textId="77777777" w:rsidR="001A7172" w:rsidRPr="00622537" w:rsidRDefault="003E4B29" w:rsidP="001A7172">
      <w:pPr>
        <w:spacing w:before="60" w:after="60"/>
        <w:rPr>
          <w:sz w:val="21"/>
          <w:szCs w:val="21"/>
        </w:rPr>
      </w:pPr>
      <w:r>
        <w:rPr>
          <w:color w:val="212121"/>
          <w:sz w:val="20"/>
          <w:szCs w:val="20"/>
        </w:rPr>
        <w:t>DOI:</w:t>
      </w:r>
      <w:r w:rsidR="001A7172">
        <w:rPr>
          <w:color w:val="212121"/>
          <w:sz w:val="20"/>
          <w:szCs w:val="20"/>
        </w:rPr>
        <w:t xml:space="preserve"> </w:t>
      </w:r>
      <w:r w:rsidR="001A7172">
        <w:rPr>
          <w:sz w:val="21"/>
          <w:szCs w:val="21"/>
        </w:rPr>
        <w:t>https://doi.org/10.5281/zenodo.18706409</w:t>
      </w:r>
    </w:p>
    <w:p w14:paraId="72DE58CC" w14:textId="37014432" w:rsidR="00DC11F9" w:rsidRDefault="00DC11F9">
      <w:pPr>
        <w:spacing w:before="100" w:after="100" w:line="276" w:lineRule="auto"/>
        <w:jc w:val="both"/>
        <w:rPr>
          <w:color w:val="212121"/>
          <w:sz w:val="20"/>
          <w:szCs w:val="20"/>
        </w:rPr>
      </w:pPr>
    </w:p>
    <w:p w14:paraId="752A5706" w14:textId="77777777" w:rsidR="00EC5306" w:rsidRDefault="00EC5306">
      <w:pPr>
        <w:spacing w:before="100" w:after="100" w:line="276" w:lineRule="auto"/>
        <w:jc w:val="both"/>
      </w:pPr>
    </w:p>
    <w:p w14:paraId="57018E22" w14:textId="77777777" w:rsidR="00DC11F9" w:rsidRDefault="003E4B29">
      <w:pPr>
        <w:spacing w:before="360" w:after="120"/>
        <w:jc w:val="center"/>
      </w:pPr>
      <w:r>
        <w:rPr>
          <w:b/>
          <w:bCs/>
          <w:color w:val="2E7D32"/>
        </w:rPr>
        <w:t>— END OF PALMA RESEARCH MANUSCRIPT —</w:t>
      </w:r>
    </w:p>
    <w:p w14:paraId="71B68A23" w14:textId="5A3875F1" w:rsidR="00DC11F9" w:rsidRDefault="003E4B29">
      <w:pPr>
        <w:spacing w:before="60" w:after="60"/>
        <w:jc w:val="center"/>
      </w:pPr>
      <w:r>
        <w:rPr>
          <w:color w:val="777777"/>
          <w:sz w:val="20"/>
          <w:szCs w:val="20"/>
        </w:rPr>
        <w:t xml:space="preserve">Manuscript ID: </w:t>
      </w:r>
      <w:r w:rsidR="00D51391" w:rsidRPr="00D51391">
        <w:rPr>
          <w:color w:val="777777"/>
          <w:sz w:val="20"/>
          <w:szCs w:val="20"/>
        </w:rPr>
        <w:t>zenodo.18706409</w:t>
      </w:r>
      <w:r>
        <w:rPr>
          <w:color w:val="777777"/>
          <w:sz w:val="20"/>
          <w:szCs w:val="20"/>
        </w:rPr>
        <w:t xml:space="preserve"> · Date: March 2026 · Status: Submitted to Arid Land Research and Management</w:t>
      </w:r>
    </w:p>
    <w:sectPr w:rsidR="00DC11F9">
      <w:headerReference w:type="default" r:id="rId9"/>
      <w:footerReference w:type="default" r:id="rId10"/>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FA57B" w14:textId="77777777" w:rsidR="003E4B29" w:rsidRDefault="003E4B29">
      <w:r>
        <w:separator/>
      </w:r>
    </w:p>
  </w:endnote>
  <w:endnote w:type="continuationSeparator" w:id="0">
    <w:p w14:paraId="291A6045" w14:textId="77777777" w:rsidR="003E4B29" w:rsidRDefault="003E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AF9E" w14:textId="77777777" w:rsidR="00DC11F9" w:rsidRDefault="003E4B29">
    <w:pPr>
      <w:pBdr>
        <w:top w:val="single" w:sz="4" w:space="4" w:color="2E7D32"/>
      </w:pBdr>
      <w:spacing w:before="120"/>
    </w:pPr>
    <w:r>
      <w:rPr>
        <w:color w:val="888888"/>
        <w:sz w:val="18"/>
        <w:szCs w:val="18"/>
      </w:rPr>
      <w:t xml:space="preserve">DOI: 10.14293/PALMA.2026.001 · gitdeeper@gmail.com · Page </w:t>
    </w:r>
    <w:r>
      <w:rPr>
        <w:color w:val="888888"/>
        <w:sz w:val="18"/>
        <w:szCs w:val="18"/>
      </w:rPr>
      <w:fldChar w:fldCharType="begin"/>
    </w:r>
    <w:r>
      <w:rPr>
        <w:color w:val="888888"/>
        <w:sz w:val="18"/>
        <w:szCs w:val="18"/>
      </w:rPr>
      <w:instrText>PAGE</w:instrText>
    </w:r>
    <w:r>
      <w:rPr>
        <w:color w:val="888888"/>
        <w:sz w:val="18"/>
        <w:szCs w:val="18"/>
      </w:rPr>
      <w:fldChar w:fldCharType="separate"/>
    </w:r>
    <w:r>
      <w:rPr>
        <w:color w:val="88888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76981" w14:textId="77777777" w:rsidR="003E4B29" w:rsidRDefault="003E4B29">
      <w:r>
        <w:separator/>
      </w:r>
    </w:p>
  </w:footnote>
  <w:footnote w:type="continuationSeparator" w:id="0">
    <w:p w14:paraId="4A1B2C4C" w14:textId="77777777" w:rsidR="003E4B29" w:rsidRDefault="003E4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92383" w14:textId="77777777" w:rsidR="00DC11F9" w:rsidRDefault="003E4B29">
    <w:pPr>
      <w:pBdr>
        <w:bottom w:val="single" w:sz="4" w:space="4" w:color="2E7D32"/>
      </w:pBdr>
      <w:spacing w:after="120"/>
    </w:pPr>
    <w:r>
      <w:rPr>
        <w:color w:val="888888"/>
        <w:sz w:val="18"/>
        <w:szCs w:val="18"/>
      </w:rPr>
      <w:t>🌴 PALMA Research Manuscript · Arid Land Research and Management · March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4173B"/>
    <w:multiLevelType w:val="hybridMultilevel"/>
    <w:tmpl w:val="FFFFFFFF"/>
    <w:lvl w:ilvl="0" w:tplc="EAA8B216">
      <w:start w:val="1"/>
      <w:numFmt w:val="bullet"/>
      <w:lvlText w:val="●"/>
      <w:lvlJc w:val="left"/>
      <w:pPr>
        <w:ind w:left="720" w:hanging="360"/>
      </w:pPr>
    </w:lvl>
    <w:lvl w:ilvl="1" w:tplc="8A6A65BC">
      <w:start w:val="1"/>
      <w:numFmt w:val="bullet"/>
      <w:lvlText w:val="○"/>
      <w:lvlJc w:val="left"/>
      <w:pPr>
        <w:ind w:left="1440" w:hanging="360"/>
      </w:pPr>
    </w:lvl>
    <w:lvl w:ilvl="2" w:tplc="5C5E1FFC">
      <w:start w:val="1"/>
      <w:numFmt w:val="bullet"/>
      <w:lvlText w:val="■"/>
      <w:lvlJc w:val="left"/>
      <w:pPr>
        <w:ind w:left="2160" w:hanging="360"/>
      </w:pPr>
    </w:lvl>
    <w:lvl w:ilvl="3" w:tplc="61B49D78">
      <w:start w:val="1"/>
      <w:numFmt w:val="bullet"/>
      <w:lvlText w:val="●"/>
      <w:lvlJc w:val="left"/>
      <w:pPr>
        <w:ind w:left="2880" w:hanging="360"/>
      </w:pPr>
    </w:lvl>
    <w:lvl w:ilvl="4" w:tplc="7D12B000">
      <w:start w:val="1"/>
      <w:numFmt w:val="bullet"/>
      <w:lvlText w:val="○"/>
      <w:lvlJc w:val="left"/>
      <w:pPr>
        <w:ind w:left="3600" w:hanging="360"/>
      </w:pPr>
    </w:lvl>
    <w:lvl w:ilvl="5" w:tplc="6DC0BF66">
      <w:start w:val="1"/>
      <w:numFmt w:val="bullet"/>
      <w:lvlText w:val="■"/>
      <w:lvlJc w:val="left"/>
      <w:pPr>
        <w:ind w:left="4320" w:hanging="360"/>
      </w:pPr>
    </w:lvl>
    <w:lvl w:ilvl="6" w:tplc="1FBCBEDE">
      <w:start w:val="1"/>
      <w:numFmt w:val="bullet"/>
      <w:lvlText w:val="●"/>
      <w:lvlJc w:val="left"/>
      <w:pPr>
        <w:ind w:left="5040" w:hanging="360"/>
      </w:pPr>
    </w:lvl>
    <w:lvl w:ilvl="7" w:tplc="069A9D06">
      <w:start w:val="1"/>
      <w:numFmt w:val="bullet"/>
      <w:lvlText w:val="●"/>
      <w:lvlJc w:val="left"/>
      <w:pPr>
        <w:ind w:left="5760" w:hanging="360"/>
      </w:pPr>
    </w:lvl>
    <w:lvl w:ilvl="8" w:tplc="761462B8">
      <w:start w:val="1"/>
      <w:numFmt w:val="bullet"/>
      <w:lvlText w:val="●"/>
      <w:lvlJc w:val="left"/>
      <w:pPr>
        <w:ind w:left="6480" w:hanging="360"/>
      </w:pPr>
    </w:lvl>
  </w:abstractNum>
  <w:num w:numId="1" w16cid:durableId="8500728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displayBackgroundShape/>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1F9"/>
    <w:rsid w:val="00140837"/>
    <w:rsid w:val="00141ABD"/>
    <w:rsid w:val="001A7172"/>
    <w:rsid w:val="003E4B29"/>
    <w:rsid w:val="0057672E"/>
    <w:rsid w:val="00597764"/>
    <w:rsid w:val="00622537"/>
    <w:rsid w:val="006D7456"/>
    <w:rsid w:val="00721ADA"/>
    <w:rsid w:val="007D3D74"/>
    <w:rsid w:val="00813281"/>
    <w:rsid w:val="00912F1F"/>
    <w:rsid w:val="00944BC5"/>
    <w:rsid w:val="009F357D"/>
    <w:rsid w:val="00A45858"/>
    <w:rsid w:val="00BF0AC8"/>
    <w:rsid w:val="00C06544"/>
    <w:rsid w:val="00C85EC0"/>
    <w:rsid w:val="00CB40C4"/>
    <w:rsid w:val="00CE3704"/>
    <w:rsid w:val="00D51391"/>
    <w:rsid w:val="00DC11F9"/>
    <w:rsid w:val="00E32F6D"/>
    <w:rsid w:val="00E45AAD"/>
    <w:rsid w:val="00E9116F"/>
    <w:rsid w:val="00EC5306"/>
    <w:rsid w:val="00EE1722"/>
    <w:rsid w:val="00F157A0"/>
    <w:rsid w:val="00F67C8C"/>
    <w:rsid w:val="00FA72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405FA10A"/>
  <w15:docId w15:val="{4EE1C389-E6B7-2A40-90D2-4129A4E46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60" w:after="180"/>
      <w:outlineLvl w:val="0"/>
    </w:pPr>
    <w:rPr>
      <w:b/>
      <w:bCs/>
      <w:color w:val="1B5E20"/>
      <w:sz w:val="30"/>
      <w:szCs w:val="30"/>
    </w:rPr>
  </w:style>
  <w:style w:type="paragraph" w:styleId="Titre2">
    <w:name w:val="heading 2"/>
    <w:uiPriority w:val="9"/>
    <w:unhideWhenUsed/>
    <w:qFormat/>
    <w:pPr>
      <w:spacing w:before="280" w:after="140"/>
      <w:outlineLvl w:val="1"/>
    </w:pPr>
    <w:rPr>
      <w:b/>
      <w:bCs/>
      <w:color w:val="2E7D32"/>
      <w:sz w:val="26"/>
      <w:szCs w:val="26"/>
    </w:rPr>
  </w:style>
  <w:style w:type="paragraph" w:styleId="Titre3">
    <w:name w:val="heading 3"/>
    <w:uiPriority w:val="9"/>
    <w:semiHidden/>
    <w:unhideWhenUsed/>
    <w:qFormat/>
    <w:pPr>
      <w:spacing w:before="200" w:after="100"/>
      <w:outlineLvl w:val="2"/>
    </w:pPr>
    <w:rPr>
      <w:b/>
      <w:bCs/>
      <w:color w:val="1B5E20"/>
      <w:sz w:val="23"/>
      <w:szCs w:val="23"/>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Mentionnonrsolue">
    <w:name w:val="Unresolved Mention"/>
    <w:basedOn w:val="Policepardfaut"/>
    <w:uiPriority w:val="99"/>
    <w:semiHidden/>
    <w:unhideWhenUsed/>
    <w:rsid w:val="00944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enodo.org/record/18706409" TargetMode="External" /><Relationship Id="rId3" Type="http://schemas.openxmlformats.org/officeDocument/2006/relationships/settings" Target="settings.xml" /><Relationship Id="rId7" Type="http://schemas.openxmlformats.org/officeDocument/2006/relationships/hyperlink" Target="mailto:gitdeeper@gmail.com" TargetMode="External" /><Relationship Id="rId12"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ntTable" Target="fontTable.xml" /><Relationship Id="rId5" Type="http://schemas.openxmlformats.org/officeDocument/2006/relationships/footnotes" Target="footnotes.xml" /><Relationship Id="rId10" Type="http://schemas.openxmlformats.org/officeDocument/2006/relationships/footer" Target="footer1.xml" /><Relationship Id="rId4" Type="http://schemas.openxmlformats.org/officeDocument/2006/relationships/webSettings" Target="webSettings.xml" /><Relationship Id="rId9" Type="http://schemas.openxmlformats.org/officeDocument/2006/relationships/header" Target="header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15514</Words>
  <Characters>85330</Characters>
  <Application>Microsoft Office Word</Application>
  <DocSecurity>0</DocSecurity>
  <Lines>711</Lines>
  <Paragraphs>201</Paragraphs>
  <ScaleCrop>false</ScaleCrop>
  <Company/>
  <LinksUpToDate>false</LinksUpToDate>
  <CharactersWithSpaces>100643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Samir Marouni</cp:lastModifiedBy>
  <cp:revision>2</cp:revision>
  <dcterms:created xsi:type="dcterms:W3CDTF">2026-02-20T02:03:00Z</dcterms:created>
  <dcterms:modified xsi:type="dcterms:W3CDTF">2026-02-20T02:03:00Z</dcterms:modified>
</cp:coreProperties>
</file>