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Article I: Definitions</w:t>
      </w:r>
    </w:p>
    <w:p>
      <w:r>
        <w:t>This Agreement sets forth the definitions applicable hereto.</w:t>
      </w:r>
    </w:p>
    <w:p>
      <w:pPr>
        <w:pStyle w:val="Heading2"/>
      </w:pPr>
      <w:r>
        <w:t>Section 1.1: Confidential Information</w:t>
      </w:r>
    </w:p>
    <w:p>
      <w:r>
        <w:t>Confidential Information means all proprietary information disclosed.</w:t>
      </w:r>
    </w:p>
    <w:p>
      <w:pPr>
        <w:pStyle w:val="Heading2"/>
      </w:pPr>
      <w:r>
        <w:t>Section 1.2: Exclusions</w:t>
      </w:r>
    </w:p>
    <w:p>
      <w:r>
        <w:t>Confidential Information does not include publicly available information.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