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Annual Report 2026</w:t>
      </w:r>
    </w:p>
    <w:p>
      <w:r>
        <w:t>This is a complex document used by the Omni Suite format matrix to verify content preservation across the OPP/OL/ORF pipeline.</w:t>
      </w:r>
    </w:p>
    <w:p>
      <w:pPr>
        <w:pStyle w:val="Heading1"/>
      </w:pPr>
      <w:r>
        <w:t>Executive Summary</w:t>
      </w:r>
    </w:p>
    <w:p>
      <w:r>
        <w:t>The Omni Suite delivers end-to-end document localization. This report covers the fiscal year results.</w:t>
      </w:r>
    </w:p>
    <w:p>
      <w:pPr>
        <w:pStyle w:val="Heading2"/>
      </w:pPr>
      <w:r>
        <w:t>Financial Highlights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Quarter</w:t>
            </w:r>
          </w:p>
        </w:tc>
        <w:tc>
          <w:tcPr>
            <w:tcW w:type="dxa" w:w="2880"/>
          </w:tcPr>
          <w:p>
            <w:r>
              <w:t>Revenue</w:t>
            </w:r>
          </w:p>
        </w:tc>
        <w:tc>
          <w:tcPr>
            <w:tcW w:type="dxa" w:w="2880"/>
          </w:tcPr>
          <w:p>
            <w:r>
              <w:t>Growth</w:t>
            </w:r>
          </w:p>
        </w:tc>
      </w:tr>
      <w:tr>
        <w:tc>
          <w:tcPr>
            <w:tcW w:type="dxa" w:w="2880"/>
          </w:tcPr>
          <w:p>
            <w:r>
              <w:t>Q1</w:t>
            </w:r>
          </w:p>
        </w:tc>
        <w:tc>
          <w:tcPr>
            <w:tcW w:type="dxa" w:w="2880"/>
          </w:tcPr>
          <w:p>
            <w:r>
              <w:t>$1.2M</w:t>
            </w:r>
          </w:p>
        </w:tc>
        <w:tc>
          <w:tcPr>
            <w:tcW w:type="dxa" w:w="2880"/>
          </w:tcPr>
          <w:p>
            <w:r>
              <w:t>+12%</w:t>
            </w:r>
          </w:p>
        </w:tc>
      </w:tr>
      <w:tr>
        <w:tc>
          <w:tcPr>
            <w:tcW w:type="dxa" w:w="2880"/>
          </w:tcPr>
          <w:p>
            <w:r>
              <w:t>Q2</w:t>
            </w:r>
          </w:p>
        </w:tc>
        <w:tc>
          <w:tcPr>
            <w:tcW w:type="dxa" w:w="2880"/>
          </w:tcPr>
          <w:p>
            <w:r>
              <w:t>$1.5M</w:t>
            </w:r>
          </w:p>
        </w:tc>
        <w:tc>
          <w:tcPr>
            <w:tcW w:type="dxa" w:w="2880"/>
          </w:tcPr>
          <w:p>
            <w:r>
              <w:t>+25%</w:t>
            </w:r>
          </w:p>
        </w:tc>
      </w:tr>
      <w:tr>
        <w:tc>
          <w:tcPr>
            <w:tcW w:type="dxa" w:w="2880"/>
          </w:tcPr>
          <w:p>
            <w:r>
              <w:t>Q3</w:t>
            </w:r>
          </w:p>
        </w:tc>
        <w:tc>
          <w:tcPr>
            <w:tcW w:type="dxa" w:w="2880"/>
          </w:tcPr>
          <w:p>
            <w:r>
              <w:t>$1.8M</w:t>
            </w:r>
          </w:p>
        </w:tc>
        <w:tc>
          <w:tcPr>
            <w:tcW w:type="dxa" w:w="2880"/>
          </w:tcPr>
          <w:p>
            <w:r>
              <w:t>+20%</w:t>
            </w:r>
          </w:p>
        </w:tc>
      </w:tr>
    </w:tbl>
    <w:p/>
    <w:p>
      <w:r>
        <w:drawing>
          <wp:inline xmlns:a="http://schemas.openxmlformats.org/drawingml/2006/main" xmlns:pic="http://schemas.openxmlformats.org/drawingml/2006/picture">
            <wp:extent cx="1828800" cy="18288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Methodology</w:t>
      </w:r>
    </w:p>
    <w:p>
      <w:r>
        <w:rPr>
          <w:b/>
        </w:rPr>
        <w:t xml:space="preserve">Bold text. </w:t>
      </w:r>
      <w:r>
        <w:rPr>
          <w:i/>
        </w:rPr>
        <w:t xml:space="preserve">Italic text. </w:t>
      </w:r>
      <w:r>
        <w:t>Plain text.</w:t>
      </w:r>
    </w:p>
    <w:p>
      <w:pPr>
        <w:pStyle w:val="Heading2"/>
      </w:pPr>
      <w:r>
        <w:t>Team Distribution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Region</w:t>
            </w:r>
          </w:p>
        </w:tc>
        <w:tc>
          <w:tcPr>
            <w:tcW w:type="dxa" w:w="4320"/>
          </w:tcPr>
          <w:p>
            <w:r>
              <w:t>Headcount</w:t>
            </w:r>
          </w:p>
        </w:tc>
      </w:tr>
      <w:tr>
        <w:tc>
          <w:tcPr>
            <w:tcW w:type="dxa" w:w="4320"/>
          </w:tcPr>
          <w:p>
            <w:r>
              <w:t>Americas</w:t>
            </w:r>
          </w:p>
        </w:tc>
        <w:tc>
          <w:tcPr>
            <w:tcW w:type="dxa" w:w="4320"/>
          </w:tcPr>
          <w:p>
            <w:r>
              <w:t>12</w:t>
            </w:r>
          </w:p>
        </w:tc>
      </w:tr>
      <w:tr>
        <w:tc>
          <w:tcPr>
            <w:tcW w:type="dxa" w:w="4320"/>
          </w:tcPr>
          <w:p>
            <w:r>
              <w:t>EMEA</w:t>
            </w:r>
          </w:p>
        </w:tc>
        <w:tc>
          <w:tcPr>
            <w:tcW w:type="dxa" w:w="4320"/>
          </w:tcPr>
          <w:p>
            <w:r>
              <w:t>8</w:t>
            </w:r>
          </w:p>
        </w:tc>
      </w:tr>
      <w:tr>
        <w:tc>
          <w:tcPr>
            <w:tcW w:type="dxa" w:w="4320"/>
          </w:tcPr>
          <w:p>
            <w:r>
              <w:t>APAC</w:t>
            </w:r>
          </w:p>
        </w:tc>
        <w:tc>
          <w:tcPr>
            <w:tcW w:type="dxa" w:w="4320"/>
          </w:tcPr>
          <w:p>
            <w:r>
              <w:t>15</w:t>
            </w:r>
          </w:p>
        </w:tc>
      </w:tr>
    </w:tbl>
    <w:p>
      <w:pPr>
        <w:pStyle w:val="Heading1"/>
      </w:pPr>
      <w:r>
        <w:t>Action Items</w:t>
      </w:r>
    </w:p>
    <w:p>
      <w:pPr>
        <w:pStyle w:val="ListBullet"/>
      </w:pPr>
      <w:r>
        <w:t>Expand OPP coverage to MSG format</w:t>
      </w:r>
    </w:p>
    <w:p>
      <w:pPr>
        <w:pStyle w:val="ListBullet"/>
      </w:pPr>
      <w:r>
        <w:t>Add IPYNB to ORF output targets</w:t>
      </w:r>
    </w:p>
    <w:p>
      <w:pPr>
        <w:pStyle w:val="ListBullet"/>
      </w:pPr>
      <w:r>
        <w:t>Improve PDF→DOCX fidelity</w:t>
      </w:r>
    </w:p>
    <w:p>
      <w:pPr>
        <w:pStyle w:val="Heading2"/>
      </w:pPr>
      <w:r>
        <w:t>Numbered Roadmap</w:t>
      </w:r>
    </w:p>
    <w:p>
      <w:pPr>
        <w:pStyle w:val="ListNumber"/>
      </w:pPr>
      <w:r>
        <w:t>Phase 1: Extract</w:t>
      </w:r>
    </w:p>
    <w:p>
      <w:pPr>
        <w:pStyle w:val="ListNumber"/>
      </w:pPr>
      <w:r>
        <w:t>Phase 2: Translate</w:t>
      </w:r>
    </w:p>
    <w:p>
      <w:pPr>
        <w:pStyle w:val="ListNumber"/>
      </w:pPr>
      <w:r>
        <w:t>Phase 3: Backfill</w:t>
      </w:r>
    </w:p>
    <w:p>
      <w:r>
        <w:drawing>
          <wp:inline xmlns:a="http://schemas.openxmlformats.org/drawingml/2006/main" xmlns:pic="http://schemas.openxmlformats.org/drawingml/2006/picture">
            <wp:extent cx="1371600" cy="13716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7160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