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top w:val="single" w:color="2F75B5" w:sz="26" w:space="1"/>
        </w:pBdr>
        <w:spacing w:after="250" w:before="1500"/>
        <w:jc w:val="left"/>
      </w:pPr>
      <w:r>
        <w:rPr>
          <w:rFonts w:ascii="Arial" w:cs="Arial" w:eastAsia="Arial" w:hAnsi="Arial"/>
          <w:b/>
          <w:bCs/>
          <w:color w:val="17365D"/>
          <w:sz w:val="54"/>
          <w:szCs w:val="54"/>
        </w:rPr>
        <w:t xml:space="preserve">Anatomy of a 2–3σ Hint</w:t>
      </w:r>
    </w:p>
    <w:p>
      <w:pPr>
        <w:spacing w:after="900"/>
      </w:pPr>
      <w:r>
        <w:rPr>
          <w:rFonts w:ascii="Arial" w:cs="Arial" w:eastAsia="Arial" w:hAnsi="Arial"/>
          <w:color w:val="2F75B5"/>
          <w:sz w:val="28"/>
          <w:szCs w:val="28"/>
        </w:rPr>
        <w:t xml:space="preserve">An Independent Stress Test of the DESI DR2 Evolving-Dark-Energy Preference</w:t>
      </w:r>
    </w:p>
    <w:p>
      <w:pPr>
        <w:spacing w:after="160"/>
      </w:pPr>
      <w:r>
        <w:rPr>
          <w:color w:val="202B36"/>
          <w:sz w:val="21"/>
          <w:szCs w:val="21"/>
        </w:rPr>
        <w:t xml:space="preserve">Bobby Morong (independent researcher), with AI-assisted implementation · July 2026</w:t>
      </w:r>
    </w:p>
    <w:p>
      <w:pPr>
        <w:spacing w:after="700"/>
      </w:pPr>
      <w:r>
        <w:rPr>
          <w:b/>
          <w:bCs/>
          <w:color w:val="5F6B76"/>
          <w:sz w:val="19"/>
          <w:szCs w:val="19"/>
        </w:rPr>
        <w:t xml:space="preserve">Canonical edition • July 2026</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2F75B5" w:sz="3"/>
              <w:left w:val="single" w:color="2F75B5" w:sz="3"/>
              <w:bottom w:val="single" w:color="2F75B5" w:sz="3"/>
              <w:right w:val="single" w:color="2F75B5" w:sz="3"/>
            </w:tcBorders>
            <w:shd w:fill="D9EAF7" w:val="clear"/>
            <w:tcMar>
              <w:top w:type="dxa" w:w="180"/>
              <w:left w:type="dxa" w:w="220"/>
              <w:bottom w:type="dxa" w:w="180"/>
              <w:right w:type="dxa" w:w="220"/>
            </w:tcMar>
          </w:tcPr>
          <w:p>
            <w:pPr>
              <w:spacing w:after="100"/>
            </w:pPr>
            <w:r>
              <w:rPr>
                <w:b/>
                <w:bCs/>
                <w:color w:val="17365D"/>
                <w:sz w:val="18"/>
                <w:szCs w:val="18"/>
              </w:rPr>
              <w:t xml:space="preserve">SCIENTIFIC STATUS</w:t>
            </w:r>
          </w:p>
          <w:p>
            <w:pPr>
              <w:spacing w:after="80"/>
            </w:pPr>
            <w:r>
              <w:rPr>
                <w:b/>
                <w:bCs/>
                <w:color w:val="202B36"/>
                <w:sz w:val="22"/>
                <w:szCs w:val="22"/>
              </w:rPr>
              <w:t xml:space="preserve">A calibrated, LRG2-sensitive 2–3σ hint within published compressed likelihoods. Not a discovery.</w:t>
            </w:r>
          </w:p>
          <w:p>
            <w:pPr>
              <w:spacing w:after="0"/>
            </w:pPr>
            <w:r>
              <w:rPr>
                <w:color w:val="202B36"/>
                <w:sz w:val="18"/>
                <w:szCs w:val="18"/>
              </w:rPr>
              <w:t xml:space="preserve">Includes selection-calibrated influence, direct wCDM-versus-CPL time variation, held-out LRG2 prediction, full-Boltzmann verification, and explicit frontier evidence gates.</w:t>
            </w:r>
          </w:p>
        </w:tc>
      </w:tr>
    </w:tbl>
    <w:p>
      <w:pPr>
        <w:spacing w:after="0" w:before="800"/>
      </w:pPr>
      <w:r>
        <w:rPr>
          <w:i/>
          <w:iCs/>
          <w:color w:val="5F6B76"/>
          <w:sz w:val="17"/>
          <w:szCs w:val="17"/>
        </w:rPr>
        <w:t xml:space="preserve">Numerical results frozen at analysis commit 28894e7. Canonical source: whitepaper.md.</w:t>
      </w:r>
    </w:p>
    <w:p>
      <w:r>
        <w:br w:type="page"/>
      </w:r>
    </w:p>
    <w:p>
      <w:pPr>
        <w:pStyle w:val="Heading1"/>
        <w:keepNext/>
      </w:pPr>
      <w:r>
        <w:t xml:space="preserve">Abstract</w:t>
      </w:r>
    </w:p>
    <w:p>
      <w:pPr>
        <w:widowControl/>
        <w:jc w:val="both"/>
      </w:pPr>
      <w:r>
        <w:t xml:space="preserve">We independently reimplement the compressed likelihoods behind the DESI DR2 preference for evolving dark energy (w₀wₐCDM over ΛCDM) and subject the result to influence diagnostics, calibration stress tests, parameterization swaps, parametric bootstraps, a comparator-measurement swap test, full-Boltzmann (CAMB) verification, and posterior sampling under the collaboration's own priors. We reproduce the published Δχ²_MAP ladder (−4.7/−4.9/−8.0 published vs −4.7/−5.1/−8.5 here), marginalized posteriors (w₀ = −0.45 +0.24/−0.23, wₐ = −1.66 +0.65/−0.71 vs published −0.42 ± 0.21, −1.75 ± 0.58), the w₀–wₐ posterior correlation (−0.978 vs −0.975), and ΔDIC (−4.96 vs −4.4). We then find the preference is sharply localized. Removing the single LRG2 (z = 0.706) BAO measurement collapses the compressed-CMB preference from 2.4σ to 1.6σ (full CAMB: 2.41σ → 1.53σ). Substituting the earlier eBOSS DR16 measurement at the same redshift — a lower-precision, partially sample- and footprint-correlated comparator, not an independent experiment — yields a preference identical to having no measurement there. The z ≈ 0.7 anomaly changed observable between DESI's releases — transverse (D_M) in DR1, radial (D_H) in DR2. A selection-calibrated test repeats all seven tracer deletions inside each of 5,000 ΛCDM mocks. The observed maximum loss of preference is M = 4.125 in Δχ², at LRG2; 78/5,000 null mocks have an equal-or-larger selected maximum, p = 0.0156 [0.0124, 0.0194]. However, among the 70 null mocks whose global w₀wₐ preference is at least as strong as observed, 34 have an equal-or-larger maximum, p_cond = 0.486 [0.364, 0.608]. LRG2 is therefore descriptively load-bearing, but the concentration is not exceptional conditional on a global fluctuation of this strength. A held-out ΛCDM fit predicts LRG2 at joint p = 0.0408 (2.05σ); the discrepancy is mainly in the isotropic distance D_V/r_d (p = 0.0204), while the Alcock–Paczynski ratio is ordinary (p = 0.374). On the supernova side, a single free magnitude offset on the DES5Y external low-z sample fits at +0.036 mag and reduces the DESI+DES5Y preference from 2.2σ to 0.2σ (1.3σ with the CMB anchor); this is a degeneracy test, not a calibration diagnosis. Evolving families outperform constant w, but the direct question is calibrated separately: in DESI+cCMB, CPL w₀wₐCDM improves over wCDM by T = 7.851, with 30/5,000 constant-w mocks as large, p = 0.0060 [0.0041, 0.0086] (2.75σ). Removing LRG2 reduces this direct time-variation test to T = 3.426, p = 0.0698 [0.0629, 0.0772] (1.81σ). A separate global ΛCDM bootstrap gives p = 0.0140 [0.0109, 0.0177], consistent with Wilks. A pre-registered cross-probe consistency test returned an INTERMEDIATE verdict. Finally, a full-CMB variant including lensing (PR3-native likelihoods) gives Δχ² = −10.35 (2.77σ) with LRG2 and −3.76 (1.43σ) without it. We also gate the July 2026 dynamical-dark-matter reinterpretation. Its exact background gives Δχ² = −5.861 on the same DESI+cCMB geometry data, but 354/5,000 ΛCDM mocks do at least as well (p = 0.0708); CPL fits better, the DDM optimum lies on its equation-of-state prior wall, and LRG2 removal reduces the statistic to 3.461. Repeating all seven DDM deletions inside the 354 equally strong global null mocks gives 216 equal-or-larger selected influences, p_cond = 0.610 [0.557, 0.661], so its localization is ordinary conditional on the global fluctuation. In DESI+cCMB+DES5Y, a matched non-regular bootstrap gives p=0.0122 [0.00934,0.01564], but a separately calibrated low-z-offset branch gives p=0.0934 [0.0855,0.1018]. An independent CLASS implementation of the published linear perturbations passes exact-CDM controls, reproduces the reported low S₈, and then places the two published mean vectors under substantial pressure from a public SDSS DR16 compressed full-shape/growth vector (fixed-vector full p=0.0128 and 0.00181; growth-only p=0.00302 and 0.000368). Native nonlinear full-shape and lensing likelihood refits remain open. We conclude that the compressed likelihood contains a calibrated, CPL-specific hint of time variation, but neither it nor the DDM reinterpretation constitutes a discovery. A hint, precisely mapped.</w:t>
      </w:r>
    </w:p>
    <w:p>
      <w:pPr>
        <w:pStyle w:val="Heading1"/>
        <w:keepNext/>
      </w:pPr>
      <w:r>
        <w:t xml:space="preserve">1. Motivation and scope</w:t>
      </w:r>
    </w:p>
    <w:p>
      <w:pPr>
        <w:widowControl/>
        <w:jc w:val="both"/>
      </w:pPr>
      <w:r>
        <w:t xml:space="preserve">The DESI DR2 BAO analysis (arXiv:2503.14738) reports a preference for a time-varying dark-energy equation of state reaching 3.1σ with full CMB data and 2.8–4.2σ with supernova compilations — the most significant challenge to ΛCDM in a generation, if it holds. Claims of this magnitude attract two failure modes: uncritical amplification and uncritical dismissal. This project attempts a third path: full independent reimplementation followed by systematic attempts to break the result, with every finding published regardless of direction.</w:t>
      </w:r>
    </w:p>
    <w:p>
      <w:pPr>
        <w:widowControl/>
        <w:jc w:val="both"/>
      </w:pPr>
      <w:r>
        <w:t xml:space="preserve">Scope, stated precisely: this is an independent implementation of the </w:t>
      </w:r>
      <w:r>
        <w:rPr>
          <w:i/>
          <w:iCs/>
        </w:rPr>
        <w:t xml:space="preserve">published compressed likelihoods</w:t>
      </w:r>
      <w:r>
        <w:t xml:space="preserve"> — DESI DR2 BAO summary values, Pantheon+ and DES-SN5YR distance moduli with full covariances, and the DR2 paper's own compressed early-CMB prior (its eqs. 35–36). It is not a raw-data reanalysis. In addition to the compressed branch, a full-CMB variant (Planck 2018 native low-ℓ TT/EE + plik-lite TTTEEE + lensing, via cobaya+CAMB) is included; DESI's own analysis uses PR4 CamSpec and PR4/ACT lensing, so this variant tests the lensing-inclusive structure of the result, not its exact published numbers. Four AI systems performed software, statistics, or manuscript checks during development; these are not independent scientific peer review. One re-executed the pipeline and matched all χ² values to four decimals. A clean-room human rerun remains the outstanding verification step.</w:t>
      </w:r>
    </w:p>
    <w:p>
      <w:pPr>
        <w:pStyle w:val="Heading1"/>
        <w:keepNext/>
      </w:pPr>
      <w:r>
        <w:t xml:space="preserve">2. Data and provenance</w:t>
      </w:r>
    </w:p>
    <w:p>
      <w:pPr>
        <w:widowControl/>
        <w:jc w:val="both"/>
      </w:pPr>
      <w:r>
        <w:t xml:space="preserve">All inputs are public and primary-sourced under a fixed rule: no number enters the pipeline from memory. DESI DR2 BAO values (7 tracers, correlated D_M/D_H pairs plus BGS D_V) and the compressed CMB prior were machine-extracted from the arXiv HTML of the DR2 paper. Pantheon+ (1,701 light curves; 1,580 after standard cuts; full STAT+SYS covariance) from the official PantheonPlusSH0ES release. DES-SN5YR from the official repository's 2025 Dovekie-recalibrated release (N = 1,820; inverse covariance unpacked per the repository's own likelihood code; external low-z sample identified by IDSURVEY). eBOSS DR16 LRG consensus values from the official SDSS files in the cobaya bao_data release. DESI DR1 values from arXiv:2404.03002. BBN and θ* priors from DR2 eqs. 14 and 16; w(z) priors (w₀ ∈ U[−3,1], wₐ ∈ U[−3,2], w₀+wₐ &lt; 0) verbatim from the paper.</w:t>
      </w:r>
    </w:p>
    <w:p>
      <w:pPr>
        <w:pStyle w:val="Heading1"/>
        <w:keepNext/>
      </w:pPr>
      <w:r>
        <w:t xml:space="preserve">3. Methods</w:t>
      </w:r>
    </w:p>
    <w:p>
      <w:pPr>
        <w:widowControl/>
        <w:jc w:val="both"/>
      </w:pPr>
      <w:r>
        <w:t xml:space="preserve">Likelihoods are Gaussian in the published summary statistics (mirroring the official compressed treatment), with supernova magnitude offsets marginalized analytically and, where used, subsample calibration offsets marginalized jointly. Late-time distances use a validated fast integrator (relative error &lt; 3×10⁻⁷, verified by external audit). Early-universe quantities (r_drag, θ*) use, in the production pipeline, a calibrated surrogate — standard fitting formulas pinned to the paper's own r_d formula and CMB column, a labeling adopted after audit — and, decisively, full CAMB Boltzmann computations (RECFAST recombination, PPF dark energy) for verification. Two validation gates preceded all dark-energy fits and caught two real implementation bugs before any result existed. The ΛCDM-versus-w₀wₐ statistic is calibrated with 5,000 ΛCDM mocks. The direct one-extra-parameter test of time variation compares wCDM to CPL w₀wₐCDM and is calibrated with 5,000 mocks at the observed best-fit constant-w null, both with and without LRG2. The official w₀, wₐ, and w₀+wₐ prior domain is enforced in every fit.</w:t>
      </w:r>
    </w:p>
    <w:p>
      <w:pPr>
        <w:pStyle w:val="Heading1"/>
        <w:keepNext/>
      </w:pPr>
      <w:r>
        <w:t xml:space="preserve">4. Reproduction</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500"/>
        <w:gridCol w:w="3090"/>
        <w:gridCol w:w="3090"/>
      </w:tblGrid>
      <w:tr>
        <w:trPr>
          <w:cantSplit/>
          <w:tblHeader/>
        </w:trPr>
        <w:tc>
          <w:tcPr>
            <w:tcW w:type="dxa" w:w="350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6"/>
                <w:szCs w:val="16"/>
              </w:rPr>
              <w:t xml:space="preserve">Quantity</w:t>
            </w:r>
          </w:p>
        </w:tc>
        <w:tc>
          <w:tcPr>
            <w:tcW w:type="dxa" w:w="309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6"/>
                <w:szCs w:val="16"/>
              </w:rPr>
              <w:t xml:space="preserve">This work</w:t>
            </w:r>
          </w:p>
        </w:tc>
        <w:tc>
          <w:tcPr>
            <w:tcW w:type="dxa" w:w="309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6"/>
                <w:szCs w:val="16"/>
              </w:rPr>
              <w:t xml:space="preserve">Published</w:t>
            </w:r>
          </w:p>
        </w:tc>
      </w:tr>
      <w:tr>
        <w:trPr>
          <w:cantSplit/>
          <w:tblHeader w:val="false"/>
        </w:trPr>
        <w:tc>
          <w:tcPr>
            <w:tcW w:type="dxa" w:w="35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BAO-alone ΛCDM</w:t>
            </w:r>
          </w:p>
        </w:tc>
        <w:tc>
          <w:tcPr>
            <w:tcW w:type="dxa" w:w="309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Ωm = 0.2973 ± 0.0083, h·r_d = 101.55 ± 0.72</w:t>
            </w:r>
          </w:p>
        </w:tc>
        <w:tc>
          <w:tcPr>
            <w:tcW w:type="dxa" w:w="309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0.2975 ± 0.0086, 101.54 ± 0.73</w:t>
            </w:r>
          </w:p>
        </w:tc>
      </w:tr>
      <w:tr>
        <w:trPr>
          <w:cantSplit/>
          <w:tblHeader w:val="false"/>
        </w:trPr>
        <w:tc>
          <w:tcPr>
            <w:tcW w:type="dxa" w:w="35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Pantheon+-alone ΛCDM</w:t>
            </w:r>
          </w:p>
        </w:tc>
        <w:tc>
          <w:tcPr>
            <w:tcW w:type="dxa" w:w="309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Ωm = 0.3326 ± 0.0180 (N=1580)</w:t>
            </w:r>
          </w:p>
        </w:tc>
        <w:tc>
          <w:tcPr>
            <w:tcW w:type="dxa" w:w="309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0.334 ± 0.018</w:t>
            </w:r>
          </w:p>
        </w:tc>
      </w:tr>
      <w:tr>
        <w:trPr>
          <w:cantSplit/>
          <w:tblHeader w:val="false"/>
        </w:trPr>
        <w:tc>
          <w:tcPr>
            <w:tcW w:type="dxa" w:w="35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Δχ²: DESI / +Pantheon+ / +cCMB</w:t>
            </w:r>
          </w:p>
        </w:tc>
        <w:tc>
          <w:tcPr>
            <w:tcW w:type="dxa" w:w="309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−4.7 / −5.1 / −8.5</w:t>
            </w:r>
          </w:p>
        </w:tc>
        <w:tc>
          <w:tcPr>
            <w:tcW w:type="dxa" w:w="309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−4.7 / −4.9 / −8.0</w:t>
            </w:r>
          </w:p>
        </w:tc>
      </w:tr>
      <w:tr>
        <w:trPr>
          <w:cantSplit/>
          <w:tblHeader w:val="false"/>
        </w:trPr>
        <w:tc>
          <w:tcPr>
            <w:tcW w:type="dxa" w:w="35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w₀, wₐ (DESI+cCMB, MAP)</w:t>
            </w:r>
          </w:p>
        </w:tc>
        <w:tc>
          <w:tcPr>
            <w:tcW w:type="dxa" w:w="309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−0.44, −1.68 (H0 = 63.6)</w:t>
            </w:r>
          </w:p>
        </w:tc>
        <w:tc>
          <w:tcPr>
            <w:tcW w:type="dxa" w:w="309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−0.42, −1.75 (63.6)</w:t>
            </w:r>
          </w:p>
        </w:tc>
      </w:tr>
      <w:tr>
        <w:trPr>
          <w:cantSplit/>
          <w:tblHeader w:val="false"/>
        </w:trPr>
        <w:tc>
          <w:tcPr>
            <w:tcW w:type="dxa" w:w="35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w₀, wₐ (posterior 68%)</w:t>
            </w:r>
          </w:p>
        </w:tc>
        <w:tc>
          <w:tcPr>
            <w:tcW w:type="dxa" w:w="309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−0.45 +0.24/−0.23, −1.66 +0.65/−0.71</w:t>
            </w:r>
          </w:p>
        </w:tc>
        <w:tc>
          <w:tcPr>
            <w:tcW w:type="dxa" w:w="309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−0.42 ± 0.21, −1.75 ± 0.58</w:t>
            </w:r>
          </w:p>
        </w:tc>
      </w:tr>
      <w:tr>
        <w:trPr>
          <w:cantSplit/>
          <w:tblHeader w:val="false"/>
        </w:trPr>
        <w:tc>
          <w:tcPr>
            <w:tcW w:type="dxa" w:w="35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w₀–wₐ posterior correlation</w:t>
            </w:r>
          </w:p>
        </w:tc>
        <w:tc>
          <w:tcPr>
            <w:tcW w:type="dxa" w:w="309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−0.978</w:t>
            </w:r>
          </w:p>
        </w:tc>
        <w:tc>
          <w:tcPr>
            <w:tcW w:type="dxa" w:w="309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−0.975</w:t>
            </w:r>
          </w:p>
        </w:tc>
      </w:tr>
      <w:tr>
        <w:trPr>
          <w:cantSplit/>
          <w:tblHeader w:val="false"/>
        </w:trPr>
        <w:tc>
          <w:tcPr>
            <w:tcW w:type="dxa" w:w="35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ΔDIC (DESI+cCMB)</w:t>
            </w:r>
          </w:p>
        </w:tc>
        <w:tc>
          <w:tcPr>
            <w:tcW w:type="dxa" w:w="309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−4.96 (MAP plug-in; p_D = 4.75/3.0)</w:t>
            </w:r>
          </w:p>
        </w:tc>
        <w:tc>
          <w:tcPr>
            <w:tcW w:type="dxa" w:w="309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−4.4</w:t>
            </w:r>
          </w:p>
        </w:tc>
      </w:tr>
    </w:tbl>
    <w:p>
      <w:pPr>
        <w:spacing w:after="90"/>
      </w:pPr>
    </w:p>
    <w:p>
      <w:pPr>
        <w:widowControl/>
        <w:jc w:val="both"/>
      </w:pPr>
      <w:r>
        <w:t xml:space="preserve">An AI software audit re-ran this pipeline and confirmed all χ² values to four decimals, verified the minima against differential evolution, and confirmed covariance positive-definiteness. This is a software check, not independent scientific review.</w:t>
      </w:r>
    </w:p>
    <w:p>
      <w:pPr>
        <w:pStyle w:val="Heading1"/>
        <w:keepNext/>
      </w:pPr>
      <w:r>
        <w:t xml:space="preserve">5. Influence diagnostics: where the preference lives</w:t>
      </w:r>
    </w:p>
    <w:p>
      <w:pPr>
        <w:widowControl/>
        <w:jc w:val="both"/>
      </w:pPr>
      <w:r>
        <w:t xml:space="preserve">Leave-one-tracer-out refits of DESI+cCMB show the preference is not distributed: dropping any of six tracers leaves 2.3–2.6σ (removing BGS or Lyα </w:t>
      </w:r>
      <w:r>
        <w:rPr>
          <w:i/>
          <w:iCs/>
        </w:rPr>
        <w:t xml:space="preserve">strengthens</w:t>
      </w:r>
      <w:r>
        <w:t xml:space="preserve"> it), while dropping LRG2 (z = 0.706) collapses it to 1.6σ. The χ² decomposition attributes the w₀wₐ improvement to LRG2 (−4.1) and the CMB geometric anchor (−3.9), with LRG1 contributing −1.2, all others ≈ 0, and Lyα opposing at +1.0. Within LRG2, the radial measurement carries more model leverage: retaining only D_H/r_d gives Δχ² = −6.5, only D_M/r_d gives −4.9, neither −4.3. The selection-calibrated statistic I_j = Δχ²_−j − Δχ²_full and M = max_j I_j gives M_obs = 4.125 at LRG2. Repeating the full fit and all seven deletion fits inside each of 5,000 ΛCDM mocks yields an unconditional selected tail of 78/5,000, p = 0.0156 [0.0124, 0.0194]. Conditioning on a global preference at least as strong as observed leaves 70 mocks, of which 34 meet or exceed M_obs: p_cond = 0.486 [0.364, 0.608]. Thus LRG2's leverage is a valid description of where the observed fit changes, but it is not an additional anomaly beyond the rarity of the global fit.</w:t>
      </w:r>
    </w:p>
    <w:p>
      <w:pPr>
        <w:widowControl/>
        <w:jc w:val="both"/>
      </w:pPr>
      <w:r>
        <w:t xml:space="preserve">A targeted held-out check fits ΛCDM to DESI+cCMB without LRG2, propagates the fitted-parameter covariance, and then predicts the excluded (D_M/r_d, D_H/r_d) vector. The prediction is (17.530, 20.066), compared with (17.351, 19.455) observed. Repeating the full exclusion, fit, prediction, and score in 5,000 fitted-ΛCDM mocks gives a joint tail of 204/5,000, p = 0.0408 [0.0355, 0.0467] (2.05σ). Its decomposition changes the earlier interpretation: the isotropic distance D_V/r_d is low (p = 0.0204), but the Alcock–Paczynski ratio D_M/D_H is unexceptional (p = 0.374). LRG2's radial coordinate carries more leverage for the w₀wₐ model comparison, but the held-out residual is not an anomalous anisotropy. Because LRG2 was selected after inspection, these targeted p-values are diagnostic and do not replace the selected-null calibration above. Shifting LRG2 halfway toward ΛCDM lowers the global preference below 2σ; inflating only its errors degrades the signal smoothly, indicating statistical leverage rather than numerical pathology. On the supernova side, the significance of DESI+Pantheon+ falls monotonically from 1.8σ to 1.3σ as low-z cuts rise from z &gt; 0.01 to z &gt; 0.1, with w₀ pinned near −0.89 throughout.</w:t>
      </w:r>
    </w:p>
    <w:p>
      <w:pPr>
        <w:pStyle w:val="Heading1"/>
        <w:keepNext/>
      </w:pPr>
      <w:r>
        <w:t xml:space="preserve">6. The z ≈ 0.7 measurement across experiments</w:t>
      </w:r>
    </w:p>
    <w:p>
      <w:pPr>
        <w:widowControl/>
        <w:jc w:val="both"/>
      </w:pPr>
      <w:r>
        <w:t xml:space="preserve">Three analyses have measured BAO at this redshift. Against the ΛCDM best-fit prediction: eBOSS DR16 (z = 0.698; partially correlated with DESI in sample and footprint) deviates jointly by 0.83σ, with D_M </w:t>
      </w:r>
      <w:r>
        <w:rPr>
          <w:i/>
          <w:iCs/>
        </w:rPr>
        <w:t xml:space="preserve">high</w:t>
      </w:r>
      <w:r>
        <w:t xml:space="preserve"> if anything; DESI DR1 by 1.40σ, driven by low D_M; DESI DR2 by 1.51σ, driven by low D_H. The anomaly changed observable between DESI's own releases. The swap test quantifies the consequence: with DR2's LRG2 the preference is 2.4σ; with DR1's, 1.9σ; with eBOSS's, 1.6σ — numerically identical to having no z ≈ 0.7 measurement at all. Balanced reading: DR2's measurement is 1.7–1.8× more precise than either comparator and may be resolving what noisier data could not; DESI's blinded internal-consistency checks passed; eBOSS could not strongly confirm a real signal at its precision, and the footprints partially overlap. But a discovery narrative must carry both facts: the signature is unstable across releases, and the earlier partially overlapping measurement at this redshift is ΛCDM-consistent (the swap is a comparator test, not an independent non-confirmation). Reproducing LRG2 from its official likelihood surface is the single most decisive open test.</w:t>
      </w:r>
    </w:p>
    <w:p>
      <w:pPr>
        <w:pStyle w:val="Heading1"/>
        <w:keepNext/>
      </w:pPr>
      <w:r>
        <w:t xml:space="preserve">7. Supernova calibration</w:t>
      </w:r>
    </w:p>
    <w:p>
      <w:pPr>
        <w:widowControl/>
        <w:jc w:val="both"/>
      </w:pPr>
      <w:r>
        <w:t xml:space="preserve">On the Dovekie-recalibrated DES5Y release, DESI+DES5Y (no CMB) prefers w₀wₐ at 2.2σ (Δχ² = −7.3) — against −13.6 (3.3σ) published with the 2024 release. The updated Dovekie release changed cross-calibration, SALT training, scatter modeling, bias simulations, and sample treatment together; the smaller preference coincides with the new release, but attribution among those changes is not established (the same machinery reproduces Pantheon+ at −5.1 vs −4.9). As a sensitivity test (not a diagnosis — a free offset can absorb calibration, selection, population evolution, survey differences, or genuine cosmological curvature alike), freeing one magnitude offset on the 197 external low-z supernovae returns D = +0.037 mag under ΛCDM — matching Efstathiou's ~0.04 mag estimate from Pantheon+/DES5Y cross-matching — and the preference collapses to 0.2σ, with w₀ = −0.99. With the CMB anchor attached, the intercept still reduces 2.9σ to 1.3σ (D = +0.036). Counter-arguments are part of the record: the DES team reproduces the offset but attributes much of it to improved intrinsic-scatter and host-galaxy modeling (reverting those assumptions moves their result 3.9σ → 3.3σ, not to zero); the intercept is a post-hoc test motivated by a critic and may double-count covariance systematics; and per Cortês &amp; Liddle, the overlapping supernova compilations must never be averaged.</w:t>
      </w:r>
    </w:p>
    <w:p>
      <w:pPr>
        <w:pStyle w:val="Heading1"/>
        <w:keepNext/>
      </w:pPr>
      <w:r>
        <w:t xml:space="preserve">8. Robustness of the statistical framework</w:t>
      </w:r>
    </w:p>
    <w:p>
      <w:pPr>
        <w:widowControl/>
        <w:jc w:val="both"/>
      </w:pPr>
      <w:r>
        <w:t xml:space="preserve">The preference is not unique to CPL: JBP and logarithmic w(z) families find similar improvements. That parameterization swap, however, is not itself a calibrated test that w changes with time. We therefore test the nested CPL question directly, comparing constant-w CDM to w₀wₐCDM with only wₐ added. For DESI+cCMB, T = χ²_min(wCDM) − χ²_min(w₀wₐCDM) = 7.8506. In 5,000 mocks generated at the observed best-fit constant-w model, 30 are at least as large: p = 0.0060 [0.0041, 0.0086], or 2.75σ; the one-degree-of-freedom Wilks value is 2.80σ. No mock fit failed or reached the prior boundary. After removing LRG2, T falls to 3.4263, with 349/5,000 exceedances: p = 0.0698 [0.0629, 0.0772], or 1.81σ. Thus the compressed data contain a direct, calibrated, CPL-specific preference for time variation, but most of its strength is not retained without LRG2. This does not establish arbitrary time dependence or a physical dark-energy field.</w:t>
      </w:r>
    </w:p>
    <w:p>
      <w:pPr>
        <w:widowControl/>
        <w:jc w:val="both"/>
      </w:pPr>
      <w:r>
        <w:t xml:space="preserve">Separately, the 5,000-mock ΛCDM-versus-w₀wₐ global calibration yields 70 exceedances of the unrounded observed Δχ² = −8.4575: p = 0.0140 [0.0109, 0.0177], versus the Wilks expectation 0.0146. The selection-calibrated maximum-influence result is reported in §5; its conditional result shows that localization should not be counted as independent evidence against ΛCDM. Full CAMB computation (a separate execution environment, not scientific independence) confirms the baseline and LRG2-deletion fits to ≈0.2 in Δχ². Posterior sampling under the official priors shows no pileup at the w₀+wₐ &lt; 0 boundary; the naive mean-plug-in DIC convention (−8.99) is documented as an artifact of the curved w₀–wₐ ridge, with the standard MAP plug-in giving −4.96.</w:t>
      </w:r>
    </w:p>
    <w:p>
      <w:pPr>
        <w:pStyle w:val="Heading1"/>
        <w:keepNext/>
      </w:pPr>
      <w:r>
        <w:t xml:space="preserve">8a. Pre-registered cross-probe consistency test (H-X)</w:t>
      </w:r>
    </w:p>
    <w:p>
      <w:pPr>
        <w:widowControl/>
        <w:jc w:val="both"/>
      </w:pPr>
      <w:r>
        <w:t xml:space="preserve">With hypotheses and kill conditions registered before execution (HYPOTHESIS-cross-probe.md), per-probe w₀wₐ posteriors were sampled for P1 = DESI BAO+cCMB, P2 = Pantheon+ +cCMB+BBN, P3 = DES5Y+cCMB+BBN. Pairwise 2D parameter-shift tensions: P1–P2 = 1.44σ, P1–P3 = 1.35σ, P2–P3 = 0.24σ. Phantom-crossing redshifts: P1 z× = 0.487 [0.418–0.553]; P2 0.292 [0.187–0.502]; P3 0.296 [0.244–0.403]. Verdict against the registered conditions: INTERMEDIATE — neither the consistency (&lt;1σ all pairs) nor inconsistency (&gt;2σ any pair) threshold met; reported without promotion. The registered follow-up is complete: P1 without LRG2 gives z× = 0.478 [0.384–0.564], so LRG2 controls much of the preference's strength but not the surviving BAO posterior's crossing location. Caveats: Gaussian shift metric on curved posteriors; surrogate likelihood (CAMB-validated); shared-anchor correlation.</w:t>
      </w:r>
    </w:p>
    <w:p>
      <w:pPr>
        <w:pStyle w:val="Heading1"/>
        <w:keepNext/>
      </w:pPr>
      <w:r>
        <w:t xml:space="preserve">8b. The full-CMB lensing variant</w:t>
      </w:r>
    </w:p>
    <w:p>
      <w:pPr>
        <w:widowControl/>
        <w:jc w:val="both"/>
      </w:pPr>
      <w:r>
        <w:t xml:space="preserve">Using cobaya with CAMB and the clik-free native Planck 2018 likelihoods (low-ℓ TT, low-ℓ EE, plik-lite TTTEEE, lensing) plus the DESI BAO likelihood, MAP minimization (BOBYQA, dual converged runs) under DESI's official w(z) priors gives, after removing the uniform-prior volume constant: with LRG2, Δχ² = −10.35 (2.77σ); without LRG2, Δχ² = −3.76 (1.43σ). The with-LRG2 value sits below the published PR4-based −12.5 (3.1σ) by an amount consistent with the PR3-vs-PR4 likelihood difference (pre-registered caveat). The central finding stands at the full-likelihood level: </w:t>
      </w:r>
      <w:r>
        <w:rPr>
          <w:b/>
          <w:bCs/>
        </w:rPr>
        <w:t xml:space="preserve">CMB lensing does not substitute for LRG2</w:t>
      </w:r>
      <w:r>
        <w:t xml:space="preserve"> — the preference collapses from ~2.8σ to ~1.4σ on removal of one measurement. Caveats: PR3-native likelihoods; MAP not posterior comparison; single pipeline pending clean-room rerun; the selected-null calibration and its conditional limit are in §5.</w:t>
      </w:r>
    </w:p>
    <w:p>
      <w:pPr>
        <w:pStyle w:val="Heading1"/>
        <w:keepNext/>
      </w:pPr>
      <w:r>
        <w:t xml:space="preserve">9. July 2026 dynamical-dark-matter gate</w:t>
      </w:r>
    </w:p>
    <w:p>
      <w:pPr>
        <w:widowControl/>
        <w:jc w:val="both"/>
      </w:pPr>
      <w:r>
        <w:t xml:space="preserve">After Ajith and Kumar proposed that the DESI preference could arise from a dark-matter equation of state that changes from an early asymptote wₐᵈᵐ to a late asymptote w₀ᵈᵐ, we independently derived and implemented their exact homogeneous density evolution. The CDM null is recovered exactly. On DESI+cCMB, the geometry screen gives Δχ²_DDM−Λ = −5.861, within 0.697 of their −6.558 result on a different, full-CMB likelihood stack. This is a successful background-level reproduction, not a reproduction of their unpublished modified-CAMB perturbation implementation.</w:t>
      </w:r>
    </w:p>
    <w:p>
      <w:pPr>
        <w:widowControl/>
        <w:jc w:val="both"/>
      </w:pPr>
      <w:r>
        <w:t xml:space="preserve">The identical-data comparison does not select DDM. The minimum χ² values are 15.578 (ΛCDM), 14.971 (constant-w), 7.120 (CPL), and 9.717 (DDM); descriptive AIC values are 21.578, 22.971, 17.120, and 21.717, respectively. CPL fits DDM better by 2.596 in χ². The DDM optimum has Ωm = 0.3546, h = 0.6821, wₐᵈᵐ = 0.001278, a_t = 0.551, and w₀ᵈᵐ = −0.1000 — exactly the source prior's lower wall. Repeating the fit with ±0.05, ±0.10, and ±0.20 EoS boxes moves the optimum to −0.05, −0.10, and −0.20 while T changes only 5.681 → 5.861 → 6.024. The raw fit improvement is fairly stable, but the inferred late-time EoS is not a prior-stable measurement.</w:t>
      </w:r>
    </w:p>
    <w:p>
      <w:pPr>
        <w:widowControl/>
        <w:jc w:val="both"/>
      </w:pPr>
      <w:r>
        <w:t xml:space="preserve">Because a_t is unidentified when w₀ᵈᵐ = wₐᵈᵐ = 0, Wilks' theorem is not used. Repeating the complete DDM search in 5,000 fitted-ΛCDM mocks gives 354 values at least as large as T_obs = 5.861: p = 0.0708 [0.0638, 0.0783], equivalent to 1.47σ one-sided or 1.81σ under a two-sided convention. All final fits converged; 3,219/5,000 null fits reached a source-prior boundary. Across the seven observed tracer deletions, only LRG2 weakens DDM materially: T = 3.461, a loss of 2.400, while all six other deletions slightly strengthen it. This is less concentrated than CPL's 4.125 loss, but it points in the same pre-identified direction. The matched no-LRG2 bootstrap gives 1,139/5,000, p = 0.2278 [0.2162, 0.2397] (0.75σ one-sided; 1.21σ two-sided). To calibrate selection, all seven deletions were then repeated inside every one of the 354 null mocks whose global DDM statistic was at least as large as observed. Of those, 216 have a selected maximum influence at least as large as LRG2's 2.400: p_cond = 0.6102 [0.5572, 0.6613]. The null median maximum is 2.851, larger than observed, and LRG2 is selected in only 22/354 mocks. LRG2 was a registered target before this DDM analysis, but the calibrated result is stronger: its observed leverage is not exceptional conditional on the global fluctuation.</w:t>
      </w:r>
    </w:p>
    <w:p>
      <w:pPr>
        <w:widowControl/>
        <w:jc w:val="both"/>
      </w:pPr>
      <w:r>
        <w:t xml:space="preserve">The low-redshift supernova seam also matters without fully absorbing DDM. On the 2025 Dovekie DES5Y release, DESI+cCMB+DES5Y gives T_DDM = 9.603. Because a_t is unidentified under ΛCDM, a matched 5,000-mock bootstrap—not Wilks—sets the significance: 61/5,000 mocks are equal or larger, p=0.0122 [0.00934,0.01564] (2.25σ one-sided). Freeing one offset for the external low-z sample fits +0.0315 mag and reduces T to 5.358. A second bootstrap uses that branch's own fitted ΛCDM null and identical nuisance projection: 467/5,000, p=0.0934 [0.0855,0.1018] (1.32σ one-sided). Both runs had zero optimizer failures. Counting the magnitude nuisances, all four offset models fall within 1.45 descriptive AIC units and ΛCDM has the lowest value. The calibration freedom therefore moves the DDM preference from an interesting combined-data hint to a statistically ordinary result. This establishes dependence on the calibration model, not that the calibration is wrong.</w:t>
      </w:r>
    </w:p>
    <w:p>
      <w:pPr>
        <w:widowControl/>
        <w:jc w:val="both"/>
      </w:pPr>
      <w:r>
        <w:t xml:space="preserve">The physical-growth gate is not passed. Because the source's modified CAMB code is unavailable, we independently patched pinned public CLASS v3.3.4 with the published synchronous-gauge, zero-sound-speed, zero-shear fluid equations. Exact-CDM nesting agrees with stock CLASS to 2.8×10⁻⁵ in σ₈, 2.5×10⁻⁴ in linear P(k), and 1.4×10⁻⁴ in CMB lensing; a tighter-integration rerun is stable. The source CMB+DESI+DESY5 and +G17 mean vectors reproduce (σ₈,S₈)=(0.728,0.793) and (0.708,0.775), close to the paper. Against the public correlated SDSS DR16 compressed (D_M/r_d,D_H/r_d,fσ₈) vector, however, the fixed source vectors give χ²=20.97/9 (p=0.0128) and 26.32/9 (p=0.00181), with growth-only χ²=13.92/3 (p=0.00302) and 18.37/3 (p=0.000368). Matched ΛCDM controls give full-vector p=0.162 and 0.096. Profiling only primordial amplitude can repair the growth residuals, but requires σ₈=0.918 or 0.931 and a 33–39-source-error shift in ln(10¹⁰A_s), eliminating the proposed low-growth benefit. Linear CMB-lensing power is suppressed to 0.87/0.79 and 0.85/0.76 of matched ΛCDM at low/high multipoles, a prediction rather than a likelihood result.</w:t>
      </w:r>
    </w:p>
    <w:p>
      <w:pPr>
        <w:widowControl/>
        <w:jc w:val="left"/>
      </w:pPr>
      <w:r>
        <w:t xml:space="preserve">These are independently reproducible equation-level and fixed-vector tests, not a native nonlinear DESI full-shape/EFT refit or an ACT/Planck/weak-lensing likelihood evaluation. SDSS partly overlaps DESI, and cosmological and galaxy-bias parameters were not reoptimized. The result is therefore substantial falsification pressure, not a formal model-family exclusion. The complete source-audited gate is </w:t>
      </w:r>
      <w:r>
        <w:rPr>
          <w:rFonts w:ascii="Courier New" w:cs="Courier New" w:eastAsia="Courier New" w:hAnsi="Courier New"/>
          <w:color w:val="334155"/>
          <w:sz w:val="18"/>
          <w:szCs w:val="18"/>
        </w:rPr>
        <w:t xml:space="preserve">DDM_FRONTIER_GATE.md</w:t>
      </w:r>
      <w:r>
        <w:t xml:space="preserve">. </w:t>
      </w:r>
      <w:r>
        <w:rPr>
          <w:b/>
          <w:bCs/>
        </w:rPr>
        <w:t xml:space="preserve">Canonical verdict: the DDM background is a reproducible alternate fit to the anomaly, but its supernova significance is calibration-dependent and its published mean vectors face adverse growth/full-shape predictions; the physical dark-matter claim fails promotion.</w:t>
      </w:r>
    </w:p>
    <w:p>
      <w:pPr>
        <w:pStyle w:val="Heading1"/>
        <w:keepNext/>
      </w:pPr>
      <w:r>
        <w:t xml:space="preserve">10. What this establishes — and what it does not</w:t>
      </w:r>
    </w:p>
    <w:p>
      <w:pPr>
        <w:widowControl/>
        <w:jc w:val="both"/>
      </w:pPr>
      <w:r>
        <w:t xml:space="preserve">Established: the published compressed likelihoods genuinely contain the reported preference; it survives independent reimplementation, optimizer attack, full Boltzmann physics, parameterization changes, and bootstrap calibration. Within CPL, a direct constant-w null test gives a calibrated 2.75σ preference for time variation, falling to 1.81σ without LRG2. The held-out LRG2 vector is a modest 2.05σ discrepancy, driven more by isotropic distance scale than by its shape ratio. Among ΛCDM mocks with a global preference this strong, a maximum deletion influence at least as large as observed occurs about half the time for CPL and 61% of the time for DDM. The July DDM background can reproduce much of the same geometry improvement, and its baseline DES5Y combination reaches p=0.0122; but its ordinary conditional localization, prior-wall optimum, worse fit than CPL, offset-branch p=0.0934, and adverse fixed-vector growth/full-shape predictions prevent promotion. Not established: that dark energy evolves; that dark matter has negative pressure; that LRG2 is wrong; that localization or the targeted held-out p-value is independent evidence; that the supernova calibration explanation is correct; that the fixed-vector SDSS check is a native nonlinear model-family exclusion; or that the PR3-native full-CMB variant reproduces DESI's PR4/ACT stack. The honest status is </w:t>
      </w:r>
      <w:r>
        <w:rPr>
          <w:b/>
          <w:bCs/>
        </w:rPr>
        <w:t xml:space="preserve">a reproducible, LRG2-sensitive 2–3σ dark-energy hint and a DDM reinterpretation that now fails both calibration-identifiability and physical-prediction gates — not proof of either.</w:t>
      </w:r>
    </w:p>
    <w:p>
      <w:pPr>
        <w:pStyle w:val="Heading1"/>
        <w:keepNext/>
      </w:pPr>
      <w:r>
        <w:t xml:space="preserve">11. Frontier-standard boundary and development roadmap</w:t>
      </w:r>
    </w:p>
    <w:p>
      <w:pPr>
        <w:widowControl/>
        <w:jc w:val="both"/>
      </w:pPr>
      <w:r>
        <w:t xml:space="preserve">A frontier-roadmap review was compared against the frozen analysis rather than treated as new evidence. Several recommendations are adopted as the next evidentiary gates: native-likelihood reconstruction of LRG2; survey splits and nuisance templates for fiber assignment, reconstruction, redshift failures, observing conditions, covariance, and window functions; flexible or nonparametric expansion reconstructions calibrated inside null mocks; prior-sensitive Bayesian evidence or out-of-sample predictive scores; growth consistency through RSD, fσ₈, weak lensing, and CMB lensing; and a hierarchical, survey-aware supernova calibration model.</w:t>
      </w:r>
    </w:p>
    <w:p>
      <w:pPr>
        <w:widowControl/>
        <w:jc w:val="left"/>
      </w:pPr>
      <w:r>
        <w:t xml:space="preserve">The same review also proposed interpretations that exceed this project’s evidence. This compressed-likelihood analysis does not identify fiber assignment as the cause of LRG2, prove that the supernova seam is a calibration error, validate a Gaussian-process crossing, support Early Dark Energy, or favor interacting/decaying dark matter or modified gravity. Those ideas remain hypotheses until they improve predictions outside the data that generated the anomaly and survive appropriate null calibration and model-complexity penalties. The complete comparison is recorded in </w:t>
      </w:r>
      <w:r>
        <w:rPr>
          <w:rFonts w:ascii="Courier New" w:cs="Courier New" w:eastAsia="Courier New" w:hAnsi="Courier New"/>
          <w:color w:val="334155"/>
          <w:sz w:val="18"/>
          <w:szCs w:val="18"/>
        </w:rPr>
        <w:t xml:space="preserve">FRONTIER_REVIEW.md</w:t>
      </w:r>
      <w:r>
        <w:t xml:space="preserve">.</w:t>
      </w:r>
    </w:p>
    <w:p>
      <w:pPr>
        <w:widowControl/>
        <w:jc w:val="both"/>
      </w:pPr>
      <w:r>
        <w:t xml:space="preserve">The frontier claim ladder is therefore explicit: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650"/>
        <w:gridCol w:w="5050"/>
        <w:gridCol w:w="2980"/>
      </w:tblGrid>
      <w:tr>
        <w:trPr>
          <w:cantSplit/>
          <w:tblHeader/>
        </w:trPr>
        <w:tc>
          <w:tcPr>
            <w:tcW w:type="dxa" w:w="165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6"/>
                <w:szCs w:val="16"/>
              </w:rPr>
              <w:t xml:space="preserve">Level</w:t>
            </w:r>
          </w:p>
        </w:tc>
        <w:tc>
          <w:tcPr>
            <w:tcW w:type="dxa" w:w="505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6"/>
                <w:szCs w:val="16"/>
              </w:rPr>
              <w:t xml:space="preserve">Required evidence</w:t>
            </w:r>
          </w:p>
        </w:tc>
        <w:tc>
          <w:tcPr>
            <w:tcW w:type="dxa" w:w="298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6"/>
                <w:szCs w:val="16"/>
              </w:rPr>
              <w:t xml:space="preserve">Current status</w:t>
            </w:r>
          </w:p>
        </w:tc>
      </w:tr>
      <w:tr>
        <w:trPr>
          <w:cantSplit/>
          <w:tblHeader w:val="false"/>
        </w:trPr>
        <w:tc>
          <w:tcPr>
            <w:tcW w:type="dxa" w:w="16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Reproducible likelihood feature</w:t>
            </w:r>
          </w:p>
        </w:tc>
        <w:tc>
          <w:tcPr>
            <w:tcW w:type="dxa" w:w="50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independent implementation and stable optimization</w:t>
            </w:r>
          </w:p>
        </w:tc>
        <w:tc>
          <w:tcPr>
            <w:tcW w:type="dxa" w:w="29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Met</w:t>
            </w:r>
            <w:r>
              <w:rPr>
                <w:b w:val="false"/>
                <w:bCs w:val="false"/>
                <w:color w:val="202B36"/>
                <w:sz w:val="16"/>
                <w:szCs w:val="16"/>
              </w:rPr>
              <w:t xml:space="preserve"> for the published compressed inputs</w:t>
            </w:r>
          </w:p>
        </w:tc>
      </w:tr>
      <w:tr>
        <w:trPr>
          <w:cantSplit/>
          <w:tblHeader w:val="false"/>
        </w:trPr>
        <w:tc>
          <w:tcPr>
            <w:tcW w:type="dxa" w:w="16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Calibrated anomaly</w:t>
            </w:r>
          </w:p>
        </w:tc>
        <w:tc>
          <w:tcPr>
            <w:tcW w:type="dxa" w:w="50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null simulations and selection-aware statistics</w:t>
            </w:r>
          </w:p>
        </w:tc>
        <w:tc>
          <w:tcPr>
            <w:tcW w:type="dxa" w:w="29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Met</w:t>
            </w:r>
            <w:r>
              <w:rPr>
                <w:b w:val="false"/>
                <w:bCs w:val="false"/>
                <w:color w:val="202B36"/>
                <w:sz w:val="16"/>
                <w:szCs w:val="16"/>
              </w:rPr>
              <w:t xml:space="preserve"> for the global, maximum-influence, direct-time-variation, and held-out tests</w:t>
            </w:r>
          </w:p>
        </w:tc>
      </w:tr>
      <w:tr>
        <w:trPr>
          <w:cantSplit/>
          <w:tblHeader w:val="false"/>
        </w:trPr>
        <w:tc>
          <w:tcPr>
            <w:tcW w:type="dxa" w:w="16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Measurement diagnosis</w:t>
            </w:r>
          </w:p>
        </w:tc>
        <w:tc>
          <w:tcPr>
            <w:tcW w:type="dxa" w:w="50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native likelihood, survey splits, nuisance-template and covariance audit</w:t>
            </w:r>
          </w:p>
        </w:tc>
        <w:tc>
          <w:tcPr>
            <w:tcW w:type="dxa" w:w="29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Open</w:t>
            </w:r>
          </w:p>
        </w:tc>
      </w:tr>
      <w:tr>
        <w:trPr>
          <w:cantSplit/>
          <w:tblHeader w:val="false"/>
        </w:trPr>
        <w:tc>
          <w:tcPr>
            <w:tcW w:type="dxa" w:w="16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Cross-probe physical consistency</w:t>
            </w:r>
          </w:p>
        </w:tc>
        <w:tc>
          <w:tcPr>
            <w:tcW w:type="dxa" w:w="50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expansion, growth, and lensing predicted by one model</w:t>
            </w:r>
          </w:p>
        </w:tc>
        <w:tc>
          <w:tcPr>
            <w:tcW w:type="dxa" w:w="29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Adverse fixed-vector DDM test; native likelihoods open</w:t>
            </w:r>
          </w:p>
        </w:tc>
      </w:tr>
      <w:tr>
        <w:trPr>
          <w:cantSplit/>
          <w:tblHeader w:val="false"/>
        </w:trPr>
        <w:tc>
          <w:tcPr>
            <w:tcW w:type="dxa" w:w="16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Model preference</w:t>
            </w:r>
          </w:p>
        </w:tc>
        <w:tc>
          <w:tcPr>
            <w:tcW w:type="dxa" w:w="50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prior-robust Bayesian or predictive advantage over flexible alternatives</w:t>
            </w:r>
          </w:p>
        </w:tc>
        <w:tc>
          <w:tcPr>
            <w:tcW w:type="dxa" w:w="29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6"/>
                <w:szCs w:val="16"/>
              </w:rPr>
              <w:t xml:space="preserve">Open</w:t>
            </w:r>
          </w:p>
        </w:tc>
      </w:tr>
      <w:tr>
        <w:trPr>
          <w:cantSplit/>
          <w:tblHeader w:val="false"/>
        </w:trPr>
        <w:tc>
          <w:tcPr>
            <w:tcW w:type="dxa" w:w="16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Discovery</w:t>
            </w:r>
          </w:p>
        </w:tc>
        <w:tc>
          <w:tcPr>
            <w:tcW w:type="dxa" w:w="50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independent data and human replication at discovery-grade significance</w:t>
            </w:r>
          </w:p>
        </w:tc>
        <w:tc>
          <w:tcPr>
            <w:tcW w:type="dxa" w:w="29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6"/>
                <w:szCs w:val="16"/>
              </w:rPr>
              <w:t xml:space="preserve">Not met</w:t>
            </w:r>
          </w:p>
        </w:tc>
      </w:tr>
    </w:tbl>
    <w:p>
      <w:pPr>
        <w:spacing w:after="90"/>
      </w:pPr>
    </w:p>
    <w:p>
      <w:pPr>
        <w:pStyle w:val="Heading1"/>
        <w:keepNext/>
      </w:pPr>
      <w:r>
        <w:t xml:space="preserve">12. Falsifiable expectations</w:t>
      </w:r>
    </w:p>
    <w:p>
      <w:pPr>
        <w:widowControl/>
        <w:jc w:val="both"/>
      </w:pPr>
      <w:r>
        <w:t xml:space="preserve">If the signal is dynamical dark energy: DESI's final likelihood (2027) retains the z ≈ 0.7 distance-scale departure at higher precision; Rubin-calibrated supernovae reproduce the low-z crossing with no magnitude offset required; growth and lensing co-vary as that model predicts. If the July DDM interpretation is physical: a native nonlinear full-shape refit must overcome the low fixed-vector fσ₈ predictions; ACT/Planck lensing must tolerate the predicted linear lensing suppression; native shear likelihoods must favor the same transition rather than merely a low S₈ summary; the EoS posterior must stop tracking its prior wall; and nonlinear halo and dwarf-galaxy formation must remain viable. If the anomaly is systematic: the LRG2 distance residual regresses; the supernova preference tracks calibration choices across compilations; residuals decorrelate across probes. We pre-commit to updating this document against those outcomes.</w:t>
      </w:r>
    </w:p>
    <w:p>
      <w:pPr>
        <w:pStyle w:val="Heading1"/>
        <w:keepNext/>
      </w:pPr>
      <w:r>
        <w:t xml:space="preserve">Reproduction</w:t>
      </w:r>
    </w:p>
    <w:p>
      <w:pPr>
        <w:widowControl/>
        <w:jc w:val="left"/>
      </w:pPr>
      <w:r>
        <w:t xml:space="preserve">Everything runs from the released directory. The selection calibration is </w:t>
      </w:r>
      <w:r>
        <w:rPr>
          <w:rFonts w:ascii="Courier New" w:cs="Courier New" w:eastAsia="Courier New" w:hAnsi="Courier New"/>
          <w:color w:val="334155"/>
          <w:sz w:val="18"/>
          <w:szCs w:val="18"/>
        </w:rPr>
        <w:t xml:space="preserve">python3 scripts/max_influence_mocks.py --mocks 5000 --workers 8 --fresh</w:t>
      </w:r>
      <w:r>
        <w:t xml:space="preserve">. The direct test is </w:t>
      </w:r>
      <w:r>
        <w:rPr>
          <w:rFonts w:ascii="Courier New" w:cs="Courier New" w:eastAsia="Courier New" w:hAnsi="Courier New"/>
          <w:color w:val="334155"/>
          <w:sz w:val="18"/>
          <w:szCs w:val="18"/>
        </w:rPr>
        <w:t xml:space="preserve">python3 scripts/time_variation_mocks.py --mocks 5000 --workers 8 --fresh</w:t>
      </w:r>
      <w:r>
        <w:t xml:space="preserve">; repeat with </w:t>
      </w:r>
      <w:r>
        <w:rPr>
          <w:rFonts w:ascii="Courier New" w:cs="Courier New" w:eastAsia="Courier New" w:hAnsi="Courier New"/>
          <w:color w:val="334155"/>
          <w:sz w:val="18"/>
          <w:szCs w:val="18"/>
        </w:rPr>
        <w:t xml:space="preserve">--drop-index 2 --output results/time_variation_no_lrg2_mocks.json</w:t>
      </w:r>
      <w:r>
        <w:t xml:space="preserve"> for the no-LRG2 branch. The held-out test is </w:t>
      </w:r>
      <w:r>
        <w:rPr>
          <w:rFonts w:ascii="Courier New" w:cs="Courier New" w:eastAsia="Courier New" w:hAnsi="Courier New"/>
          <w:color w:val="334155"/>
          <w:sz w:val="18"/>
          <w:szCs w:val="18"/>
        </w:rPr>
        <w:t xml:space="preserve">python3 scripts/lrg2_posterior_predictive.py --mocks 5000 --workers 8 --fresh</w:t>
      </w:r>
      <w:r>
        <w:t xml:space="preserve">. The complete DDM gate, including both 5,000-mock DES5Y calibrations and the pinned CLASS build, is </w:t>
      </w:r>
      <w:r>
        <w:rPr>
          <w:rFonts w:ascii="Courier New" w:cs="Courier New" w:eastAsia="Courier New" w:hAnsi="Courier New"/>
          <w:color w:val="334155"/>
          <w:sz w:val="18"/>
          <w:szCs w:val="18"/>
        </w:rPr>
        <w:t xml:space="preserve">cleanroom/run_ddm_gate.sh 5000 8 cleanroom/ddm-verification</w:t>
      </w:r>
      <w:r>
        <w:t xml:space="preserve">. Results ship as JSON in </w:t>
      </w:r>
      <w:r>
        <w:rPr>
          <w:rFonts w:ascii="Courier New" w:cs="Courier New" w:eastAsia="Courier New" w:hAnsi="Courier New"/>
          <w:color w:val="334155"/>
          <w:sz w:val="18"/>
          <w:szCs w:val="18"/>
        </w:rPr>
        <w:t xml:space="preserve">results/</w:t>
      </w:r>
      <w:r>
        <w:t xml:space="preserve">; canonical values, hashes, and completion states are in </w:t>
      </w:r>
      <w:r>
        <w:rPr>
          <w:rFonts w:ascii="Courier New" w:cs="Courier New" w:eastAsia="Courier New" w:hAnsi="Courier New"/>
          <w:color w:val="334155"/>
          <w:sz w:val="18"/>
          <w:szCs w:val="18"/>
        </w:rPr>
        <w:t xml:space="preserve">RESULTS_MANIFEST.json</w:t>
      </w:r>
      <w:r>
        <w:t xml:space="preserve">. The blind human-verifier protocol and combined runners are in </w:t>
      </w:r>
      <w:r>
        <w:rPr>
          <w:rFonts w:ascii="Courier New" w:cs="Courier New" w:eastAsia="Courier New" w:hAnsi="Courier New"/>
          <w:color w:val="334155"/>
          <w:sz w:val="18"/>
          <w:szCs w:val="18"/>
        </w:rPr>
        <w:t xml:space="preserve">cleanroom/</w:t>
      </w:r>
      <w:r>
        <w:t xml:space="preserve">.</w:t>
      </w:r>
    </w:p>
    <w:p>
      <w:pPr>
        <w:pStyle w:val="Heading1"/>
        <w:keepNext/>
      </w:pPr>
      <w:r>
        <w:t xml:space="preserve">Acknowledgments and provenance of assistance</w:t>
      </w:r>
    </w:p>
    <w:p>
      <w:pPr>
        <w:widowControl/>
        <w:jc w:val="both"/>
      </w:pPr>
      <w:r>
        <w:t xml:space="preserve">Implementation, literature triage, and drafting were AI-assisted (multiple systems, adversarially cross-checked); four AI software/statistics/manuscript audits are incorporated with attribution in the README, but these are not independent scientific replication. A human clean-room rerun remains pending. Errors are the author's. Data credits: DESI, SDSS/eBOSS, Pantheon+/SH0ES, DES, Planck, and the cobaya project's data releases.</w:t>
      </w:r>
    </w:p>
    <w:p>
      <w:pPr>
        <w:pStyle w:val="Heading1"/>
        <w:keepNext/>
      </w:pPr>
      <w:r>
        <w:t xml:space="preserve">Primary sources</w:t>
      </w:r>
    </w:p>
    <w:p>
      <w:pPr>
        <w:pStyle w:val="ListParagraph"/>
        <w:numPr>
          <w:ilvl w:val="0"/>
          <w:numId w:val="2"/>
        </w:numPr>
      </w:pPr>
      <w:r>
        <w:t xml:space="preserve">DESI Collaboration, “DESI DR2 Results II: Measurements of Baryon Acoustic Oscillations and Cosmological Constraints,” arXiv:2503.14738.</w:t>
      </w:r>
    </w:p>
    <w:p>
      <w:pPr>
        <w:pStyle w:val="ListParagraph"/>
        <w:numPr>
          <w:ilvl w:val="0"/>
          <w:numId w:val="2"/>
        </w:numPr>
      </w:pPr>
      <w:r>
        <w:t xml:space="preserve">DESI Collaboration, “DESI 2024 III: Baryon Acoustic Oscillations from Galaxies and Quasars,” arXiv:2404.03000, and “DESI 2024 VI: Cosmological Constraints from the Measurements of Baryon Acoustic Oscillations,” arXiv:2404.03002.</w:t>
      </w:r>
    </w:p>
    <w:p>
      <w:pPr>
        <w:pStyle w:val="ListParagraph"/>
        <w:numPr>
          <w:ilvl w:val="0"/>
          <w:numId w:val="2"/>
        </w:numPr>
      </w:pPr>
      <w:r>
        <w:t xml:space="preserve">Brout et al., “The Pantheon+ Analysis: Cosmological Constraints,” arXiv:2202.04077.</w:t>
      </w:r>
    </w:p>
    <w:p>
      <w:pPr>
        <w:pStyle w:val="ListParagraph"/>
        <w:numPr>
          <w:ilvl w:val="0"/>
          <w:numId w:val="2"/>
        </w:numPr>
      </w:pPr>
      <w:r>
        <w:t xml:space="preserve">DES Collaboration, “The Dark Energy Survey: Cosmology Results With ~1500 New High-redshift Type Ia Supernovae Using the Full 5-year Dataset,” arXiv:2401.02929.</w:t>
      </w:r>
    </w:p>
    <w:p>
      <w:pPr>
        <w:pStyle w:val="ListParagraph"/>
        <w:numPr>
          <w:ilvl w:val="0"/>
          <w:numId w:val="2"/>
        </w:numPr>
      </w:pPr>
      <w:r>
        <w:t xml:space="preserve">Efstathiou, “Evolving Dark Energy or Supernovae Systematics?”, arXiv:2408.07175.</w:t>
      </w:r>
    </w:p>
    <w:p>
      <w:pPr>
        <w:pStyle w:val="ListParagraph"/>
        <w:numPr>
          <w:ilvl w:val="0"/>
          <w:numId w:val="2"/>
        </w:numPr>
      </w:pPr>
      <w:r>
        <w:t xml:space="preserve">Vincenzi et al., “Comparing the DES-SN5YR and Pantheon+ SN cosmology analyses,” arXiv:2501.06664.</w:t>
      </w:r>
    </w:p>
    <w:p>
      <w:pPr>
        <w:pStyle w:val="ListParagraph"/>
        <w:numPr>
          <w:ilvl w:val="0"/>
          <w:numId w:val="2"/>
        </w:numPr>
      </w:pPr>
      <w:r>
        <w:t xml:space="preserve">Cortês and Liddle, “Interpreting DESI’s evidence for evolving dark energy,” arXiv:2504.15336.</w:t>
      </w:r>
    </w:p>
    <w:p>
      <w:pPr>
        <w:pStyle w:val="ListParagraph"/>
        <w:numPr>
          <w:ilvl w:val="0"/>
          <w:numId w:val="2"/>
        </w:numPr>
      </w:pPr>
      <w:r>
        <w:t xml:space="preserve">Ajith and Kumar, “Cosmological consequences of a dynamical dark matter in the light of DESI DR2 measurements,” arXiv:2607.18234.</w:t>
      </w:r>
    </w:p>
    <w:p>
      <w:pPr>
        <w:pStyle w:val="ListParagraph"/>
        <w:numPr>
          <w:ilvl w:val="0"/>
          <w:numId w:val="2"/>
        </w:numPr>
      </w:pPr>
      <w:r>
        <w:t xml:space="preserve">DESI Collaboration, “DESI 2024 VII: Cosmological Constraints from the Full-Shape Modeling of Clustering Measurements,” arXiv:2411.12022.</w:t>
      </w:r>
    </w:p>
    <w:p>
      <w:pPr>
        <w:pStyle w:val="ListParagraph"/>
        <w:numPr>
          <w:ilvl w:val="0"/>
          <w:numId w:val="2"/>
        </w:numPr>
      </w:pPr>
      <w:r>
        <w:t xml:space="preserve">Bautista et al., “The Completed SDSS-IV extended Baryon Oscillation Spectroscopic Survey: measurement of the BAO and growth rate of structure of the luminous red galaxy sample from the anisotropic correlation function between redshifts 0.6 and 1,” arXiv:2007.08993.</w:t>
      </w:r>
    </w:p>
    <w:p>
      <w:pPr>
        <w:pStyle w:val="ListParagraph"/>
        <w:numPr>
          <w:ilvl w:val="0"/>
          <w:numId w:val="2"/>
        </w:numPr>
      </w:pPr>
      <w:r>
        <w:t xml:space="preserve">DES Collaboration, “Dark Energy Survey Year 6 Results: Cosmological Constraints from Galaxy Clustering and Weak Lensing,” arXiv:2601.14559.</w:t>
      </w:r>
    </w:p>
    <w:p>
      <w:pPr>
        <w:pStyle w:val="ListParagraph"/>
        <w:numPr>
          <w:ilvl w:val="0"/>
          <w:numId w:val="2"/>
        </w:numPr>
      </w:pPr>
      <w:r>
        <w:t xml:space="preserve">Kopp, Skordis, and Thomas, “An extensive investigation of the Generalised Dark Matter model,” arXiv:1605.00649.</w:t>
      </w:r>
    </w:p>
    <w:p>
      <w:pPr>
        <w:pStyle w:val="ListParagraph"/>
        <w:numPr>
          <w:ilvl w:val="0"/>
          <w:numId w:val="2"/>
        </w:numPr>
      </w:pPr>
      <w:r>
        <w:t xml:space="preserve">Blas, Lesgourgues, and Tram, “The Cosmic Linear Anisotropy Solving System (CLASS) II: Approximation schemes,” arXiv:1104.2933.</w:t>
      </w:r>
    </w:p>
    <w:p>
      <w:pPr>
        <w:pStyle w:val="Heading1"/>
        <w:keepNext/>
      </w:pPr>
      <w:r>
        <w:t xml:space="preserve">Appendix A. Complete test ledger</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80"/>
        <w:gridCol w:w="2450"/>
        <w:gridCol w:w="4150"/>
        <w:gridCol w:w="2600"/>
      </w:tblGrid>
      <w:tr>
        <w:trPr>
          <w:cantSplit/>
          <w:tblHeader/>
        </w:trPr>
        <w:tc>
          <w:tcPr>
            <w:tcW w:type="dxa" w:w="48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4"/>
                <w:szCs w:val="14"/>
              </w:rPr>
              <w:t xml:space="preserve">#</w:t>
            </w:r>
          </w:p>
        </w:tc>
        <w:tc>
          <w:tcPr>
            <w:tcW w:type="dxa" w:w="245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4"/>
                <w:szCs w:val="14"/>
              </w:rPr>
              <w:t xml:space="preserve">Test</w:t>
            </w:r>
          </w:p>
        </w:tc>
        <w:tc>
          <w:tcPr>
            <w:tcW w:type="dxa" w:w="415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4"/>
                <w:szCs w:val="14"/>
              </w:rPr>
              <w:t xml:space="preserve">Result</w:t>
            </w:r>
          </w:p>
        </w:tc>
        <w:tc>
          <w:tcPr>
            <w:tcW w:type="dxa" w:w="2600"/>
            <w:tcBorders>
              <w:top w:val="single" w:color="A8B3C2" w:sz="2"/>
              <w:left w:val="single" w:color="A8B3C2" w:sz="2"/>
              <w:bottom w:val="single" w:color="A8B3C2" w:sz="2"/>
              <w:right w:val="single" w:color="A8B3C2" w:sz="2"/>
            </w:tcBorders>
            <w:shd w:fill="17365D" w:val="clear"/>
            <w:tcMar>
              <w:top w:type="dxa" w:w="70"/>
              <w:left w:type="dxa" w:w="90"/>
              <w:bottom w:type="dxa" w:w="70"/>
              <w:right w:type="dxa" w:w="90"/>
            </w:tcMar>
            <w:vAlign w:val="center"/>
          </w:tcPr>
          <w:p>
            <w:pPr>
              <w:spacing w:after="0" w:before="0"/>
            </w:pPr>
            <w:r>
              <w:rPr>
                <w:b/>
                <w:bCs/>
                <w:color w:val="FFFFFF"/>
                <w:sz w:val="14"/>
                <w:szCs w:val="14"/>
              </w:rPr>
              <w:t xml:space="preserve">Verdict</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1</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ΛCDM reproduction (BAO-alone, SN-alone)</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Ωm to ±0.0002 / ±0.0014 of published</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PASS</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2</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w₀wₐ Δχ² ladder reproduction</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−4.7/−5.1/−8.5 vs published −4.7/−4.9/−8.0</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PASS</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3</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Best-fit parameter reproduction</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w₀, wₐ, Ωm, H0 to ≤0.01</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PASS</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4</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Posterior reproduction (emcee, official priors)</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intervals match; correlation −0.978 vs −0.975; ΔDIC −4.96 vs −4.4</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PASS</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5</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External re-execution (independent AI)</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all χ² to 4 decimals; minima verified vs differential evolution</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PASS (software check)</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6</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Leave-one-tracer-out (7 BAO tracers)</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only LRG2 matters: 2.4σ → 1.6σ; others 2.3–2.6σ</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LOCALIZED</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7</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χ² pull decomposition</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LRG2 −4.1, CMB anchor −3.9, LRG1 −1.2, Lyα +1.0 (opposes)</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LOCALIZED</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8</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LRG2 D_M/D_H split (external contribution, verified)</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radial D_H carries the leverage (−6.5 vs −4.9)</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LOCALIZED</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9</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eBOSS swap (partially correlated comparator)</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eBOSS in the z≈0.7 slot ≡ no measurement at all (1.6σ)</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NOT CORROBORATED</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10</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DR1 vs DR2 z≈0.7 comparison</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anomaly changed observable: transverse (DR1) → radial (DR2); eBOSS sees neither</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UNSTABLE SIGNATURE</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11</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Efstathiou intercept test (DES5Y)</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fitted offset +0.036–0.037 mag (matches his ~0.04); 2.2σ→0.2σ no-CMB, 2.9σ→1.3σ with cCMB</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SN LEG ABSORBABLE (sensitivity test; DES rebuttal stands)</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12</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SN low-z cut sweeps (both compilations)</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significance decays monotonically as low-z SNe removed; crossing is a low-z phenomenon</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LOCALIZED (SN side)</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13</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Dovekie-release comparison</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DES5Y contribution −13.6 → −7.3 across releases (multi-element change; attribution open)</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RELEASE-DEPENDENT</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14</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w(z) parameterization swap (CPL/JBP/LOG/wCDM)</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evolving families all 2.1–2.9σ; constant-w 0.8–1.2σ</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EVOLVING FLEXIBILITY REWARDED; DIRECT TEST IN #23</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15</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Parametric bootstrap, 5,000 ΛCDM mocks (unrounded reconciled runner)</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P(false pos.) = 1.40% [1.09–1.77%] vs Wilks 1.46%</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STATISTICS CALIBRATED</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16</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Anchor-uncertainty propagation</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surrogate pins significance to 2.4σ ± 0.5σ</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BOUNDED, then superseded by #17</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17</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Full CAMB Boltzmann verification</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baseline 2.41σ vs surrogate 2.45σ; no-LRG2 1.53σ vs 1.58σ</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SURROGATE VINDICATED</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18</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Full-CMB + lensing variant (PR3-native, cobaya)</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2.77σ with LRG2 (pub. PR4: 3.1σ); </w:t>
            </w:r>
            <w:r>
              <w:rPr>
                <w:b w:val="false"/>
                <w:bCs w:val="false"/>
                <w:color w:val="202B36"/>
                <w:sz w:val="14"/>
                <w:szCs w:val="14"/>
              </w:rPr>
              <w:t xml:space="preserve">1.43σ without LRG2</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LENSING DOES NOT RESCUE</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19</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H-X pre-registered cross-probe consistency</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BAO–SN shifts 1.44σ/1.35σ; SN–SN 0.24σ; z×: BAO 0.49±0.07, SNe ≈0.30</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INTERMEDIATE</w:t>
            </w:r>
            <w:r>
              <w:rPr>
                <w:b w:val="false"/>
                <w:bCs w:val="false"/>
                <w:color w:val="202B36"/>
                <w:sz w:val="14"/>
                <w:szCs w:val="14"/>
              </w:rPr>
              <w:t xml:space="preserve"> (per kill conditions)</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20</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H-X registered follow-up: BAO z× without LRG2</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z× = 0.478 [0.384–0.564] — unchanged</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CROSSING LOCATION IS DISTRIBUTED, not an LRG2 artifact</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21</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H-Y registered: SN crossing vs intercept degeneracy</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with intercept marginalized: wₐ = +0.50 [−0.33, +1.03] (includes 0, flips sign); w₀ → −1.17</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KILL CONDITION MET: SN crossing degenerate with calibration seam</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22</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Selection-calibrated maximum influence, 5,000 ΛCDM mocks</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M_obs = 4.125 at LRG2; unconditional 78/5,000, p=0.0156; conditional on equally strong global preference 34/70, p=0.486</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LOCALIZED, BUT NOT EXCEPTIONALLY SO CONDITIONAL ON SIGNAL STRENGTH</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23</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Direct time-variation test: wCDM vs CPL, 5,000 constant-w mocks</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T=7.851; 30/5,000; p=0.0060 [0.0041–0.0086], 2.75σ</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CPL TIME VARIATION PREFERRED</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24</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Direct time-variation test without LRG2</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T=3.426; 349/5,000; p=0.0698 [0.0629–0.0772], 1.81σ</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MOST STRENGTH IS LRG2-SENSITIVE</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25</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Held-out LRG2 ΛCDM prediction, 5,000 mocks</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joint p=0.0408; D_V p=0.0204; D_M/D_H p=0.374</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MODEST SCALE DISCREPANCY; SHAPE ORDINARY; TARGETED</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26</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July 2026 DDM exact-background geometry reproduction</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Δχ²_DDM−Λ = −5.861 vs source full-CMB −6.558; exact CDM nesting</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PASS AT BACKGROUND-SCREEN LEVEL</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27</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Common-data ΛCDM / wCDM / CPL / DDM comparison</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χ² = 15.578 / 14.971 / 7.120 / 9.717; CPL lowest AIC</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DDM NOT SELECTED</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28</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DDM prior sensitivity</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best w₀ᵈᵐ follows −0.05/−0.10/−0.20 walls; T=5.681/5.861/6.024</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PARAMETER CLAIM NOT PRIOR-STABLE</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29</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DDM non-regular ΛCDM bootstrap, 5,000 mocks</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T=5.861; 354/5,000; p=0.0708 [0.0638–0.0783]</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FAILS MODEL-SIGNIFICANCE GATE</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30</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DDM deletion and selection calibration</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LRG2: T 5.861→3.461; no-LRG2 p=0.2278; conditional selected influence 216/354, p=0.610 [0.557–0.661]</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LRG2-SENSITIVE, BUT LOCALIZATION ORDINARY</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31</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DDM DES5Y matched non-regular null</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baseline T=9.603; 61/5,000; p=0.0122 [0.00934–0.01564]</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INTERESTING COMBINED-DATA HINT</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32</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DDM low-z offset with separately fitted null</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+0.0315 mag; T=5.358; 467/5,000; p=0.0934 [0.0855–0.1018]</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MODEL SIGNIFICANCE CALIBRATION-DEPENDENT</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33</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Independent CLASS perturbation controls</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exact-CDM and tighter-integration P(k), σ₈, and lensing differences below thresholds</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PASS AT LINEAR EQUATION LEVEL</w:t>
            </w:r>
          </w:p>
        </w:tc>
      </w:tr>
      <w:tr>
        <w:trPr>
          <w:cantSplit/>
          <w:tblHeader w:val="false"/>
        </w:trPr>
        <w:tc>
          <w:tcPr>
            <w:tcW w:type="dxa" w:w="48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34</w:t>
            </w:r>
          </w:p>
        </w:tc>
        <w:tc>
          <w:tcPr>
            <w:tcW w:type="dxa" w:w="24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DDM compressed SDSS full-shape/growth prediction</w:t>
            </w:r>
          </w:p>
        </w:tc>
        <w:tc>
          <w:tcPr>
            <w:tcW w:type="dxa" w:w="415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source vectors: full p=0.0128/0.00181; growth p=0.00302/0.000368; amplitude rescue requires σ₈=0.918/0.931</w:t>
            </w:r>
          </w:p>
        </w:tc>
        <w:tc>
          <w:tcPr>
            <w:tcW w:type="dxa" w:w="2600"/>
            <w:tcBorders>
              <w:top w:val="single" w:color="A8B3C2" w:sz="2"/>
              <w:left w:val="single" w:color="A8B3C2" w:sz="2"/>
              <w:bottom w:val="single" w:color="A8B3C2" w:sz="2"/>
              <w:right w:val="single" w:color="A8B3C2" w:sz="2"/>
            </w:tcBorders>
            <w:shd w:fill="F2F4F7" w:val="clear"/>
            <w:tcMar>
              <w:top w:type="dxa" w:w="70"/>
              <w:left w:type="dxa" w:w="90"/>
              <w:bottom w:type="dxa" w:w="70"/>
              <w:right w:type="dxa" w:w="90"/>
            </w:tcMar>
            <w:vAlign w:val="center"/>
          </w:tcPr>
          <w:p>
            <w:pPr>
              <w:spacing w:after="0" w:before="0"/>
            </w:pPr>
            <w:r>
              <w:rPr>
                <w:b w:val="false"/>
                <w:bCs w:val="false"/>
                <w:color w:val="202B36"/>
                <w:sz w:val="14"/>
                <w:szCs w:val="14"/>
              </w:rPr>
              <w:t xml:space="preserve">SUBSTANTIAL FALSIFICATION PRESSURE; NATIVE REFIT OPEN</w:t>
            </w:r>
          </w:p>
        </w:tc>
      </w:tr>
      <w:tr>
        <w:trPr>
          <w:cantSplit/>
          <w:tblHeader w:val="false"/>
        </w:trPr>
        <w:tc>
          <w:tcPr>
            <w:tcW w:type="dxa" w:w="48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35</w:t>
            </w:r>
          </w:p>
        </w:tc>
        <w:tc>
          <w:tcPr>
            <w:tcW w:type="dxa" w:w="24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DDM CMB-lensing prediction</w:t>
            </w:r>
          </w:p>
        </w:tc>
        <w:tc>
          <w:tcPr>
            <w:tcW w:type="dxa" w:w="415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linear amplitude ratios 0.87/0.79 and 0.85/0.76 vs matched ΛCDM</w:t>
            </w:r>
          </w:p>
        </w:tc>
        <w:tc>
          <w:tcPr>
            <w:tcW w:type="dxa" w:w="2600"/>
            <w:tcBorders>
              <w:top w:val="single" w:color="A8B3C2" w:sz="2"/>
              <w:left w:val="single" w:color="A8B3C2" w:sz="2"/>
              <w:bottom w:val="single" w:color="A8B3C2" w:sz="2"/>
              <w:right w:val="single" w:color="A8B3C2" w:sz="2"/>
            </w:tcBorders>
            <w:shd w:fill="FFFFFF" w:val="clear"/>
            <w:tcMar>
              <w:top w:type="dxa" w:w="70"/>
              <w:left w:type="dxa" w:w="90"/>
              <w:bottom w:type="dxa" w:w="70"/>
              <w:right w:type="dxa" w:w="90"/>
            </w:tcMar>
            <w:vAlign w:val="center"/>
          </w:tcPr>
          <w:p>
            <w:pPr>
              <w:spacing w:after="0" w:before="0"/>
            </w:pPr>
            <w:r>
              <w:rPr>
                <w:b w:val="false"/>
                <w:bCs w:val="false"/>
                <w:color w:val="202B36"/>
                <w:sz w:val="14"/>
                <w:szCs w:val="14"/>
              </w:rPr>
              <w:t xml:space="preserve">FALSIFIABLE PREDICTION; NATIVE LIKELIHOOD OPEN</w:t>
            </w:r>
          </w:p>
        </w:tc>
      </w:tr>
    </w:tbl>
    <w:p>
      <w:pPr>
        <w:spacing w:after="90"/>
      </w:pPr>
    </w:p>
    <w:p>
      <w:pPr>
        <w:pStyle w:val="Heading1"/>
        <w:keepNext/>
      </w:pPr>
      <w:r>
        <w:t xml:space="preserve">Appendix B. Availability</w:t>
      </w:r>
    </w:p>
    <w:p>
      <w:pPr>
        <w:widowControl/>
        <w:jc w:val="both"/>
      </w:pPr>
      <w:r>
        <w:t xml:space="preserve">Code, data-download instructions, results, chains, and the pre-registered hypothesis chain: https://github.com/GrobeStreet/de-stress-lab (MIT). A human clean-room execution of the July DDM gate remains pending.</w:t>
      </w:r>
    </w:p>
    <w:sectPr>
      <w:headerReference w:type="default" r:id="rId7"/>
      <w:footerReference w:type="default" r:id="rId8"/>
      <w:pgSz w:w="12240" w:h="15840" w:orient="portrait"/>
      <w:pgMar w:top="1080" w:right="1080" w:bottom="1080" w:left="1080" w:header="450" w:footer="45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color w:val="5F6B76"/>
        <w:sz w:val="14"/>
        <w:szCs w:val="14"/>
      </w:rPr>
      <w:t xml:space="preserve">July 2026  •  </w:t>
    </w:r>
    <w:r>
      <w:rPr>
        <w:color w:val="5F6B76"/>
        <w:sz w:val="14"/>
        <w:szCs w:val="14"/>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A8B3C2" w:sz="3" w:space="2"/>
      </w:pBdr>
    </w:pPr>
    <w:r>
      <w:rPr>
        <w:b/>
        <w:bCs/>
        <w:color w:val="5F6B76"/>
        <w:sz w:val="14"/>
        <w:szCs w:val="14"/>
      </w:rPr>
      <w:t xml:space="preserve">DARK-ENERGY STRESS LAB  •  CANONICAL WHITEPAPER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20"/>
      </w:pPr>
    </w:lvl>
  </w:abstractNum>
  <w:abstractNum w:abstractNumId="3" w15:restartNumberingAfterBreak="0">
    <w:multiLevelType w:val="hybridMultilevel"/>
    <w:lvl w:ilvl="0" w15:tentative="1">
      <w:start w:val="1"/>
      <w:numFmt w:val="decimal"/>
      <w:lvlText w:val="%1."/>
      <w:lvlJc w:val="left"/>
      <w:pPr>
        <w:ind w:left="420" w:hanging="2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202B36"/>
        <w:sz w:val="19"/>
        <w:szCs w:val="19"/>
      </w:rPr>
    </w:rPrDefault>
    <w:pPrDefault>
      <w:pPr>
        <w:spacing w:after="105"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keepNext/>
      <w:pBdr>
        <w:bottom w:val="single" w:color="D9EAF7" w:sz="5" w:space="3"/>
      </w:pBdr>
      <w:spacing w:after="120" w:before="270"/>
      <w:outlineLvl w:val="0"/>
    </w:pPr>
    <w:rPr>
      <w:rFonts w:ascii="Arial" w:cs="Arial" w:eastAsia="Arial" w:hAnsi="Arial"/>
      <w:b/>
      <w:bCs/>
      <w:color w:val="17365D"/>
      <w:sz w:val="30"/>
      <w:szCs w:val="30"/>
    </w:rPr>
  </w:style>
  <w:style w:type="paragraph" w:styleId="Heading2">
    <w:name w:val="Heading 2"/>
    <w:basedOn w:val="Normal"/>
    <w:next w:val="Normal"/>
    <w:qFormat/>
    <w:pPr>
      <w:keepNext/>
      <w:spacing w:after="90" w:before="210"/>
      <w:outlineLvl w:val="1"/>
    </w:pPr>
    <w:rPr>
      <w:rFonts w:ascii="Arial" w:cs="Arial" w:eastAsia="Arial" w:hAnsi="Arial"/>
      <w:b/>
      <w:bCs/>
      <w:color w:val="2F75B5"/>
      <w:sz w:val="24"/>
      <w:szCs w:val="24"/>
    </w:rPr>
  </w:style>
  <w:style w:type="paragraph" w:styleId="Heading3">
    <w:name w:val="Heading 3"/>
    <w:basedOn w:val="Normal"/>
    <w:next w:val="Normal"/>
    <w:qFormat/>
    <w:pPr>
      <w:keepNext/>
      <w:spacing w:after="70" w:before="160"/>
      <w:outlineLvl w:val="2"/>
    </w:pPr>
    <w:rPr>
      <w:rFonts w:ascii="Arial" w:cs="Arial" w:eastAsia="Arial" w:hAnsi="Arial"/>
      <w:b/>
      <w:bCs/>
      <w:color w:val="202B36"/>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Anatomy of a 2–3σ Hint</dc:title>
  <dc:subject>Independent stress test of the DESI DR2 evolving-dark-energy preference</dc:subject>
  <dc:creator>Bobby Morong</dc:creator>
  <cp:keywords>DESI DR2, dark energy, CPL, LRG2, BAO, cosmology, reproducibility</cp:keywords>
  <dc:description>Canonical July 2026 whitepaper with selection-calibrated influence, direct time-variation calibration, held-out LRG2 diagnostics, and frontier evidence gates.</dc:description>
  <cp:lastModifiedBy>Un-named</cp:lastModifiedBy>
  <cp:revision>1</cp:revision>
  <dcterms:created xsi:type="dcterms:W3CDTF">2026-07-28T20:02:52.028Z</dcterms:created>
  <dcterms:modified xsi:type="dcterms:W3CDTF">2026-07-28T20:02:52.028Z</dcterms:modified>
</cp:coreProperties>
</file>

<file path=docProps/custom.xml><?xml version="1.0" encoding="utf-8"?>
<Properties xmlns="http://schemas.openxmlformats.org/officeDocument/2006/custom-properties" xmlns:vt="http://schemas.openxmlformats.org/officeDocument/2006/docPropsVTypes"/>
</file>