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25F8B3" w14:textId="0A177079" w:rsidR="004B4AFA" w:rsidRDefault="00942BA0">
      <w:r>
        <w:rPr>
          <w:noProof/>
          <w:lang w:val="en-US"/>
        </w:rPr>
        <w:drawing>
          <wp:anchor distT="0" distB="0" distL="114300" distR="114300" simplePos="0" relativeHeight="251661312" behindDoc="0" locked="0" layoutInCell="1" allowOverlap="1" wp14:anchorId="61E38A9D" wp14:editId="3E423968">
            <wp:simplePos x="0" y="0"/>
            <wp:positionH relativeFrom="column">
              <wp:posOffset>4679949</wp:posOffset>
            </wp:positionH>
            <wp:positionV relativeFrom="paragraph">
              <wp:posOffset>-457200</wp:posOffset>
            </wp:positionV>
            <wp:extent cx="1610995" cy="589739"/>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extLst>
                        <a:ext uri="{28A0092B-C50C-407E-A947-70E740481C1C}">
                          <a14:useLocalDpi xmlns:a14="http://schemas.microsoft.com/office/drawing/2010/main" val="0"/>
                        </a:ext>
                      </a:extLst>
                    </a:blip>
                    <a:stretch>
                      <a:fillRect/>
                    </a:stretch>
                  </pic:blipFill>
                  <pic:spPr>
                    <a:xfrm>
                      <a:off x="0" y="0"/>
                      <a:ext cx="1612002" cy="590108"/>
                    </a:xfrm>
                    <a:prstGeom prst="rect">
                      <a:avLst/>
                    </a:prstGeom>
                  </pic:spPr>
                </pic:pic>
              </a:graphicData>
            </a:graphic>
            <wp14:sizeRelH relativeFrom="margin">
              <wp14:pctWidth>0</wp14:pctWidth>
            </wp14:sizeRelH>
            <wp14:sizeRelV relativeFrom="margin">
              <wp14:pctHeight>0</wp14:pctHeight>
            </wp14:sizeRelV>
          </wp:anchor>
        </w:drawing>
      </w:r>
    </w:p>
    <w:sdt>
      <w:sdtPr>
        <w:id w:val="7697099"/>
        <w:docPartObj>
          <w:docPartGallery w:val="Cover Pages"/>
          <w:docPartUnique/>
        </w:docPartObj>
      </w:sdtPr>
      <w:sdtEndPr/>
      <w:sdtContent>
        <w:p w14:paraId="7EC2DA11" w14:textId="5146B4EE" w:rsidR="008C59CA" w:rsidRDefault="008C59CA"/>
        <w:p w14:paraId="47921450" w14:textId="40429132" w:rsidR="008C59CA" w:rsidRDefault="00082715">
          <w:pPr>
            <w:spacing w:after="0" w:line="240" w:lineRule="auto"/>
          </w:pPr>
          <w:r>
            <w:rPr>
              <w:noProof/>
              <w:lang w:val="en-US"/>
            </w:rPr>
            <mc:AlternateContent>
              <mc:Choice Requires="wpg">
                <w:drawing>
                  <wp:anchor distT="0" distB="0" distL="114300" distR="114300" simplePos="0" relativeHeight="251660288" behindDoc="0" locked="0" layoutInCell="0" allowOverlap="1" wp14:anchorId="3E1EE72C" wp14:editId="3CD4BE95">
                    <wp:simplePos x="0" y="0"/>
                    <wp:positionH relativeFrom="page">
                      <wp:posOffset>1108710</wp:posOffset>
                    </wp:positionH>
                    <wp:positionV relativeFrom="margin">
                      <wp:posOffset>2056765</wp:posOffset>
                    </wp:positionV>
                    <wp:extent cx="5951836" cy="5929039"/>
                    <wp:effectExtent l="0" t="0" r="0" b="0"/>
                    <wp:wrapNone/>
                    <wp:docPr id="8"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1836" cy="5929039"/>
                              <a:chOff x="1798" y="5302"/>
                              <a:chExt cx="9636" cy="8670"/>
                            </a:xfrm>
                            <a:solidFill>
                              <a:schemeClr val="accent3">
                                <a:lumMod val="40000"/>
                                <a:lumOff val="60000"/>
                                <a:alpha val="70000"/>
                              </a:schemeClr>
                            </a:solidFill>
                          </wpg:grpSpPr>
                          <wpg:grpSp>
                            <wpg:cNvPr id="10" name="Group 36"/>
                            <wpg:cNvGrpSpPr>
                              <a:grpSpLocks/>
                            </wpg:cNvGrpSpPr>
                            <wpg:grpSpPr bwMode="auto">
                              <a:xfrm>
                                <a:off x="6331" y="10016"/>
                                <a:ext cx="5103" cy="3956"/>
                                <a:chOff x="6333" y="7468"/>
                                <a:chExt cx="5087" cy="3550"/>
                              </a:xfrm>
                              <a:grpFill/>
                            </wpg:grpSpPr>
                            <wps:wsp>
                              <wps:cNvPr id="12" name="Freeform 38"/>
                              <wps:cNvSpPr>
                                <a:spLocks/>
                              </wps:cNvSpPr>
                              <wps:spPr bwMode="auto">
                                <a:xfrm>
                                  <a:off x="6333"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bg1">
                                    <a:lumMod val="9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39"/>
                              <wps:cNvSpPr>
                                <a:spLocks/>
                              </wps:cNvSpPr>
                              <wps:spPr bwMode="auto">
                                <a:xfrm>
                                  <a:off x="9829"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2" name="Rectangle 48"/>
                            <wps:cNvSpPr>
                              <a:spLocks noChangeArrowheads="1"/>
                            </wps:cNvSpPr>
                            <wps:spPr bwMode="auto">
                              <a:xfrm>
                                <a:off x="1798" y="5302"/>
                                <a:ext cx="8638" cy="4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000000" w:themeColor="text1"/>
                                      <w:sz w:val="72"/>
                                      <w:szCs w:val="72"/>
                                    </w:rPr>
                                    <w:alias w:val="Title"/>
                                    <w:id w:val="1768577674"/>
                                    <w:dataBinding w:prefixMappings="xmlns:ns0='http://schemas.openxmlformats.org/package/2006/metadata/core-properties' xmlns:ns1='http://purl.org/dc/elements/1.1/'" w:xpath="/ns0:coreProperties[1]/ns1:title[1]" w:storeItemID="{6C3C8BC8-F283-45AE-878A-BAB7291924A1}"/>
                                    <w:text/>
                                  </w:sdtPr>
                                  <w:sdtEndPr/>
                                  <w:sdtContent>
                                    <w:p w14:paraId="7C1B42E4" w14:textId="7669BC4C" w:rsidR="007801FB" w:rsidRDefault="007801FB">
                                      <w:pPr>
                                        <w:spacing w:after="0"/>
                                        <w:rPr>
                                          <w:b/>
                                          <w:bCs/>
                                          <w:color w:val="1F497D" w:themeColor="text2"/>
                                          <w:sz w:val="72"/>
                                          <w:szCs w:val="72"/>
                                        </w:rPr>
                                      </w:pPr>
                                      <w:r>
                                        <w:rPr>
                                          <w:b/>
                                          <w:bCs/>
                                          <w:color w:val="000000" w:themeColor="text1"/>
                                          <w:sz w:val="72"/>
                                          <w:szCs w:val="72"/>
                                        </w:rPr>
                                        <w:t>Incident Handling and Response Policy</w:t>
                                      </w:r>
                                      <w:r w:rsidR="00D808DE">
                                        <w:rPr>
                                          <w:b/>
                                          <w:bCs/>
                                          <w:color w:val="000000" w:themeColor="text1"/>
                                          <w:sz w:val="72"/>
                                          <w:szCs w:val="72"/>
                                        </w:rPr>
                                        <w:t xml:space="preserve"> and Procedure</w:t>
                                      </w:r>
                                      <w:r>
                                        <w:rPr>
                                          <w:b/>
                                          <w:bCs/>
                                          <w:color w:val="000000" w:themeColor="text1"/>
                                          <w:sz w:val="72"/>
                                          <w:szCs w:val="72"/>
                                        </w:rPr>
                                        <w:t xml:space="preserve"> </w:t>
                                      </w:r>
                                    </w:p>
                                  </w:sdtContent>
                                </w:sdt>
                                <w:sdt>
                                  <w:sdtPr>
                                    <w:rPr>
                                      <w:rFonts w:asciiTheme="minorHAnsi" w:hAnsiTheme="minorHAnsi"/>
                                      <w:b/>
                                      <w:bCs/>
                                      <w:color w:val="000000" w:themeColor="text1"/>
                                      <w:sz w:val="40"/>
                                      <w:szCs w:val="40"/>
                                    </w:rPr>
                                    <w:alias w:val="Subtitle"/>
                                    <w:id w:val="-958570059"/>
                                    <w:dataBinding w:prefixMappings="xmlns:ns0='http://schemas.openxmlformats.org/package/2006/metadata/core-properties' xmlns:ns1='http://purl.org/dc/elements/1.1/'" w:xpath="/ns0:coreProperties[1]/ns1:subject[1]" w:storeItemID="{6C3C8BC8-F283-45AE-878A-BAB7291924A1}"/>
                                    <w:text/>
                                  </w:sdtPr>
                                  <w:sdtEndPr/>
                                  <w:sdtContent>
                                    <w:p w14:paraId="177DBBE4" w14:textId="590D7E1F" w:rsidR="007801FB" w:rsidRPr="00C02FFB" w:rsidRDefault="007801FB">
                                      <w:pPr>
                                        <w:rPr>
                                          <w:rFonts w:asciiTheme="minorHAnsi" w:hAnsiTheme="minorHAnsi"/>
                                          <w:b/>
                                          <w:bCs/>
                                          <w:color w:val="000000" w:themeColor="text1"/>
                                          <w:sz w:val="40"/>
                                          <w:szCs w:val="40"/>
                                        </w:rPr>
                                      </w:pPr>
                                      <w:r>
                                        <w:rPr>
                                          <w:rFonts w:asciiTheme="minorHAnsi" w:eastAsia="Times New Roman" w:hAnsiTheme="minorHAnsi" w:cs="Arial"/>
                                          <w:b/>
                                          <w:color w:val="222222"/>
                                          <w:sz w:val="40"/>
                                          <w:szCs w:val="40"/>
                                          <w:shd w:val="clear" w:color="auto" w:fill="FFFFFF"/>
                                          <w:lang w:val="en-US"/>
                                        </w:rPr>
                                        <w:t>Bishop Gadsden</w:t>
                                      </w:r>
                                    </w:p>
                                  </w:sdtContent>
                                </w:sdt>
                              </w:txbxContent>
                            </wps:txbx>
                            <wps:bodyPr rot="0" vert="horz" wrap="square" lIns="91440" tIns="45720" rIns="91440" bIns="45720" anchor="b" anchorCtr="0" upright="1">
                              <a:noAutofit/>
                            </wps:bodyPr>
                          </wps:wsp>
                        </wpg:wgp>
                      </a:graphicData>
                    </a:graphic>
                    <wp14:sizeRelH relativeFrom="page">
                      <wp14:pctWidth>0</wp14:pctWidth>
                    </wp14:sizeRelH>
                    <wp14:sizeRelV relativeFrom="margin">
                      <wp14:pctHeight>0</wp14:pctHeight>
                    </wp14:sizeRelV>
                  </wp:anchor>
                </w:drawing>
              </mc:Choice>
              <mc:Fallback>
                <w:pict>
                  <v:group id="Group 34" o:spid="_x0000_s1026" style="position:absolute;margin-left:87.3pt;margin-top:161.95pt;width:468.65pt;height:466.85pt;z-index:251660288;mso-position-horizontal-relative:page;mso-position-vertical-relative:margin;mso-height-relative:margin" coordorigin="1798,5302" coordsize="9636,867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" o:allowincell="f">
                    <v:group id="Group 36" o:spid="_x0000_s1027" style="position:absolute;left:6331;top:10016;width:5103;height:3956" coordorigin="6333,7468" coordsize="5087,355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T3CGsUAAADbAAAA&#10;DwAAAAAAAAAAAAAAAACpAgAAZHJzL2Rvd25yZXYueG1sUEsFBgAAAAAEAAQA+gAAAJsDAAAAAA==&#10;">
                      <v:shape id="Freeform 38" o:spid="_x0000_s1028" style="position:absolute;left:6333;top:7468;width:3466;height:3550;visibility:visible;mso-wrap-style:square;v-text-anchor:top" coordsize="3466,355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8zpDwQAA&#10;ANsAAAAPAAAAZHJzL2Rvd25yZXYueG1sRE9Ni8IwEL0v+B/CCN7WVA8q1SiiKIp70fXgcWzGtphM&#10;ahNr/febhYW9zeN9zmzRWiMaqn3pWMGgn4AgzpwuOVdw/t58TkD4gKzROCYFb/KwmHc+Zphq9+Ij&#10;NaeQixjCPkUFRQhVKqXPCrLo+64ijtzN1RZDhHUudY2vGG6NHCbJSFosOTYUWNGqoOx+eloF5uKa&#10;d7s1j8P66Mtlcv3aj3cTpXrddjkFEagN/+I/907H+UP4/SUeIO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fM6Q8EAAADbAAAADwAAAAAAAAAAAAAAAACXAgAAZHJzL2Rvd25y&#10;ZXYueG1sUEsFBgAAAAAEAAQA9QAAAIUDAAAAAA==&#10;" path="m0,569l0,2930,3466,3550,3466,,,569xe" fillcolor="#f2f2f2 [3052]" stroked="f">
                        <v:path arrowok="t" o:connecttype="custom" o:connectlocs="0,569;0,2930;3466,3550;3466,0;0,569" o:connectangles="0,0,0,0,0"/>
                      </v:shape>
                      <v:shape id="Freeform 39" o:spid="_x0000_s1029" style="position:absolute;left:9829;top:7468;width:1591;height:3550;visibility:visible;mso-wrap-style:square;v-text-anchor:top" coordsize="1591,355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RyC/wgAA&#10;ANsAAAAPAAAAZHJzL2Rvd25yZXYueG1sRE9NawIxEL0X/A9hhF5Es1YosjW7iLbgoVDUXnobN9PN&#10;6mayJKm7/fdNQfA2j/c5q3KwrbiSD41jBfNZBoK4crrhWsHn8W26BBEissbWMSn4pQBlMXpYYa5d&#10;z3u6HmItUgiHHBWYGLtcylAZshhmriNO3LfzFmOCvpbaY5/CbSufsuxZWmw4NRjsaGOouhx+rAI7&#10;CWf/utuaydfCnD6iq3zfviv1OB7WLyAiDfEuvrl3Os1fwP8v6QBZ/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5HIL/CAAAA2wAAAA8AAAAAAAAAAAAAAAAAlwIAAGRycy9kb3du&#10;cmV2LnhtbFBLBQYAAAAABAAEAPUAAACGAwAAAAA=&#10;" path="m0,0l0,3550,1591,2746,1591,737,,0xe" filled="f" stroked="f">
                        <v:path arrowok="t" o:connecttype="custom" o:connectlocs="0,0;0,3550;1591,2746;1591,737;0,0" o:connectangles="0,0,0,0,0"/>
                      </v:shape>
                    </v:group>
                    <v:rect id="Rectangle 48" o:spid="_x0000_s1030" style="position:absolute;left:1798;top:5302;width:8638;height:4260;visibility:visible;mso-wrap-style:square;v-text-anchor:bottom"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KG5fxAAA&#10;ANsAAAAPAAAAZHJzL2Rvd25yZXYueG1sRI9La8MwEITvhfwHsYHeErmmeeBGNn3Q4Esh71y31tY2&#10;sVbGUhPn31eBQI/DzHzDLLLeNOJMnastK3gaRyCIC6trLhXstp+jOQjnkTU2lknBlRxk6eBhgYm2&#10;F17TeeNLESDsElRQed8mUrqiIoNubFvi4P3YzqAPsiul7vAS4KaRcRRNpcGaw0KFLb1XVJw2v0bB&#10;97VZ6vxttZ9N/OH4ofn5+HXKlXoc9q8vIDz1/j98b+daQRzD7Uv4ATL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ChuX8QAAADbAAAADwAAAAAAAAAAAAAAAACXAgAAZHJzL2Rv&#10;d25yZXYueG1sUEsFBgAAAAAEAAQA9QAAAIgDAAAAAA==&#10;" stroked="f">
                      <v:textbox>
                        <w:txbxContent>
                          <w:sdt>
                            <w:sdtPr>
                              <w:rPr>
                                <w:b/>
                                <w:bCs/>
                                <w:color w:val="000000" w:themeColor="text1"/>
                                <w:sz w:val="72"/>
                                <w:szCs w:val="72"/>
                              </w:rPr>
                              <w:alias w:val="Title"/>
                              <w:id w:val="1768577674"/>
                              <w:dataBinding w:prefixMappings="xmlns:ns0='http://schemas.openxmlformats.org/package/2006/metadata/core-properties' xmlns:ns1='http://purl.org/dc/elements/1.1/'" w:xpath="/ns0:coreProperties[1]/ns1:title[1]" w:storeItemID="{6C3C8BC8-F283-45AE-878A-BAB7291924A1}"/>
                              <w:text/>
                            </w:sdtPr>
                            <w:sdtEndPr/>
                            <w:sdtContent>
                              <w:p w14:paraId="7C1B42E4" w14:textId="7669BC4C" w:rsidR="007801FB" w:rsidRDefault="007801FB">
                                <w:pPr>
                                  <w:spacing w:after="0"/>
                                  <w:rPr>
                                    <w:b/>
                                    <w:bCs/>
                                    <w:color w:val="1F497D" w:themeColor="text2"/>
                                    <w:sz w:val="72"/>
                                    <w:szCs w:val="72"/>
                                  </w:rPr>
                                </w:pPr>
                                <w:r>
                                  <w:rPr>
                                    <w:b/>
                                    <w:bCs/>
                                    <w:color w:val="000000" w:themeColor="text1"/>
                                    <w:sz w:val="72"/>
                                    <w:szCs w:val="72"/>
                                  </w:rPr>
                                  <w:t>Incident Handling and Response Policy</w:t>
                                </w:r>
                                <w:r w:rsidR="00D808DE">
                                  <w:rPr>
                                    <w:b/>
                                    <w:bCs/>
                                    <w:color w:val="000000" w:themeColor="text1"/>
                                    <w:sz w:val="72"/>
                                    <w:szCs w:val="72"/>
                                  </w:rPr>
                                  <w:t xml:space="preserve"> and Procedure</w:t>
                                </w:r>
                                <w:r>
                                  <w:rPr>
                                    <w:b/>
                                    <w:bCs/>
                                    <w:color w:val="000000" w:themeColor="text1"/>
                                    <w:sz w:val="72"/>
                                    <w:szCs w:val="72"/>
                                  </w:rPr>
                                  <w:t xml:space="preserve"> </w:t>
                                </w:r>
                              </w:p>
                            </w:sdtContent>
                          </w:sdt>
                          <w:sdt>
                            <w:sdtPr>
                              <w:rPr>
                                <w:rFonts w:asciiTheme="minorHAnsi" w:hAnsiTheme="minorHAnsi"/>
                                <w:b/>
                                <w:bCs/>
                                <w:color w:val="000000" w:themeColor="text1"/>
                                <w:sz w:val="40"/>
                                <w:szCs w:val="40"/>
                              </w:rPr>
                              <w:alias w:val="Subtitle"/>
                              <w:id w:val="-958570059"/>
                              <w:dataBinding w:prefixMappings="xmlns:ns0='http://schemas.openxmlformats.org/package/2006/metadata/core-properties' xmlns:ns1='http://purl.org/dc/elements/1.1/'" w:xpath="/ns0:coreProperties[1]/ns1:subject[1]" w:storeItemID="{6C3C8BC8-F283-45AE-878A-BAB7291924A1}"/>
                              <w:text/>
                            </w:sdtPr>
                            <w:sdtEndPr/>
                            <w:sdtContent>
                              <w:p w14:paraId="177DBBE4" w14:textId="590D7E1F" w:rsidR="007801FB" w:rsidRPr="00C02FFB" w:rsidRDefault="007801FB">
                                <w:pPr>
                                  <w:rPr>
                                    <w:rFonts w:asciiTheme="minorHAnsi" w:hAnsiTheme="minorHAnsi"/>
                                    <w:b/>
                                    <w:bCs/>
                                    <w:color w:val="000000" w:themeColor="text1"/>
                                    <w:sz w:val="40"/>
                                    <w:szCs w:val="40"/>
                                  </w:rPr>
                                </w:pPr>
                                <w:r>
                                  <w:rPr>
                                    <w:rFonts w:asciiTheme="minorHAnsi" w:eastAsia="Times New Roman" w:hAnsiTheme="minorHAnsi" w:cs="Arial"/>
                                    <w:b/>
                                    <w:color w:val="222222"/>
                                    <w:sz w:val="40"/>
                                    <w:szCs w:val="40"/>
                                    <w:shd w:val="clear" w:color="auto" w:fill="FFFFFF"/>
                                    <w:lang w:val="en-US"/>
                                  </w:rPr>
                                  <w:t>Bishop Gadsden</w:t>
                                </w:r>
                              </w:p>
                            </w:sdtContent>
                          </w:sdt>
                        </w:txbxContent>
                      </v:textbox>
                    </v:rect>
                    <w10:wrap anchorx="page" anchory="margin"/>
                  </v:group>
                </w:pict>
              </mc:Fallback>
            </mc:AlternateContent>
          </w:r>
          <w:r w:rsidR="008C59CA">
            <w:br w:type="page"/>
          </w:r>
        </w:p>
      </w:sdtContent>
    </w:sdt>
    <w:p w14:paraId="7C517ECE" w14:textId="77777777" w:rsidR="00186BCC" w:rsidRDefault="00186BCC" w:rsidP="00186BCC">
      <w:pPr>
        <w:pStyle w:val="Heading1"/>
        <w:numPr>
          <w:ilvl w:val="0"/>
          <w:numId w:val="0"/>
        </w:numPr>
        <w:ind w:left="360" w:hanging="360"/>
        <w:sectPr w:rsidR="00186BCC" w:rsidSect="00186BCC">
          <w:headerReference w:type="default" r:id="rId12"/>
          <w:footerReference w:type="default" r:id="rId13"/>
          <w:headerReference w:type="first" r:id="rId14"/>
          <w:footerReference w:type="first" r:id="rId15"/>
          <w:endnotePr>
            <w:numFmt w:val="decimal"/>
          </w:endnotePr>
          <w:pgSz w:w="11906" w:h="16838"/>
          <w:pgMar w:top="1440" w:right="1440" w:bottom="1440" w:left="1440" w:header="708" w:footer="1044" w:gutter="0"/>
          <w:cols w:space="708"/>
          <w:docGrid w:linePitch="360"/>
        </w:sectPr>
      </w:pPr>
    </w:p>
    <w:tbl>
      <w:tblPr>
        <w:tblStyle w:val="TableGrid"/>
        <w:tblW w:w="0" w:type="auto"/>
        <w:jc w:val="center"/>
        <w:tblLook w:val="04A0" w:firstRow="1" w:lastRow="0" w:firstColumn="1" w:lastColumn="0" w:noHBand="0" w:noVBand="1"/>
      </w:tblPr>
      <w:tblGrid>
        <w:gridCol w:w="1848"/>
        <w:gridCol w:w="1848"/>
        <w:gridCol w:w="1848"/>
        <w:gridCol w:w="1849"/>
        <w:gridCol w:w="1849"/>
      </w:tblGrid>
      <w:tr w:rsidR="00186BCC" w:rsidRPr="004E2598" w14:paraId="718E16FC" w14:textId="77777777" w:rsidTr="00FF7751">
        <w:trPr>
          <w:trHeight w:hRule="exact" w:val="792"/>
          <w:jc w:val="center"/>
        </w:trPr>
        <w:tc>
          <w:tcPr>
            <w:tcW w:w="9242" w:type="dxa"/>
            <w:gridSpan w:val="5"/>
            <w:shd w:val="clear" w:color="auto" w:fill="E3ECD1"/>
            <w:vAlign w:val="center"/>
          </w:tcPr>
          <w:p w14:paraId="6D51AE06" w14:textId="3CCC4A72" w:rsidR="00186BCC" w:rsidRPr="004E2598" w:rsidRDefault="003736F0" w:rsidP="004E2598">
            <w:pPr>
              <w:pStyle w:val="BodyContent"/>
              <w:jc w:val="center"/>
              <w:rPr>
                <w:rFonts w:ascii="Calibri" w:hAnsi="Calibri"/>
                <w:b/>
              </w:rPr>
            </w:pPr>
            <w:r w:rsidRPr="004E2598">
              <w:rPr>
                <w:rFonts w:ascii="Calibri" w:hAnsi="Calibri"/>
                <w:b/>
              </w:rPr>
              <w:lastRenderedPageBreak/>
              <w:t>Revision History</w:t>
            </w:r>
          </w:p>
        </w:tc>
      </w:tr>
      <w:tr w:rsidR="00186BCC" w:rsidRPr="004E2598" w14:paraId="33713711" w14:textId="77777777" w:rsidTr="00FF7751">
        <w:trPr>
          <w:trHeight w:hRule="exact" w:val="792"/>
          <w:jc w:val="center"/>
        </w:trPr>
        <w:tc>
          <w:tcPr>
            <w:tcW w:w="1848" w:type="dxa"/>
            <w:vAlign w:val="bottom"/>
          </w:tcPr>
          <w:p w14:paraId="7314B6A8" w14:textId="281ED96B" w:rsidR="00186BCC" w:rsidRPr="004E2598" w:rsidRDefault="00FF7751" w:rsidP="004E2598">
            <w:pPr>
              <w:pStyle w:val="BodyContent"/>
              <w:jc w:val="center"/>
              <w:rPr>
                <w:rFonts w:ascii="Calibri" w:hAnsi="Calibri"/>
                <w:b/>
              </w:rPr>
            </w:pPr>
            <w:r w:rsidRPr="004E2598">
              <w:rPr>
                <w:rFonts w:ascii="Calibri" w:hAnsi="Calibri"/>
                <w:b/>
              </w:rPr>
              <w:t>Date</w:t>
            </w:r>
          </w:p>
        </w:tc>
        <w:tc>
          <w:tcPr>
            <w:tcW w:w="1848" w:type="dxa"/>
            <w:vAlign w:val="bottom"/>
          </w:tcPr>
          <w:p w14:paraId="7CB047A2" w14:textId="64F87C22" w:rsidR="00186BCC" w:rsidRPr="004E2598" w:rsidRDefault="00FF7751" w:rsidP="004E2598">
            <w:pPr>
              <w:pStyle w:val="BodyContent"/>
              <w:jc w:val="center"/>
              <w:rPr>
                <w:rFonts w:ascii="Calibri" w:hAnsi="Calibri"/>
                <w:b/>
              </w:rPr>
            </w:pPr>
            <w:r w:rsidRPr="004E2598">
              <w:rPr>
                <w:rFonts w:ascii="Calibri" w:hAnsi="Calibri"/>
                <w:b/>
              </w:rPr>
              <w:t>New version</w:t>
            </w:r>
          </w:p>
        </w:tc>
        <w:tc>
          <w:tcPr>
            <w:tcW w:w="1848" w:type="dxa"/>
            <w:vAlign w:val="bottom"/>
          </w:tcPr>
          <w:p w14:paraId="11B914C1" w14:textId="2BBF0A2E" w:rsidR="00186BCC" w:rsidRPr="004E2598" w:rsidRDefault="00FF7751" w:rsidP="004E2598">
            <w:pPr>
              <w:pStyle w:val="BodyContent"/>
              <w:jc w:val="center"/>
              <w:rPr>
                <w:rFonts w:ascii="Calibri" w:hAnsi="Calibri"/>
                <w:b/>
              </w:rPr>
            </w:pPr>
            <w:r w:rsidRPr="004E2598">
              <w:rPr>
                <w:rFonts w:ascii="Calibri" w:hAnsi="Calibri"/>
                <w:b/>
              </w:rPr>
              <w:t>Previous Version</w:t>
            </w:r>
          </w:p>
        </w:tc>
        <w:tc>
          <w:tcPr>
            <w:tcW w:w="1849" w:type="dxa"/>
            <w:vAlign w:val="bottom"/>
          </w:tcPr>
          <w:p w14:paraId="045DF02E" w14:textId="5AF65AC7" w:rsidR="00186BCC" w:rsidRPr="004E2598" w:rsidRDefault="00FF7751" w:rsidP="004E2598">
            <w:pPr>
              <w:pStyle w:val="BodyContent"/>
              <w:jc w:val="center"/>
              <w:rPr>
                <w:rFonts w:ascii="Calibri" w:hAnsi="Calibri"/>
                <w:b/>
              </w:rPr>
            </w:pPr>
            <w:r w:rsidRPr="004E2598">
              <w:rPr>
                <w:rFonts w:ascii="Calibri" w:hAnsi="Calibri"/>
                <w:b/>
              </w:rPr>
              <w:t>Name</w:t>
            </w:r>
          </w:p>
        </w:tc>
        <w:tc>
          <w:tcPr>
            <w:tcW w:w="1849" w:type="dxa"/>
            <w:vAlign w:val="bottom"/>
          </w:tcPr>
          <w:p w14:paraId="22D3D3CD" w14:textId="4AAE26BE" w:rsidR="00FF7751" w:rsidRPr="004E2598" w:rsidRDefault="00FF7751" w:rsidP="004E2598">
            <w:pPr>
              <w:pStyle w:val="BodyContent"/>
              <w:jc w:val="center"/>
              <w:rPr>
                <w:rFonts w:ascii="Calibri" w:hAnsi="Calibri"/>
                <w:b/>
              </w:rPr>
            </w:pPr>
            <w:r w:rsidRPr="004E2598">
              <w:rPr>
                <w:rFonts w:ascii="Calibri" w:hAnsi="Calibri"/>
                <w:b/>
              </w:rPr>
              <w:t>Edit(s)</w:t>
            </w:r>
          </w:p>
        </w:tc>
      </w:tr>
      <w:tr w:rsidR="00186BCC" w:rsidRPr="004E2598" w14:paraId="4A941C6D" w14:textId="77777777" w:rsidTr="00FF7751">
        <w:trPr>
          <w:trHeight w:hRule="exact" w:val="792"/>
          <w:jc w:val="center"/>
        </w:trPr>
        <w:tc>
          <w:tcPr>
            <w:tcW w:w="1848" w:type="dxa"/>
            <w:vAlign w:val="center"/>
          </w:tcPr>
          <w:p w14:paraId="195A479E" w14:textId="6ECBA1C7" w:rsidR="00186BCC" w:rsidRPr="004E2598" w:rsidRDefault="00FF7751" w:rsidP="004E2598">
            <w:pPr>
              <w:pStyle w:val="BodyContent"/>
              <w:jc w:val="center"/>
              <w:rPr>
                <w:rFonts w:ascii="Calibri" w:hAnsi="Calibri"/>
              </w:rPr>
            </w:pPr>
            <w:r w:rsidRPr="004E2598">
              <w:rPr>
                <w:rFonts w:ascii="Calibri" w:hAnsi="Calibri"/>
              </w:rPr>
              <w:t>20</w:t>
            </w:r>
            <w:r w:rsidR="005A50BD" w:rsidRPr="004E2598">
              <w:rPr>
                <w:rFonts w:ascii="Calibri" w:hAnsi="Calibri"/>
              </w:rPr>
              <w:t>1</w:t>
            </w:r>
            <w:r w:rsidRPr="004E2598">
              <w:rPr>
                <w:rFonts w:ascii="Calibri" w:hAnsi="Calibri"/>
              </w:rPr>
              <w:t>7.02.2</w:t>
            </w:r>
            <w:r w:rsidR="00FF1056">
              <w:rPr>
                <w:rFonts w:ascii="Calibri" w:hAnsi="Calibri"/>
              </w:rPr>
              <w:t>7</w:t>
            </w:r>
          </w:p>
        </w:tc>
        <w:tc>
          <w:tcPr>
            <w:tcW w:w="1848" w:type="dxa"/>
            <w:vAlign w:val="center"/>
          </w:tcPr>
          <w:p w14:paraId="377A33F8" w14:textId="66813084" w:rsidR="00186BCC" w:rsidRPr="004E2598" w:rsidRDefault="00FF7751" w:rsidP="004E2598">
            <w:pPr>
              <w:pStyle w:val="BodyContent"/>
              <w:jc w:val="center"/>
              <w:rPr>
                <w:rFonts w:ascii="Calibri" w:hAnsi="Calibri"/>
              </w:rPr>
            </w:pPr>
            <w:r w:rsidRPr="004E2598">
              <w:rPr>
                <w:rFonts w:ascii="Calibri" w:hAnsi="Calibri"/>
              </w:rPr>
              <w:t>1.0</w:t>
            </w:r>
          </w:p>
        </w:tc>
        <w:tc>
          <w:tcPr>
            <w:tcW w:w="1848" w:type="dxa"/>
            <w:vAlign w:val="center"/>
          </w:tcPr>
          <w:p w14:paraId="66287414" w14:textId="052F29F6" w:rsidR="00186BCC" w:rsidRPr="004E2598" w:rsidRDefault="00FF7751" w:rsidP="004E2598">
            <w:pPr>
              <w:pStyle w:val="BodyContent"/>
              <w:jc w:val="center"/>
              <w:rPr>
                <w:rFonts w:ascii="Calibri" w:hAnsi="Calibri"/>
              </w:rPr>
            </w:pPr>
            <w:r w:rsidRPr="004E2598">
              <w:rPr>
                <w:rFonts w:ascii="Calibri" w:hAnsi="Calibri"/>
              </w:rPr>
              <w:t>n/a</w:t>
            </w:r>
          </w:p>
        </w:tc>
        <w:tc>
          <w:tcPr>
            <w:tcW w:w="1849" w:type="dxa"/>
            <w:vAlign w:val="center"/>
          </w:tcPr>
          <w:p w14:paraId="38FA0BF1" w14:textId="14D00117" w:rsidR="00186BCC" w:rsidRPr="004E2598" w:rsidRDefault="00FF7751" w:rsidP="004E2598">
            <w:pPr>
              <w:pStyle w:val="BodyContent"/>
              <w:jc w:val="center"/>
              <w:rPr>
                <w:rFonts w:ascii="Calibri" w:hAnsi="Calibri"/>
              </w:rPr>
            </w:pPr>
            <w:r w:rsidRPr="004E2598">
              <w:rPr>
                <w:rFonts w:ascii="Calibri" w:hAnsi="Calibri"/>
              </w:rPr>
              <w:t>B. Krafsig</w:t>
            </w:r>
          </w:p>
        </w:tc>
        <w:tc>
          <w:tcPr>
            <w:tcW w:w="1849" w:type="dxa"/>
            <w:vAlign w:val="center"/>
          </w:tcPr>
          <w:p w14:paraId="6BA8ECDF" w14:textId="0EBE2BE0" w:rsidR="00186BCC" w:rsidRPr="004E2598" w:rsidRDefault="00A801C1" w:rsidP="004E2598">
            <w:pPr>
              <w:pStyle w:val="BodyContent"/>
              <w:jc w:val="center"/>
              <w:rPr>
                <w:rFonts w:ascii="Calibri" w:hAnsi="Calibri"/>
              </w:rPr>
            </w:pPr>
            <w:r w:rsidRPr="004E2598">
              <w:rPr>
                <w:rFonts w:ascii="Calibri" w:hAnsi="Calibri"/>
              </w:rPr>
              <w:t>Created</w:t>
            </w:r>
          </w:p>
        </w:tc>
      </w:tr>
      <w:tr w:rsidR="00186BCC" w:rsidRPr="004E2598" w14:paraId="1474B949" w14:textId="77777777" w:rsidTr="00FF7751">
        <w:trPr>
          <w:trHeight w:hRule="exact" w:val="792"/>
          <w:jc w:val="center"/>
        </w:trPr>
        <w:tc>
          <w:tcPr>
            <w:tcW w:w="1848" w:type="dxa"/>
            <w:vAlign w:val="center"/>
          </w:tcPr>
          <w:p w14:paraId="2F134D5A" w14:textId="77777777" w:rsidR="00186BCC" w:rsidRPr="004E2598" w:rsidRDefault="00186BCC" w:rsidP="004E2598">
            <w:pPr>
              <w:pStyle w:val="BodyContent"/>
              <w:jc w:val="center"/>
              <w:rPr>
                <w:rFonts w:ascii="Calibri" w:hAnsi="Calibri"/>
              </w:rPr>
            </w:pPr>
          </w:p>
        </w:tc>
        <w:tc>
          <w:tcPr>
            <w:tcW w:w="1848" w:type="dxa"/>
            <w:vAlign w:val="center"/>
          </w:tcPr>
          <w:p w14:paraId="128B41AD" w14:textId="77777777" w:rsidR="00186BCC" w:rsidRPr="004E2598" w:rsidRDefault="00186BCC" w:rsidP="004E2598">
            <w:pPr>
              <w:pStyle w:val="BodyContent"/>
              <w:jc w:val="center"/>
              <w:rPr>
                <w:rFonts w:ascii="Calibri" w:hAnsi="Calibri"/>
              </w:rPr>
            </w:pPr>
          </w:p>
        </w:tc>
        <w:tc>
          <w:tcPr>
            <w:tcW w:w="1848" w:type="dxa"/>
            <w:vAlign w:val="center"/>
          </w:tcPr>
          <w:p w14:paraId="0363445F" w14:textId="77777777" w:rsidR="00186BCC" w:rsidRPr="004E2598" w:rsidRDefault="00186BCC" w:rsidP="004E2598">
            <w:pPr>
              <w:pStyle w:val="BodyContent"/>
              <w:jc w:val="center"/>
              <w:rPr>
                <w:rFonts w:ascii="Calibri" w:hAnsi="Calibri"/>
              </w:rPr>
            </w:pPr>
          </w:p>
        </w:tc>
        <w:tc>
          <w:tcPr>
            <w:tcW w:w="1849" w:type="dxa"/>
            <w:vAlign w:val="center"/>
          </w:tcPr>
          <w:p w14:paraId="12429EAC" w14:textId="77777777" w:rsidR="00186BCC" w:rsidRPr="004E2598" w:rsidRDefault="00186BCC" w:rsidP="004E2598">
            <w:pPr>
              <w:pStyle w:val="BodyContent"/>
              <w:jc w:val="center"/>
              <w:rPr>
                <w:rFonts w:ascii="Calibri" w:hAnsi="Calibri"/>
              </w:rPr>
            </w:pPr>
          </w:p>
        </w:tc>
        <w:tc>
          <w:tcPr>
            <w:tcW w:w="1849" w:type="dxa"/>
            <w:vAlign w:val="center"/>
          </w:tcPr>
          <w:p w14:paraId="20CDDBC4" w14:textId="77777777" w:rsidR="00186BCC" w:rsidRPr="004E2598" w:rsidRDefault="00186BCC" w:rsidP="004E2598">
            <w:pPr>
              <w:pStyle w:val="BodyContent"/>
              <w:jc w:val="center"/>
              <w:rPr>
                <w:rFonts w:ascii="Calibri" w:hAnsi="Calibri"/>
              </w:rPr>
            </w:pPr>
          </w:p>
        </w:tc>
      </w:tr>
    </w:tbl>
    <w:p w14:paraId="41018240" w14:textId="77777777" w:rsidR="00FF1C41" w:rsidRDefault="00FF1C41" w:rsidP="00186BCC">
      <w:pPr>
        <w:pStyle w:val="Heading1"/>
        <w:numPr>
          <w:ilvl w:val="0"/>
          <w:numId w:val="0"/>
        </w:numPr>
        <w:ind w:left="360" w:hanging="360"/>
        <w:sectPr w:rsidR="00FF1C41" w:rsidSect="00186BCC">
          <w:endnotePr>
            <w:numFmt w:val="decimal"/>
          </w:endnotePr>
          <w:pgSz w:w="11906" w:h="16838"/>
          <w:pgMar w:top="1440" w:right="1440" w:bottom="1440" w:left="1440" w:header="708" w:footer="1044" w:gutter="0"/>
          <w:cols w:space="708"/>
          <w:docGrid w:linePitch="360"/>
        </w:sectPr>
      </w:pPr>
    </w:p>
    <w:p w14:paraId="308CFAE3" w14:textId="77777777" w:rsidR="00A801C1" w:rsidRDefault="002B52E1">
      <w:pPr>
        <w:pStyle w:val="TOC1"/>
        <w:tabs>
          <w:tab w:val="left" w:pos="410"/>
          <w:tab w:val="right" w:leader="dot" w:pos="9016"/>
        </w:tabs>
        <w:rPr>
          <w:rFonts w:asciiTheme="minorHAnsi" w:eastAsiaTheme="minorEastAsia" w:hAnsiTheme="minorHAnsi" w:cstheme="minorBidi"/>
          <w:noProof/>
          <w:sz w:val="24"/>
          <w:szCs w:val="24"/>
          <w:lang w:val="en-US" w:eastAsia="ja-JP"/>
        </w:rPr>
      </w:pPr>
      <w:r>
        <w:rPr>
          <w:b/>
        </w:rPr>
        <w:lastRenderedPageBreak/>
        <w:fldChar w:fldCharType="begin"/>
      </w:r>
      <w:r>
        <w:rPr>
          <w:b/>
        </w:rPr>
        <w:instrText xml:space="preserve"> TOC \o "1-3" </w:instrText>
      </w:r>
      <w:r>
        <w:rPr>
          <w:b/>
        </w:rPr>
        <w:fldChar w:fldCharType="separate"/>
      </w:r>
      <w:r w:rsidR="00A801C1" w:rsidRPr="00405EDC">
        <w:rPr>
          <w:b/>
          <w:noProof/>
        </w:rPr>
        <w:t>1.</w:t>
      </w:r>
      <w:r w:rsidR="00A801C1">
        <w:rPr>
          <w:rFonts w:asciiTheme="minorHAnsi" w:eastAsiaTheme="minorEastAsia" w:hAnsiTheme="minorHAnsi" w:cstheme="minorBidi"/>
          <w:noProof/>
          <w:sz w:val="24"/>
          <w:szCs w:val="24"/>
          <w:lang w:val="en-US" w:eastAsia="ja-JP"/>
        </w:rPr>
        <w:tab/>
      </w:r>
      <w:r w:rsidR="00A801C1" w:rsidRPr="00405EDC">
        <w:rPr>
          <w:b/>
          <w:noProof/>
        </w:rPr>
        <w:t>Overview</w:t>
      </w:r>
      <w:r w:rsidR="00A801C1">
        <w:rPr>
          <w:noProof/>
        </w:rPr>
        <w:tab/>
      </w:r>
      <w:r w:rsidR="00A801C1">
        <w:rPr>
          <w:noProof/>
        </w:rPr>
        <w:fldChar w:fldCharType="begin"/>
      </w:r>
      <w:r w:rsidR="00A801C1">
        <w:rPr>
          <w:noProof/>
        </w:rPr>
        <w:instrText xml:space="preserve"> PAGEREF _Toc349825853 \h </w:instrText>
      </w:r>
      <w:r w:rsidR="00A801C1">
        <w:rPr>
          <w:noProof/>
        </w:rPr>
      </w:r>
      <w:r w:rsidR="00A801C1">
        <w:rPr>
          <w:noProof/>
        </w:rPr>
        <w:fldChar w:fldCharType="separate"/>
      </w:r>
      <w:r w:rsidR="00D808DE">
        <w:rPr>
          <w:noProof/>
        </w:rPr>
        <w:t>5</w:t>
      </w:r>
      <w:r w:rsidR="00A801C1">
        <w:rPr>
          <w:noProof/>
        </w:rPr>
        <w:fldChar w:fldCharType="end"/>
      </w:r>
    </w:p>
    <w:p w14:paraId="2B819A6D" w14:textId="77777777" w:rsidR="00A801C1" w:rsidRDefault="00A801C1">
      <w:pPr>
        <w:pStyle w:val="TOC1"/>
        <w:tabs>
          <w:tab w:val="left" w:pos="410"/>
          <w:tab w:val="right" w:leader="dot" w:pos="9016"/>
        </w:tabs>
        <w:rPr>
          <w:rFonts w:asciiTheme="minorHAnsi" w:eastAsiaTheme="minorEastAsia" w:hAnsiTheme="minorHAnsi" w:cstheme="minorBidi"/>
          <w:noProof/>
          <w:sz w:val="24"/>
          <w:szCs w:val="24"/>
          <w:lang w:val="en-US" w:eastAsia="ja-JP"/>
        </w:rPr>
      </w:pPr>
      <w:r w:rsidRPr="00405EDC">
        <w:rPr>
          <w:b/>
          <w:noProof/>
        </w:rPr>
        <w:t>2.</w:t>
      </w:r>
      <w:r>
        <w:rPr>
          <w:rFonts w:asciiTheme="minorHAnsi" w:eastAsiaTheme="minorEastAsia" w:hAnsiTheme="minorHAnsi" w:cstheme="minorBidi"/>
          <w:noProof/>
          <w:sz w:val="24"/>
          <w:szCs w:val="24"/>
          <w:lang w:val="en-US" w:eastAsia="ja-JP"/>
        </w:rPr>
        <w:tab/>
      </w:r>
      <w:r w:rsidRPr="00405EDC">
        <w:rPr>
          <w:b/>
          <w:noProof/>
        </w:rPr>
        <w:t>Purpose</w:t>
      </w:r>
      <w:r>
        <w:rPr>
          <w:noProof/>
        </w:rPr>
        <w:tab/>
      </w:r>
      <w:r>
        <w:rPr>
          <w:noProof/>
        </w:rPr>
        <w:fldChar w:fldCharType="begin"/>
      </w:r>
      <w:r>
        <w:rPr>
          <w:noProof/>
        </w:rPr>
        <w:instrText xml:space="preserve"> PAGEREF _Toc349825854 \h </w:instrText>
      </w:r>
      <w:r>
        <w:rPr>
          <w:noProof/>
        </w:rPr>
      </w:r>
      <w:r>
        <w:rPr>
          <w:noProof/>
        </w:rPr>
        <w:fldChar w:fldCharType="separate"/>
      </w:r>
      <w:r w:rsidR="00D808DE">
        <w:rPr>
          <w:noProof/>
        </w:rPr>
        <w:t>5</w:t>
      </w:r>
      <w:r>
        <w:rPr>
          <w:noProof/>
        </w:rPr>
        <w:fldChar w:fldCharType="end"/>
      </w:r>
    </w:p>
    <w:p w14:paraId="260E17C6" w14:textId="77777777" w:rsidR="00A801C1" w:rsidRDefault="00A801C1">
      <w:pPr>
        <w:pStyle w:val="TOC1"/>
        <w:tabs>
          <w:tab w:val="left" w:pos="410"/>
          <w:tab w:val="right" w:leader="dot" w:pos="9016"/>
        </w:tabs>
        <w:rPr>
          <w:rFonts w:asciiTheme="minorHAnsi" w:eastAsiaTheme="minorEastAsia" w:hAnsiTheme="minorHAnsi" w:cstheme="minorBidi"/>
          <w:noProof/>
          <w:sz w:val="24"/>
          <w:szCs w:val="24"/>
          <w:lang w:val="en-US" w:eastAsia="ja-JP"/>
        </w:rPr>
      </w:pPr>
      <w:r w:rsidRPr="00405EDC">
        <w:rPr>
          <w:b/>
          <w:noProof/>
        </w:rPr>
        <w:t>3.</w:t>
      </w:r>
      <w:r>
        <w:rPr>
          <w:rFonts w:asciiTheme="minorHAnsi" w:eastAsiaTheme="minorEastAsia" w:hAnsiTheme="minorHAnsi" w:cstheme="minorBidi"/>
          <w:noProof/>
          <w:sz w:val="24"/>
          <w:szCs w:val="24"/>
          <w:lang w:val="en-US" w:eastAsia="ja-JP"/>
        </w:rPr>
        <w:tab/>
      </w:r>
      <w:r w:rsidRPr="00405EDC">
        <w:rPr>
          <w:b/>
          <w:noProof/>
        </w:rPr>
        <w:t>Policy</w:t>
      </w:r>
      <w:r>
        <w:rPr>
          <w:noProof/>
        </w:rPr>
        <w:tab/>
      </w:r>
      <w:r>
        <w:rPr>
          <w:noProof/>
        </w:rPr>
        <w:fldChar w:fldCharType="begin"/>
      </w:r>
      <w:r>
        <w:rPr>
          <w:noProof/>
        </w:rPr>
        <w:instrText xml:space="preserve"> PAGEREF _Toc349825855 \h </w:instrText>
      </w:r>
      <w:r>
        <w:rPr>
          <w:noProof/>
        </w:rPr>
      </w:r>
      <w:r>
        <w:rPr>
          <w:noProof/>
        </w:rPr>
        <w:fldChar w:fldCharType="separate"/>
      </w:r>
      <w:r w:rsidR="00D808DE">
        <w:rPr>
          <w:noProof/>
        </w:rPr>
        <w:t>5</w:t>
      </w:r>
      <w:r>
        <w:rPr>
          <w:noProof/>
        </w:rPr>
        <w:fldChar w:fldCharType="end"/>
      </w:r>
    </w:p>
    <w:p w14:paraId="05B2C80C"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3.1.</w:t>
      </w:r>
      <w:r>
        <w:rPr>
          <w:rFonts w:asciiTheme="minorHAnsi" w:eastAsiaTheme="minorEastAsia" w:hAnsiTheme="minorHAnsi" w:cstheme="minorBidi"/>
          <w:noProof/>
          <w:sz w:val="24"/>
          <w:szCs w:val="24"/>
          <w:lang w:val="en-US" w:eastAsia="ja-JP"/>
        </w:rPr>
        <w:tab/>
      </w:r>
      <w:r w:rsidRPr="00405EDC">
        <w:rPr>
          <w:b/>
          <w:noProof/>
        </w:rPr>
        <w:t>45 CFR 164.308(a)(6)(ii)</w:t>
      </w:r>
      <w:r>
        <w:rPr>
          <w:noProof/>
        </w:rPr>
        <w:tab/>
      </w:r>
      <w:r>
        <w:rPr>
          <w:noProof/>
        </w:rPr>
        <w:fldChar w:fldCharType="begin"/>
      </w:r>
      <w:r>
        <w:rPr>
          <w:noProof/>
        </w:rPr>
        <w:instrText xml:space="preserve"> PAGEREF _Toc349825856 \h </w:instrText>
      </w:r>
      <w:r>
        <w:rPr>
          <w:noProof/>
        </w:rPr>
      </w:r>
      <w:r>
        <w:rPr>
          <w:noProof/>
        </w:rPr>
        <w:fldChar w:fldCharType="separate"/>
      </w:r>
      <w:r w:rsidR="00D808DE">
        <w:rPr>
          <w:noProof/>
        </w:rPr>
        <w:t>5</w:t>
      </w:r>
      <w:r>
        <w:rPr>
          <w:noProof/>
        </w:rPr>
        <w:fldChar w:fldCharType="end"/>
      </w:r>
    </w:p>
    <w:p w14:paraId="36B121EB"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3.2.</w:t>
      </w:r>
      <w:r>
        <w:rPr>
          <w:rFonts w:asciiTheme="minorHAnsi" w:eastAsiaTheme="minorEastAsia" w:hAnsiTheme="minorHAnsi" w:cstheme="minorBidi"/>
          <w:noProof/>
          <w:sz w:val="24"/>
          <w:szCs w:val="24"/>
          <w:lang w:val="en-US" w:eastAsia="ja-JP"/>
        </w:rPr>
        <w:tab/>
      </w:r>
      <w:r w:rsidRPr="00405EDC">
        <w:rPr>
          <w:b/>
          <w:noProof/>
        </w:rPr>
        <w:t>Scope</w:t>
      </w:r>
      <w:r>
        <w:rPr>
          <w:noProof/>
        </w:rPr>
        <w:tab/>
      </w:r>
      <w:r>
        <w:rPr>
          <w:noProof/>
        </w:rPr>
        <w:fldChar w:fldCharType="begin"/>
      </w:r>
      <w:r>
        <w:rPr>
          <w:noProof/>
        </w:rPr>
        <w:instrText xml:space="preserve"> PAGEREF _Toc349825857 \h </w:instrText>
      </w:r>
      <w:r>
        <w:rPr>
          <w:noProof/>
        </w:rPr>
      </w:r>
      <w:r>
        <w:rPr>
          <w:noProof/>
        </w:rPr>
        <w:fldChar w:fldCharType="separate"/>
      </w:r>
      <w:r w:rsidR="00D808DE">
        <w:rPr>
          <w:noProof/>
        </w:rPr>
        <w:t>6</w:t>
      </w:r>
      <w:r>
        <w:rPr>
          <w:noProof/>
        </w:rPr>
        <w:fldChar w:fldCharType="end"/>
      </w:r>
    </w:p>
    <w:p w14:paraId="446EF8A1"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3.3.</w:t>
      </w:r>
      <w:r>
        <w:rPr>
          <w:rFonts w:asciiTheme="minorHAnsi" w:eastAsiaTheme="minorEastAsia" w:hAnsiTheme="minorHAnsi" w:cstheme="minorBidi"/>
          <w:noProof/>
          <w:sz w:val="24"/>
          <w:szCs w:val="24"/>
          <w:lang w:val="en-US" w:eastAsia="ja-JP"/>
        </w:rPr>
        <w:tab/>
      </w:r>
      <w:r w:rsidRPr="00405EDC">
        <w:rPr>
          <w:b/>
          <w:noProof/>
        </w:rPr>
        <w:t>Incident Priority</w:t>
      </w:r>
      <w:r>
        <w:rPr>
          <w:noProof/>
        </w:rPr>
        <w:tab/>
      </w:r>
      <w:r>
        <w:rPr>
          <w:noProof/>
        </w:rPr>
        <w:fldChar w:fldCharType="begin"/>
      </w:r>
      <w:r>
        <w:rPr>
          <w:noProof/>
        </w:rPr>
        <w:instrText xml:space="preserve"> PAGEREF _Toc349825858 \h </w:instrText>
      </w:r>
      <w:r>
        <w:rPr>
          <w:noProof/>
        </w:rPr>
      </w:r>
      <w:r>
        <w:rPr>
          <w:noProof/>
        </w:rPr>
        <w:fldChar w:fldCharType="separate"/>
      </w:r>
      <w:r w:rsidR="00D808DE">
        <w:rPr>
          <w:noProof/>
        </w:rPr>
        <w:t>6</w:t>
      </w:r>
      <w:r>
        <w:rPr>
          <w:noProof/>
        </w:rPr>
        <w:fldChar w:fldCharType="end"/>
      </w:r>
    </w:p>
    <w:p w14:paraId="70452488"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3.4.</w:t>
      </w:r>
      <w:r>
        <w:rPr>
          <w:rFonts w:asciiTheme="minorHAnsi" w:eastAsiaTheme="minorEastAsia" w:hAnsiTheme="minorHAnsi" w:cstheme="minorBidi"/>
          <w:noProof/>
          <w:sz w:val="24"/>
          <w:szCs w:val="24"/>
          <w:lang w:val="en-US" w:eastAsia="ja-JP"/>
        </w:rPr>
        <w:tab/>
      </w:r>
      <w:r w:rsidRPr="00405EDC">
        <w:rPr>
          <w:b/>
          <w:noProof/>
        </w:rPr>
        <w:t>Definitions</w:t>
      </w:r>
      <w:r>
        <w:rPr>
          <w:noProof/>
        </w:rPr>
        <w:tab/>
      </w:r>
      <w:r>
        <w:rPr>
          <w:noProof/>
        </w:rPr>
        <w:fldChar w:fldCharType="begin"/>
      </w:r>
      <w:r>
        <w:rPr>
          <w:noProof/>
        </w:rPr>
        <w:instrText xml:space="preserve"> PAGEREF _Toc349825859 \h </w:instrText>
      </w:r>
      <w:r>
        <w:rPr>
          <w:noProof/>
        </w:rPr>
      </w:r>
      <w:r>
        <w:rPr>
          <w:noProof/>
        </w:rPr>
        <w:fldChar w:fldCharType="separate"/>
      </w:r>
      <w:r w:rsidR="00D808DE">
        <w:rPr>
          <w:noProof/>
        </w:rPr>
        <w:t>6</w:t>
      </w:r>
      <w:r>
        <w:rPr>
          <w:noProof/>
        </w:rPr>
        <w:fldChar w:fldCharType="end"/>
      </w:r>
    </w:p>
    <w:p w14:paraId="279772C3" w14:textId="77777777" w:rsidR="00A801C1" w:rsidRDefault="00A801C1">
      <w:pPr>
        <w:pStyle w:val="TOC1"/>
        <w:tabs>
          <w:tab w:val="left" w:pos="410"/>
          <w:tab w:val="right" w:leader="dot" w:pos="9016"/>
        </w:tabs>
        <w:rPr>
          <w:rFonts w:asciiTheme="minorHAnsi" w:eastAsiaTheme="minorEastAsia" w:hAnsiTheme="minorHAnsi" w:cstheme="minorBidi"/>
          <w:noProof/>
          <w:sz w:val="24"/>
          <w:szCs w:val="24"/>
          <w:lang w:val="en-US" w:eastAsia="ja-JP"/>
        </w:rPr>
      </w:pPr>
      <w:r w:rsidRPr="00405EDC">
        <w:rPr>
          <w:b/>
          <w:noProof/>
        </w:rPr>
        <w:t>4.</w:t>
      </w:r>
      <w:r>
        <w:rPr>
          <w:rFonts w:asciiTheme="minorHAnsi" w:eastAsiaTheme="minorEastAsia" w:hAnsiTheme="minorHAnsi" w:cstheme="minorBidi"/>
          <w:noProof/>
          <w:sz w:val="24"/>
          <w:szCs w:val="24"/>
          <w:lang w:val="en-US" w:eastAsia="ja-JP"/>
        </w:rPr>
        <w:tab/>
      </w:r>
      <w:r w:rsidRPr="00405EDC">
        <w:rPr>
          <w:b/>
          <w:noProof/>
        </w:rPr>
        <w:t>Plan</w:t>
      </w:r>
      <w:r>
        <w:rPr>
          <w:noProof/>
        </w:rPr>
        <w:tab/>
      </w:r>
      <w:r>
        <w:rPr>
          <w:noProof/>
        </w:rPr>
        <w:fldChar w:fldCharType="begin"/>
      </w:r>
      <w:r>
        <w:rPr>
          <w:noProof/>
        </w:rPr>
        <w:instrText xml:space="preserve"> PAGEREF _Toc349825860 \h </w:instrText>
      </w:r>
      <w:r>
        <w:rPr>
          <w:noProof/>
        </w:rPr>
      </w:r>
      <w:r>
        <w:rPr>
          <w:noProof/>
        </w:rPr>
        <w:fldChar w:fldCharType="separate"/>
      </w:r>
      <w:r w:rsidR="00D808DE">
        <w:rPr>
          <w:noProof/>
        </w:rPr>
        <w:t>7</w:t>
      </w:r>
      <w:r>
        <w:rPr>
          <w:noProof/>
        </w:rPr>
        <w:fldChar w:fldCharType="end"/>
      </w:r>
    </w:p>
    <w:p w14:paraId="781A7854"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4.1.</w:t>
      </w:r>
      <w:r>
        <w:rPr>
          <w:rFonts w:asciiTheme="minorHAnsi" w:eastAsiaTheme="minorEastAsia" w:hAnsiTheme="minorHAnsi" w:cstheme="minorBidi"/>
          <w:noProof/>
          <w:sz w:val="24"/>
          <w:szCs w:val="24"/>
          <w:lang w:val="en-US" w:eastAsia="ja-JP"/>
        </w:rPr>
        <w:tab/>
      </w:r>
      <w:r w:rsidRPr="00405EDC">
        <w:rPr>
          <w:b/>
          <w:noProof/>
        </w:rPr>
        <w:t>Bishop Gadsden Mission</w:t>
      </w:r>
      <w:r>
        <w:rPr>
          <w:noProof/>
        </w:rPr>
        <w:tab/>
      </w:r>
      <w:r>
        <w:rPr>
          <w:noProof/>
        </w:rPr>
        <w:fldChar w:fldCharType="begin"/>
      </w:r>
      <w:r>
        <w:rPr>
          <w:noProof/>
        </w:rPr>
        <w:instrText xml:space="preserve"> PAGEREF _Toc349825861 \h </w:instrText>
      </w:r>
      <w:r>
        <w:rPr>
          <w:noProof/>
        </w:rPr>
      </w:r>
      <w:r>
        <w:rPr>
          <w:noProof/>
        </w:rPr>
        <w:fldChar w:fldCharType="separate"/>
      </w:r>
      <w:r w:rsidR="00D808DE">
        <w:rPr>
          <w:noProof/>
        </w:rPr>
        <w:t>7</w:t>
      </w:r>
      <w:r>
        <w:rPr>
          <w:noProof/>
        </w:rPr>
        <w:fldChar w:fldCharType="end"/>
      </w:r>
    </w:p>
    <w:p w14:paraId="2A873863"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4.2.</w:t>
      </w:r>
      <w:r>
        <w:rPr>
          <w:rFonts w:asciiTheme="minorHAnsi" w:eastAsiaTheme="minorEastAsia" w:hAnsiTheme="minorHAnsi" w:cstheme="minorBidi"/>
          <w:noProof/>
          <w:sz w:val="24"/>
          <w:szCs w:val="24"/>
          <w:lang w:val="en-US" w:eastAsia="ja-JP"/>
        </w:rPr>
        <w:tab/>
      </w:r>
      <w:r w:rsidRPr="00405EDC">
        <w:rPr>
          <w:b/>
          <w:noProof/>
        </w:rPr>
        <w:t>Staffing Team and Organizational Structure</w:t>
      </w:r>
      <w:r>
        <w:rPr>
          <w:noProof/>
        </w:rPr>
        <w:tab/>
      </w:r>
      <w:r>
        <w:rPr>
          <w:noProof/>
        </w:rPr>
        <w:fldChar w:fldCharType="begin"/>
      </w:r>
      <w:r>
        <w:rPr>
          <w:noProof/>
        </w:rPr>
        <w:instrText xml:space="preserve"> PAGEREF _Toc349825862 \h </w:instrText>
      </w:r>
      <w:r>
        <w:rPr>
          <w:noProof/>
        </w:rPr>
      </w:r>
      <w:r>
        <w:rPr>
          <w:noProof/>
        </w:rPr>
        <w:fldChar w:fldCharType="separate"/>
      </w:r>
      <w:r w:rsidR="00D808DE">
        <w:rPr>
          <w:noProof/>
        </w:rPr>
        <w:t>7</w:t>
      </w:r>
      <w:r>
        <w:rPr>
          <w:noProof/>
        </w:rPr>
        <w:fldChar w:fldCharType="end"/>
      </w:r>
    </w:p>
    <w:p w14:paraId="208AE9D6"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4.3.</w:t>
      </w:r>
      <w:r>
        <w:rPr>
          <w:rFonts w:asciiTheme="minorHAnsi" w:eastAsiaTheme="minorEastAsia" w:hAnsiTheme="minorHAnsi" w:cstheme="minorBidi"/>
          <w:noProof/>
          <w:sz w:val="24"/>
          <w:szCs w:val="24"/>
          <w:lang w:val="en-US" w:eastAsia="ja-JP"/>
        </w:rPr>
        <w:tab/>
      </w:r>
      <w:r w:rsidRPr="00405EDC">
        <w:rPr>
          <w:b/>
          <w:noProof/>
        </w:rPr>
        <w:t>Communications Plan</w:t>
      </w:r>
      <w:r>
        <w:rPr>
          <w:noProof/>
        </w:rPr>
        <w:tab/>
      </w:r>
      <w:r>
        <w:rPr>
          <w:noProof/>
        </w:rPr>
        <w:fldChar w:fldCharType="begin"/>
      </w:r>
      <w:r>
        <w:rPr>
          <w:noProof/>
        </w:rPr>
        <w:instrText xml:space="preserve"> PAGEREF _Toc349825863 \h </w:instrText>
      </w:r>
      <w:r>
        <w:rPr>
          <w:noProof/>
        </w:rPr>
      </w:r>
      <w:r>
        <w:rPr>
          <w:noProof/>
        </w:rPr>
        <w:fldChar w:fldCharType="separate"/>
      </w:r>
      <w:r w:rsidR="00D808DE">
        <w:rPr>
          <w:noProof/>
        </w:rPr>
        <w:t>7</w:t>
      </w:r>
      <w:r>
        <w:rPr>
          <w:noProof/>
        </w:rPr>
        <w:fldChar w:fldCharType="end"/>
      </w:r>
    </w:p>
    <w:p w14:paraId="0C396F3E"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4.3.1.</w:t>
      </w:r>
      <w:r>
        <w:rPr>
          <w:rFonts w:asciiTheme="minorHAnsi" w:eastAsiaTheme="minorEastAsia" w:hAnsiTheme="minorHAnsi" w:cstheme="minorBidi"/>
          <w:noProof/>
          <w:sz w:val="24"/>
          <w:szCs w:val="24"/>
          <w:lang w:val="en-US" w:eastAsia="ja-JP"/>
        </w:rPr>
        <w:tab/>
      </w:r>
      <w:r w:rsidRPr="00405EDC">
        <w:rPr>
          <w:b/>
          <w:noProof/>
        </w:rPr>
        <w:t>Media</w:t>
      </w:r>
      <w:r>
        <w:rPr>
          <w:noProof/>
        </w:rPr>
        <w:tab/>
      </w:r>
      <w:r>
        <w:rPr>
          <w:noProof/>
        </w:rPr>
        <w:fldChar w:fldCharType="begin"/>
      </w:r>
      <w:r>
        <w:rPr>
          <w:noProof/>
        </w:rPr>
        <w:instrText xml:space="preserve"> PAGEREF _Toc349825864 \h </w:instrText>
      </w:r>
      <w:r>
        <w:rPr>
          <w:noProof/>
        </w:rPr>
      </w:r>
      <w:r>
        <w:rPr>
          <w:noProof/>
        </w:rPr>
        <w:fldChar w:fldCharType="separate"/>
      </w:r>
      <w:r w:rsidR="00D808DE">
        <w:rPr>
          <w:noProof/>
        </w:rPr>
        <w:t>8</w:t>
      </w:r>
      <w:r>
        <w:rPr>
          <w:noProof/>
        </w:rPr>
        <w:fldChar w:fldCharType="end"/>
      </w:r>
    </w:p>
    <w:p w14:paraId="126D4F5B"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4.3.2.</w:t>
      </w:r>
      <w:r>
        <w:rPr>
          <w:rFonts w:asciiTheme="minorHAnsi" w:eastAsiaTheme="minorEastAsia" w:hAnsiTheme="minorHAnsi" w:cstheme="minorBidi"/>
          <w:noProof/>
          <w:sz w:val="24"/>
          <w:szCs w:val="24"/>
          <w:lang w:val="en-US" w:eastAsia="ja-JP"/>
        </w:rPr>
        <w:tab/>
      </w:r>
      <w:r w:rsidRPr="00405EDC">
        <w:rPr>
          <w:b/>
          <w:noProof/>
        </w:rPr>
        <w:t>Law Enforcement</w:t>
      </w:r>
      <w:r>
        <w:rPr>
          <w:noProof/>
        </w:rPr>
        <w:tab/>
      </w:r>
      <w:r>
        <w:rPr>
          <w:noProof/>
        </w:rPr>
        <w:fldChar w:fldCharType="begin"/>
      </w:r>
      <w:r>
        <w:rPr>
          <w:noProof/>
        </w:rPr>
        <w:instrText xml:space="preserve"> PAGEREF _Toc349825865 \h </w:instrText>
      </w:r>
      <w:r>
        <w:rPr>
          <w:noProof/>
        </w:rPr>
      </w:r>
      <w:r>
        <w:rPr>
          <w:noProof/>
        </w:rPr>
        <w:fldChar w:fldCharType="separate"/>
      </w:r>
      <w:r w:rsidR="00D808DE">
        <w:rPr>
          <w:noProof/>
        </w:rPr>
        <w:t>8</w:t>
      </w:r>
      <w:r>
        <w:rPr>
          <w:noProof/>
        </w:rPr>
        <w:fldChar w:fldCharType="end"/>
      </w:r>
    </w:p>
    <w:p w14:paraId="068A0185"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4.3.3.</w:t>
      </w:r>
      <w:r>
        <w:rPr>
          <w:rFonts w:asciiTheme="minorHAnsi" w:eastAsiaTheme="minorEastAsia" w:hAnsiTheme="minorHAnsi" w:cstheme="minorBidi"/>
          <w:noProof/>
          <w:sz w:val="24"/>
          <w:szCs w:val="24"/>
          <w:lang w:val="en-US" w:eastAsia="ja-JP"/>
        </w:rPr>
        <w:tab/>
      </w:r>
      <w:r w:rsidRPr="00405EDC">
        <w:rPr>
          <w:b/>
          <w:noProof/>
        </w:rPr>
        <w:t>Vendors (ISP, owner of attacker IP, etc.)</w:t>
      </w:r>
      <w:r>
        <w:rPr>
          <w:noProof/>
        </w:rPr>
        <w:tab/>
      </w:r>
      <w:r>
        <w:rPr>
          <w:noProof/>
        </w:rPr>
        <w:fldChar w:fldCharType="begin"/>
      </w:r>
      <w:r>
        <w:rPr>
          <w:noProof/>
        </w:rPr>
        <w:instrText xml:space="preserve"> PAGEREF _Toc349825866 \h </w:instrText>
      </w:r>
      <w:r>
        <w:rPr>
          <w:noProof/>
        </w:rPr>
      </w:r>
      <w:r>
        <w:rPr>
          <w:noProof/>
        </w:rPr>
        <w:fldChar w:fldCharType="separate"/>
      </w:r>
      <w:r w:rsidR="00D808DE">
        <w:rPr>
          <w:noProof/>
        </w:rPr>
        <w:t>8</w:t>
      </w:r>
      <w:r>
        <w:rPr>
          <w:noProof/>
        </w:rPr>
        <w:fldChar w:fldCharType="end"/>
      </w:r>
    </w:p>
    <w:p w14:paraId="77690C47"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4.3.4.</w:t>
      </w:r>
      <w:r>
        <w:rPr>
          <w:rFonts w:asciiTheme="minorHAnsi" w:eastAsiaTheme="minorEastAsia" w:hAnsiTheme="minorHAnsi" w:cstheme="minorBidi"/>
          <w:noProof/>
          <w:sz w:val="24"/>
          <w:szCs w:val="24"/>
          <w:lang w:val="en-US" w:eastAsia="ja-JP"/>
        </w:rPr>
        <w:tab/>
      </w:r>
      <w:r w:rsidRPr="00405EDC">
        <w:rPr>
          <w:b/>
          <w:noProof/>
        </w:rPr>
        <w:t>BG Departments</w:t>
      </w:r>
      <w:r>
        <w:rPr>
          <w:noProof/>
        </w:rPr>
        <w:tab/>
      </w:r>
      <w:r>
        <w:rPr>
          <w:noProof/>
        </w:rPr>
        <w:fldChar w:fldCharType="begin"/>
      </w:r>
      <w:r>
        <w:rPr>
          <w:noProof/>
        </w:rPr>
        <w:instrText xml:space="preserve"> PAGEREF _Toc349825867 \h </w:instrText>
      </w:r>
      <w:r>
        <w:rPr>
          <w:noProof/>
        </w:rPr>
      </w:r>
      <w:r>
        <w:rPr>
          <w:noProof/>
        </w:rPr>
        <w:fldChar w:fldCharType="separate"/>
      </w:r>
      <w:r w:rsidR="00D808DE">
        <w:rPr>
          <w:noProof/>
        </w:rPr>
        <w:t>8</w:t>
      </w:r>
      <w:r>
        <w:rPr>
          <w:noProof/>
        </w:rPr>
        <w:fldChar w:fldCharType="end"/>
      </w:r>
    </w:p>
    <w:p w14:paraId="1408EC24"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4.3.5.</w:t>
      </w:r>
      <w:r>
        <w:rPr>
          <w:rFonts w:asciiTheme="minorHAnsi" w:eastAsiaTheme="minorEastAsia" w:hAnsiTheme="minorHAnsi" w:cstheme="minorBidi"/>
          <w:noProof/>
          <w:sz w:val="24"/>
          <w:szCs w:val="24"/>
          <w:lang w:val="en-US" w:eastAsia="ja-JP"/>
        </w:rPr>
        <w:tab/>
      </w:r>
      <w:r w:rsidRPr="00405EDC">
        <w:rPr>
          <w:b/>
          <w:noProof/>
        </w:rPr>
        <w:t>Victims</w:t>
      </w:r>
      <w:r>
        <w:rPr>
          <w:noProof/>
        </w:rPr>
        <w:tab/>
      </w:r>
      <w:r>
        <w:rPr>
          <w:noProof/>
        </w:rPr>
        <w:fldChar w:fldCharType="begin"/>
      </w:r>
      <w:r>
        <w:rPr>
          <w:noProof/>
        </w:rPr>
        <w:instrText xml:space="preserve"> PAGEREF _Toc349825868 \h </w:instrText>
      </w:r>
      <w:r>
        <w:rPr>
          <w:noProof/>
        </w:rPr>
      </w:r>
      <w:r>
        <w:rPr>
          <w:noProof/>
        </w:rPr>
        <w:fldChar w:fldCharType="separate"/>
      </w:r>
      <w:r w:rsidR="00D808DE">
        <w:rPr>
          <w:noProof/>
        </w:rPr>
        <w:t>8</w:t>
      </w:r>
      <w:r>
        <w:rPr>
          <w:noProof/>
        </w:rPr>
        <w:fldChar w:fldCharType="end"/>
      </w:r>
    </w:p>
    <w:p w14:paraId="3557EDBB"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4.3.6.</w:t>
      </w:r>
      <w:r>
        <w:rPr>
          <w:rFonts w:asciiTheme="minorHAnsi" w:eastAsiaTheme="minorEastAsia" w:hAnsiTheme="minorHAnsi" w:cstheme="minorBidi"/>
          <w:noProof/>
          <w:sz w:val="24"/>
          <w:szCs w:val="24"/>
          <w:lang w:val="en-US" w:eastAsia="ja-JP"/>
        </w:rPr>
        <w:tab/>
      </w:r>
      <w:r w:rsidRPr="00405EDC">
        <w:rPr>
          <w:b/>
          <w:noProof/>
        </w:rPr>
        <w:t>Regulators</w:t>
      </w:r>
      <w:r>
        <w:rPr>
          <w:noProof/>
        </w:rPr>
        <w:tab/>
      </w:r>
      <w:r>
        <w:rPr>
          <w:noProof/>
        </w:rPr>
        <w:fldChar w:fldCharType="begin"/>
      </w:r>
      <w:r>
        <w:rPr>
          <w:noProof/>
        </w:rPr>
        <w:instrText xml:space="preserve"> PAGEREF _Toc349825869 \h </w:instrText>
      </w:r>
      <w:r>
        <w:rPr>
          <w:noProof/>
        </w:rPr>
      </w:r>
      <w:r>
        <w:rPr>
          <w:noProof/>
        </w:rPr>
        <w:fldChar w:fldCharType="separate"/>
      </w:r>
      <w:r w:rsidR="00D808DE">
        <w:rPr>
          <w:noProof/>
        </w:rPr>
        <w:t>9</w:t>
      </w:r>
      <w:r>
        <w:rPr>
          <w:noProof/>
        </w:rPr>
        <w:fldChar w:fldCharType="end"/>
      </w:r>
    </w:p>
    <w:p w14:paraId="0947F1CF"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4.4.</w:t>
      </w:r>
      <w:r>
        <w:rPr>
          <w:rFonts w:asciiTheme="minorHAnsi" w:eastAsiaTheme="minorEastAsia" w:hAnsiTheme="minorHAnsi" w:cstheme="minorBidi"/>
          <w:noProof/>
          <w:sz w:val="24"/>
          <w:szCs w:val="24"/>
          <w:lang w:val="en-US" w:eastAsia="ja-JP"/>
        </w:rPr>
        <w:tab/>
      </w:r>
      <w:r w:rsidRPr="00405EDC">
        <w:rPr>
          <w:b/>
          <w:noProof/>
        </w:rPr>
        <w:t>Internal Activities and Contracted Services</w:t>
      </w:r>
      <w:r>
        <w:rPr>
          <w:noProof/>
        </w:rPr>
        <w:tab/>
      </w:r>
      <w:r>
        <w:rPr>
          <w:noProof/>
        </w:rPr>
        <w:fldChar w:fldCharType="begin"/>
      </w:r>
      <w:r>
        <w:rPr>
          <w:noProof/>
        </w:rPr>
        <w:instrText xml:space="preserve"> PAGEREF _Toc349825870 \h </w:instrText>
      </w:r>
      <w:r>
        <w:rPr>
          <w:noProof/>
        </w:rPr>
      </w:r>
      <w:r>
        <w:rPr>
          <w:noProof/>
        </w:rPr>
        <w:fldChar w:fldCharType="separate"/>
      </w:r>
      <w:r w:rsidR="00D808DE">
        <w:rPr>
          <w:noProof/>
        </w:rPr>
        <w:t>9</w:t>
      </w:r>
      <w:r>
        <w:rPr>
          <w:noProof/>
        </w:rPr>
        <w:fldChar w:fldCharType="end"/>
      </w:r>
    </w:p>
    <w:p w14:paraId="281441A1" w14:textId="77777777" w:rsidR="00A801C1" w:rsidRDefault="00A801C1">
      <w:pPr>
        <w:pStyle w:val="TOC1"/>
        <w:tabs>
          <w:tab w:val="left" w:pos="410"/>
          <w:tab w:val="right" w:leader="dot" w:pos="9016"/>
        </w:tabs>
        <w:rPr>
          <w:rFonts w:asciiTheme="minorHAnsi" w:eastAsiaTheme="minorEastAsia" w:hAnsiTheme="minorHAnsi" w:cstheme="minorBidi"/>
          <w:noProof/>
          <w:sz w:val="24"/>
          <w:szCs w:val="24"/>
          <w:lang w:val="en-US" w:eastAsia="ja-JP"/>
        </w:rPr>
      </w:pPr>
      <w:r w:rsidRPr="00405EDC">
        <w:rPr>
          <w:b/>
          <w:noProof/>
        </w:rPr>
        <w:t>5.</w:t>
      </w:r>
      <w:r>
        <w:rPr>
          <w:rFonts w:asciiTheme="minorHAnsi" w:eastAsiaTheme="minorEastAsia" w:hAnsiTheme="minorHAnsi" w:cstheme="minorBidi"/>
          <w:noProof/>
          <w:sz w:val="24"/>
          <w:szCs w:val="24"/>
          <w:lang w:val="en-US" w:eastAsia="ja-JP"/>
        </w:rPr>
        <w:tab/>
      </w:r>
      <w:r w:rsidRPr="00405EDC">
        <w:rPr>
          <w:b/>
          <w:noProof/>
        </w:rPr>
        <w:t>Procedure(s)</w:t>
      </w:r>
      <w:r>
        <w:rPr>
          <w:noProof/>
        </w:rPr>
        <w:tab/>
      </w:r>
      <w:r>
        <w:rPr>
          <w:noProof/>
        </w:rPr>
        <w:fldChar w:fldCharType="begin"/>
      </w:r>
      <w:r>
        <w:rPr>
          <w:noProof/>
        </w:rPr>
        <w:instrText xml:space="preserve"> PAGEREF _Toc349825871 \h </w:instrText>
      </w:r>
      <w:r>
        <w:rPr>
          <w:noProof/>
        </w:rPr>
      </w:r>
      <w:r>
        <w:rPr>
          <w:noProof/>
        </w:rPr>
        <w:fldChar w:fldCharType="separate"/>
      </w:r>
      <w:r w:rsidR="00D808DE">
        <w:rPr>
          <w:noProof/>
        </w:rPr>
        <w:t>10</w:t>
      </w:r>
      <w:r>
        <w:rPr>
          <w:noProof/>
        </w:rPr>
        <w:fldChar w:fldCharType="end"/>
      </w:r>
    </w:p>
    <w:p w14:paraId="2C269681"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5.1.</w:t>
      </w:r>
      <w:r>
        <w:rPr>
          <w:rFonts w:asciiTheme="minorHAnsi" w:eastAsiaTheme="minorEastAsia" w:hAnsiTheme="minorHAnsi" w:cstheme="minorBidi"/>
          <w:noProof/>
          <w:sz w:val="24"/>
          <w:szCs w:val="24"/>
          <w:lang w:val="en-US" w:eastAsia="ja-JP"/>
        </w:rPr>
        <w:tab/>
      </w:r>
      <w:r w:rsidRPr="00405EDC">
        <w:rPr>
          <w:b/>
          <w:noProof/>
        </w:rPr>
        <w:t>Overview</w:t>
      </w:r>
      <w:r>
        <w:rPr>
          <w:noProof/>
        </w:rPr>
        <w:tab/>
      </w:r>
      <w:r>
        <w:rPr>
          <w:noProof/>
        </w:rPr>
        <w:fldChar w:fldCharType="begin"/>
      </w:r>
      <w:r>
        <w:rPr>
          <w:noProof/>
        </w:rPr>
        <w:instrText xml:space="preserve"> PAGEREF _Toc349825872 \h </w:instrText>
      </w:r>
      <w:r>
        <w:rPr>
          <w:noProof/>
        </w:rPr>
      </w:r>
      <w:r>
        <w:rPr>
          <w:noProof/>
        </w:rPr>
        <w:fldChar w:fldCharType="separate"/>
      </w:r>
      <w:r w:rsidR="00D808DE">
        <w:rPr>
          <w:noProof/>
        </w:rPr>
        <w:t>10</w:t>
      </w:r>
      <w:r>
        <w:rPr>
          <w:noProof/>
        </w:rPr>
        <w:fldChar w:fldCharType="end"/>
      </w:r>
    </w:p>
    <w:p w14:paraId="5F68A49C"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5.2.</w:t>
      </w:r>
      <w:r>
        <w:rPr>
          <w:rFonts w:asciiTheme="minorHAnsi" w:eastAsiaTheme="minorEastAsia" w:hAnsiTheme="minorHAnsi" w:cstheme="minorBidi"/>
          <w:noProof/>
          <w:sz w:val="24"/>
          <w:szCs w:val="24"/>
          <w:lang w:val="en-US" w:eastAsia="ja-JP"/>
        </w:rPr>
        <w:tab/>
      </w:r>
      <w:r w:rsidRPr="00405EDC">
        <w:rPr>
          <w:b/>
          <w:noProof/>
        </w:rPr>
        <w:t>Preparation</w:t>
      </w:r>
      <w:r>
        <w:rPr>
          <w:noProof/>
        </w:rPr>
        <w:tab/>
      </w:r>
      <w:r>
        <w:rPr>
          <w:noProof/>
        </w:rPr>
        <w:fldChar w:fldCharType="begin"/>
      </w:r>
      <w:r>
        <w:rPr>
          <w:noProof/>
        </w:rPr>
        <w:instrText xml:space="preserve"> PAGEREF _Toc349825873 \h </w:instrText>
      </w:r>
      <w:r>
        <w:rPr>
          <w:noProof/>
        </w:rPr>
      </w:r>
      <w:r>
        <w:rPr>
          <w:noProof/>
        </w:rPr>
        <w:fldChar w:fldCharType="separate"/>
      </w:r>
      <w:r w:rsidR="00D808DE">
        <w:rPr>
          <w:noProof/>
        </w:rPr>
        <w:t>10</w:t>
      </w:r>
      <w:r>
        <w:rPr>
          <w:noProof/>
        </w:rPr>
        <w:fldChar w:fldCharType="end"/>
      </w:r>
    </w:p>
    <w:p w14:paraId="4C7FD507"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5.2.1.</w:t>
      </w:r>
      <w:r>
        <w:rPr>
          <w:rFonts w:asciiTheme="minorHAnsi" w:eastAsiaTheme="minorEastAsia" w:hAnsiTheme="minorHAnsi" w:cstheme="minorBidi"/>
          <w:noProof/>
          <w:sz w:val="24"/>
          <w:szCs w:val="24"/>
          <w:lang w:val="en-US" w:eastAsia="ja-JP"/>
        </w:rPr>
        <w:tab/>
      </w:r>
      <w:r w:rsidRPr="00405EDC">
        <w:rPr>
          <w:b/>
          <w:noProof/>
        </w:rPr>
        <w:t>Jump Kit</w:t>
      </w:r>
      <w:r>
        <w:rPr>
          <w:noProof/>
        </w:rPr>
        <w:tab/>
      </w:r>
      <w:r>
        <w:rPr>
          <w:noProof/>
        </w:rPr>
        <w:fldChar w:fldCharType="begin"/>
      </w:r>
      <w:r>
        <w:rPr>
          <w:noProof/>
        </w:rPr>
        <w:instrText xml:space="preserve"> PAGEREF _Toc349825874 \h </w:instrText>
      </w:r>
      <w:r>
        <w:rPr>
          <w:noProof/>
        </w:rPr>
      </w:r>
      <w:r>
        <w:rPr>
          <w:noProof/>
        </w:rPr>
        <w:fldChar w:fldCharType="separate"/>
      </w:r>
      <w:r w:rsidR="00D808DE">
        <w:rPr>
          <w:noProof/>
        </w:rPr>
        <w:t>10</w:t>
      </w:r>
      <w:r>
        <w:rPr>
          <w:noProof/>
        </w:rPr>
        <w:fldChar w:fldCharType="end"/>
      </w:r>
    </w:p>
    <w:p w14:paraId="5F1C5E02"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5.2.2.</w:t>
      </w:r>
      <w:r>
        <w:rPr>
          <w:rFonts w:asciiTheme="minorHAnsi" w:eastAsiaTheme="minorEastAsia" w:hAnsiTheme="minorHAnsi" w:cstheme="minorBidi"/>
          <w:noProof/>
          <w:sz w:val="24"/>
          <w:szCs w:val="24"/>
          <w:lang w:val="en-US" w:eastAsia="ja-JP"/>
        </w:rPr>
        <w:tab/>
      </w:r>
      <w:r w:rsidRPr="00405EDC">
        <w:rPr>
          <w:b/>
          <w:noProof/>
        </w:rPr>
        <w:t>Investigator Laptops</w:t>
      </w:r>
      <w:r>
        <w:rPr>
          <w:noProof/>
        </w:rPr>
        <w:tab/>
      </w:r>
      <w:r>
        <w:rPr>
          <w:noProof/>
        </w:rPr>
        <w:fldChar w:fldCharType="begin"/>
      </w:r>
      <w:r>
        <w:rPr>
          <w:noProof/>
        </w:rPr>
        <w:instrText xml:space="preserve"> PAGEREF _Toc349825875 \h </w:instrText>
      </w:r>
      <w:r>
        <w:rPr>
          <w:noProof/>
        </w:rPr>
      </w:r>
      <w:r>
        <w:rPr>
          <w:noProof/>
        </w:rPr>
        <w:fldChar w:fldCharType="separate"/>
      </w:r>
      <w:r w:rsidR="00D808DE">
        <w:rPr>
          <w:noProof/>
        </w:rPr>
        <w:t>10</w:t>
      </w:r>
      <w:r>
        <w:rPr>
          <w:noProof/>
        </w:rPr>
        <w:fldChar w:fldCharType="end"/>
      </w:r>
    </w:p>
    <w:p w14:paraId="5E4F6537"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5.3.</w:t>
      </w:r>
      <w:r>
        <w:rPr>
          <w:rFonts w:asciiTheme="minorHAnsi" w:eastAsiaTheme="minorEastAsia" w:hAnsiTheme="minorHAnsi" w:cstheme="minorBidi"/>
          <w:noProof/>
          <w:sz w:val="24"/>
          <w:szCs w:val="24"/>
          <w:lang w:val="en-US" w:eastAsia="ja-JP"/>
        </w:rPr>
        <w:tab/>
      </w:r>
      <w:r w:rsidRPr="00405EDC">
        <w:rPr>
          <w:b/>
          <w:noProof/>
        </w:rPr>
        <w:t>Detection and Analysis</w:t>
      </w:r>
      <w:r>
        <w:rPr>
          <w:noProof/>
        </w:rPr>
        <w:tab/>
      </w:r>
      <w:r>
        <w:rPr>
          <w:noProof/>
        </w:rPr>
        <w:fldChar w:fldCharType="begin"/>
      </w:r>
      <w:r>
        <w:rPr>
          <w:noProof/>
        </w:rPr>
        <w:instrText xml:space="preserve"> PAGEREF _Toc349825876 \h </w:instrText>
      </w:r>
      <w:r>
        <w:rPr>
          <w:noProof/>
        </w:rPr>
      </w:r>
      <w:r>
        <w:rPr>
          <w:noProof/>
        </w:rPr>
        <w:fldChar w:fldCharType="separate"/>
      </w:r>
      <w:r w:rsidR="00D808DE">
        <w:rPr>
          <w:noProof/>
        </w:rPr>
        <w:t>10</w:t>
      </w:r>
      <w:r>
        <w:rPr>
          <w:noProof/>
        </w:rPr>
        <w:fldChar w:fldCharType="end"/>
      </w:r>
    </w:p>
    <w:p w14:paraId="26EADDCD"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5.3.1.</w:t>
      </w:r>
      <w:r>
        <w:rPr>
          <w:rFonts w:asciiTheme="minorHAnsi" w:eastAsiaTheme="minorEastAsia" w:hAnsiTheme="minorHAnsi" w:cstheme="minorBidi"/>
          <w:noProof/>
          <w:sz w:val="24"/>
          <w:szCs w:val="24"/>
          <w:lang w:val="en-US" w:eastAsia="ja-JP"/>
        </w:rPr>
        <w:tab/>
      </w:r>
      <w:r w:rsidRPr="00405EDC">
        <w:rPr>
          <w:b/>
          <w:noProof/>
        </w:rPr>
        <w:t>Indicators of Attack (IoA)</w:t>
      </w:r>
      <w:r>
        <w:rPr>
          <w:noProof/>
        </w:rPr>
        <w:tab/>
      </w:r>
      <w:r>
        <w:rPr>
          <w:noProof/>
        </w:rPr>
        <w:fldChar w:fldCharType="begin"/>
      </w:r>
      <w:r>
        <w:rPr>
          <w:noProof/>
        </w:rPr>
        <w:instrText xml:space="preserve"> PAGEREF _Toc349825877 \h </w:instrText>
      </w:r>
      <w:r>
        <w:rPr>
          <w:noProof/>
        </w:rPr>
      </w:r>
      <w:r>
        <w:rPr>
          <w:noProof/>
        </w:rPr>
        <w:fldChar w:fldCharType="separate"/>
      </w:r>
      <w:r w:rsidR="00D808DE">
        <w:rPr>
          <w:noProof/>
        </w:rPr>
        <w:t>10</w:t>
      </w:r>
      <w:r>
        <w:rPr>
          <w:noProof/>
        </w:rPr>
        <w:fldChar w:fldCharType="end"/>
      </w:r>
    </w:p>
    <w:p w14:paraId="1B4BCDC1"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5.3.2.</w:t>
      </w:r>
      <w:r>
        <w:rPr>
          <w:rFonts w:asciiTheme="minorHAnsi" w:eastAsiaTheme="minorEastAsia" w:hAnsiTheme="minorHAnsi" w:cstheme="minorBidi"/>
          <w:noProof/>
          <w:sz w:val="24"/>
          <w:szCs w:val="24"/>
          <w:lang w:val="en-US" w:eastAsia="ja-JP"/>
        </w:rPr>
        <w:tab/>
      </w:r>
      <w:r w:rsidRPr="00405EDC">
        <w:rPr>
          <w:b/>
          <w:noProof/>
        </w:rPr>
        <w:t>Indicators of Compromise (IoC)</w:t>
      </w:r>
      <w:r>
        <w:rPr>
          <w:noProof/>
        </w:rPr>
        <w:tab/>
      </w:r>
      <w:r>
        <w:rPr>
          <w:noProof/>
        </w:rPr>
        <w:fldChar w:fldCharType="begin"/>
      </w:r>
      <w:r>
        <w:rPr>
          <w:noProof/>
        </w:rPr>
        <w:instrText xml:space="preserve"> PAGEREF _Toc349825878 \h </w:instrText>
      </w:r>
      <w:r>
        <w:rPr>
          <w:noProof/>
        </w:rPr>
      </w:r>
      <w:r>
        <w:rPr>
          <w:noProof/>
        </w:rPr>
        <w:fldChar w:fldCharType="separate"/>
      </w:r>
      <w:r w:rsidR="00D808DE">
        <w:rPr>
          <w:noProof/>
        </w:rPr>
        <w:t>10</w:t>
      </w:r>
      <w:r>
        <w:rPr>
          <w:noProof/>
        </w:rPr>
        <w:fldChar w:fldCharType="end"/>
      </w:r>
    </w:p>
    <w:p w14:paraId="46211524"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lastRenderedPageBreak/>
        <w:t>5.3.3.</w:t>
      </w:r>
      <w:r>
        <w:rPr>
          <w:rFonts w:asciiTheme="minorHAnsi" w:eastAsiaTheme="minorEastAsia" w:hAnsiTheme="minorHAnsi" w:cstheme="minorBidi"/>
          <w:noProof/>
          <w:sz w:val="24"/>
          <w:szCs w:val="24"/>
          <w:lang w:val="en-US" w:eastAsia="ja-JP"/>
        </w:rPr>
        <w:tab/>
      </w:r>
      <w:r w:rsidRPr="00405EDC">
        <w:rPr>
          <w:b/>
          <w:noProof/>
        </w:rPr>
        <w:t>Analysis</w:t>
      </w:r>
      <w:r>
        <w:rPr>
          <w:noProof/>
        </w:rPr>
        <w:tab/>
      </w:r>
      <w:r>
        <w:rPr>
          <w:noProof/>
        </w:rPr>
        <w:fldChar w:fldCharType="begin"/>
      </w:r>
      <w:r>
        <w:rPr>
          <w:noProof/>
        </w:rPr>
        <w:instrText xml:space="preserve"> PAGEREF _Toc349825879 \h </w:instrText>
      </w:r>
      <w:r>
        <w:rPr>
          <w:noProof/>
        </w:rPr>
      </w:r>
      <w:r>
        <w:rPr>
          <w:noProof/>
        </w:rPr>
        <w:fldChar w:fldCharType="separate"/>
      </w:r>
      <w:r w:rsidR="00D808DE">
        <w:rPr>
          <w:noProof/>
        </w:rPr>
        <w:t>10</w:t>
      </w:r>
      <w:r>
        <w:rPr>
          <w:noProof/>
        </w:rPr>
        <w:fldChar w:fldCharType="end"/>
      </w:r>
    </w:p>
    <w:p w14:paraId="7E34F079"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5.3.4.</w:t>
      </w:r>
      <w:r>
        <w:rPr>
          <w:rFonts w:asciiTheme="minorHAnsi" w:eastAsiaTheme="minorEastAsia" w:hAnsiTheme="minorHAnsi" w:cstheme="minorBidi"/>
          <w:noProof/>
          <w:sz w:val="24"/>
          <w:szCs w:val="24"/>
          <w:lang w:val="en-US" w:eastAsia="ja-JP"/>
        </w:rPr>
        <w:tab/>
      </w:r>
      <w:r w:rsidRPr="00405EDC">
        <w:rPr>
          <w:b/>
          <w:noProof/>
        </w:rPr>
        <w:t>Incident Prioritization</w:t>
      </w:r>
      <w:r>
        <w:rPr>
          <w:noProof/>
        </w:rPr>
        <w:tab/>
      </w:r>
      <w:r>
        <w:rPr>
          <w:noProof/>
        </w:rPr>
        <w:fldChar w:fldCharType="begin"/>
      </w:r>
      <w:r>
        <w:rPr>
          <w:noProof/>
        </w:rPr>
        <w:instrText xml:space="preserve"> PAGEREF _Toc349825880 \h </w:instrText>
      </w:r>
      <w:r>
        <w:rPr>
          <w:noProof/>
        </w:rPr>
      </w:r>
      <w:r>
        <w:rPr>
          <w:noProof/>
        </w:rPr>
        <w:fldChar w:fldCharType="separate"/>
      </w:r>
      <w:r w:rsidR="00D808DE">
        <w:rPr>
          <w:noProof/>
        </w:rPr>
        <w:t>10</w:t>
      </w:r>
      <w:r>
        <w:rPr>
          <w:noProof/>
        </w:rPr>
        <w:fldChar w:fldCharType="end"/>
      </w:r>
    </w:p>
    <w:p w14:paraId="4FFA4F76"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5.3.5.</w:t>
      </w:r>
      <w:r>
        <w:rPr>
          <w:rFonts w:asciiTheme="minorHAnsi" w:eastAsiaTheme="minorEastAsia" w:hAnsiTheme="minorHAnsi" w:cstheme="minorBidi"/>
          <w:noProof/>
          <w:sz w:val="24"/>
          <w:szCs w:val="24"/>
          <w:lang w:val="en-US" w:eastAsia="ja-JP"/>
        </w:rPr>
        <w:tab/>
      </w:r>
      <w:r w:rsidRPr="00405EDC">
        <w:rPr>
          <w:b/>
          <w:noProof/>
        </w:rPr>
        <w:t>Escalation Process</w:t>
      </w:r>
      <w:r>
        <w:rPr>
          <w:noProof/>
        </w:rPr>
        <w:tab/>
      </w:r>
      <w:r>
        <w:rPr>
          <w:noProof/>
        </w:rPr>
        <w:fldChar w:fldCharType="begin"/>
      </w:r>
      <w:r>
        <w:rPr>
          <w:noProof/>
        </w:rPr>
        <w:instrText xml:space="preserve"> PAGEREF _Toc349825881 \h </w:instrText>
      </w:r>
      <w:r>
        <w:rPr>
          <w:noProof/>
        </w:rPr>
      </w:r>
      <w:r>
        <w:rPr>
          <w:noProof/>
        </w:rPr>
        <w:fldChar w:fldCharType="separate"/>
      </w:r>
      <w:r w:rsidR="00D808DE">
        <w:rPr>
          <w:noProof/>
        </w:rPr>
        <w:t>10</w:t>
      </w:r>
      <w:r>
        <w:rPr>
          <w:noProof/>
        </w:rPr>
        <w:fldChar w:fldCharType="end"/>
      </w:r>
    </w:p>
    <w:p w14:paraId="50C7454C"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5.3.6.</w:t>
      </w:r>
      <w:r>
        <w:rPr>
          <w:rFonts w:asciiTheme="minorHAnsi" w:eastAsiaTheme="minorEastAsia" w:hAnsiTheme="minorHAnsi" w:cstheme="minorBidi"/>
          <w:noProof/>
          <w:sz w:val="24"/>
          <w:szCs w:val="24"/>
          <w:lang w:val="en-US" w:eastAsia="ja-JP"/>
        </w:rPr>
        <w:tab/>
      </w:r>
      <w:r w:rsidRPr="00405EDC">
        <w:rPr>
          <w:b/>
          <w:noProof/>
        </w:rPr>
        <w:t>Documentation</w:t>
      </w:r>
      <w:r>
        <w:rPr>
          <w:noProof/>
        </w:rPr>
        <w:tab/>
      </w:r>
      <w:r>
        <w:rPr>
          <w:noProof/>
        </w:rPr>
        <w:fldChar w:fldCharType="begin"/>
      </w:r>
      <w:r>
        <w:rPr>
          <w:noProof/>
        </w:rPr>
        <w:instrText xml:space="preserve"> PAGEREF _Toc349825882 \h </w:instrText>
      </w:r>
      <w:r>
        <w:rPr>
          <w:noProof/>
        </w:rPr>
      </w:r>
      <w:r>
        <w:rPr>
          <w:noProof/>
        </w:rPr>
        <w:fldChar w:fldCharType="separate"/>
      </w:r>
      <w:r w:rsidR="00D808DE">
        <w:rPr>
          <w:noProof/>
        </w:rPr>
        <w:t>10</w:t>
      </w:r>
      <w:r>
        <w:rPr>
          <w:noProof/>
        </w:rPr>
        <w:fldChar w:fldCharType="end"/>
      </w:r>
    </w:p>
    <w:p w14:paraId="07BA4FE0"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5.4.</w:t>
      </w:r>
      <w:r>
        <w:rPr>
          <w:rFonts w:asciiTheme="minorHAnsi" w:eastAsiaTheme="minorEastAsia" w:hAnsiTheme="minorHAnsi" w:cstheme="minorBidi"/>
          <w:noProof/>
          <w:sz w:val="24"/>
          <w:szCs w:val="24"/>
          <w:lang w:val="en-US" w:eastAsia="ja-JP"/>
        </w:rPr>
        <w:tab/>
      </w:r>
      <w:r w:rsidRPr="00405EDC">
        <w:rPr>
          <w:b/>
          <w:noProof/>
        </w:rPr>
        <w:t>Containment, Eradication, and Recovery</w:t>
      </w:r>
      <w:r>
        <w:rPr>
          <w:noProof/>
        </w:rPr>
        <w:tab/>
      </w:r>
      <w:r>
        <w:rPr>
          <w:noProof/>
        </w:rPr>
        <w:fldChar w:fldCharType="begin"/>
      </w:r>
      <w:r>
        <w:rPr>
          <w:noProof/>
        </w:rPr>
        <w:instrText xml:space="preserve"> PAGEREF _Toc349825883 \h </w:instrText>
      </w:r>
      <w:r>
        <w:rPr>
          <w:noProof/>
        </w:rPr>
      </w:r>
      <w:r>
        <w:rPr>
          <w:noProof/>
        </w:rPr>
        <w:fldChar w:fldCharType="separate"/>
      </w:r>
      <w:r w:rsidR="00D808DE">
        <w:rPr>
          <w:noProof/>
        </w:rPr>
        <w:t>10</w:t>
      </w:r>
      <w:r>
        <w:rPr>
          <w:noProof/>
        </w:rPr>
        <w:fldChar w:fldCharType="end"/>
      </w:r>
    </w:p>
    <w:p w14:paraId="119700FF"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5.4.1.</w:t>
      </w:r>
      <w:r>
        <w:rPr>
          <w:rFonts w:asciiTheme="minorHAnsi" w:eastAsiaTheme="minorEastAsia" w:hAnsiTheme="minorHAnsi" w:cstheme="minorBidi"/>
          <w:noProof/>
          <w:sz w:val="24"/>
          <w:szCs w:val="24"/>
          <w:lang w:val="en-US" w:eastAsia="ja-JP"/>
        </w:rPr>
        <w:tab/>
      </w:r>
      <w:r w:rsidRPr="00405EDC">
        <w:rPr>
          <w:b/>
          <w:noProof/>
        </w:rPr>
        <w:t>Containment</w:t>
      </w:r>
      <w:r>
        <w:rPr>
          <w:noProof/>
        </w:rPr>
        <w:tab/>
      </w:r>
      <w:r>
        <w:rPr>
          <w:noProof/>
        </w:rPr>
        <w:fldChar w:fldCharType="begin"/>
      </w:r>
      <w:r>
        <w:rPr>
          <w:noProof/>
        </w:rPr>
        <w:instrText xml:space="preserve"> PAGEREF _Toc349825884 \h </w:instrText>
      </w:r>
      <w:r>
        <w:rPr>
          <w:noProof/>
        </w:rPr>
      </w:r>
      <w:r>
        <w:rPr>
          <w:noProof/>
        </w:rPr>
        <w:fldChar w:fldCharType="separate"/>
      </w:r>
      <w:r w:rsidR="00D808DE">
        <w:rPr>
          <w:noProof/>
        </w:rPr>
        <w:t>10</w:t>
      </w:r>
      <w:r>
        <w:rPr>
          <w:noProof/>
        </w:rPr>
        <w:fldChar w:fldCharType="end"/>
      </w:r>
    </w:p>
    <w:p w14:paraId="690DE816"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5.4.2.</w:t>
      </w:r>
      <w:r>
        <w:rPr>
          <w:rFonts w:asciiTheme="minorHAnsi" w:eastAsiaTheme="minorEastAsia" w:hAnsiTheme="minorHAnsi" w:cstheme="minorBidi"/>
          <w:noProof/>
          <w:sz w:val="24"/>
          <w:szCs w:val="24"/>
          <w:lang w:val="en-US" w:eastAsia="ja-JP"/>
        </w:rPr>
        <w:tab/>
      </w:r>
      <w:r w:rsidRPr="00405EDC">
        <w:rPr>
          <w:b/>
          <w:noProof/>
        </w:rPr>
        <w:t>Eradication and Recovery</w:t>
      </w:r>
      <w:r>
        <w:rPr>
          <w:noProof/>
        </w:rPr>
        <w:tab/>
      </w:r>
      <w:r>
        <w:rPr>
          <w:noProof/>
        </w:rPr>
        <w:fldChar w:fldCharType="begin"/>
      </w:r>
      <w:r>
        <w:rPr>
          <w:noProof/>
        </w:rPr>
        <w:instrText xml:space="preserve"> PAGEREF _Toc349825885 \h </w:instrText>
      </w:r>
      <w:r>
        <w:rPr>
          <w:noProof/>
        </w:rPr>
      </w:r>
      <w:r>
        <w:rPr>
          <w:noProof/>
        </w:rPr>
        <w:fldChar w:fldCharType="separate"/>
      </w:r>
      <w:r w:rsidR="00D808DE">
        <w:rPr>
          <w:noProof/>
        </w:rPr>
        <w:t>10</w:t>
      </w:r>
      <w:r>
        <w:rPr>
          <w:noProof/>
        </w:rPr>
        <w:fldChar w:fldCharType="end"/>
      </w:r>
    </w:p>
    <w:p w14:paraId="558D8FB3"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5.5.</w:t>
      </w:r>
      <w:r>
        <w:rPr>
          <w:rFonts w:asciiTheme="minorHAnsi" w:eastAsiaTheme="minorEastAsia" w:hAnsiTheme="minorHAnsi" w:cstheme="minorBidi"/>
          <w:noProof/>
          <w:sz w:val="24"/>
          <w:szCs w:val="24"/>
          <w:lang w:val="en-US" w:eastAsia="ja-JP"/>
        </w:rPr>
        <w:tab/>
      </w:r>
      <w:r w:rsidRPr="00405EDC">
        <w:rPr>
          <w:b/>
          <w:noProof/>
        </w:rPr>
        <w:t>Post Incident Activity and Reporting</w:t>
      </w:r>
      <w:r>
        <w:rPr>
          <w:noProof/>
        </w:rPr>
        <w:tab/>
      </w:r>
      <w:r>
        <w:rPr>
          <w:noProof/>
        </w:rPr>
        <w:fldChar w:fldCharType="begin"/>
      </w:r>
      <w:r>
        <w:rPr>
          <w:noProof/>
        </w:rPr>
        <w:instrText xml:space="preserve"> PAGEREF _Toc349825886 \h </w:instrText>
      </w:r>
      <w:r>
        <w:rPr>
          <w:noProof/>
        </w:rPr>
      </w:r>
      <w:r>
        <w:rPr>
          <w:noProof/>
        </w:rPr>
        <w:fldChar w:fldCharType="separate"/>
      </w:r>
      <w:r w:rsidR="00D808DE">
        <w:rPr>
          <w:noProof/>
        </w:rPr>
        <w:t>10</w:t>
      </w:r>
      <w:r>
        <w:rPr>
          <w:noProof/>
        </w:rPr>
        <w:fldChar w:fldCharType="end"/>
      </w:r>
    </w:p>
    <w:p w14:paraId="32CE9B99" w14:textId="77777777" w:rsidR="00A801C1" w:rsidRDefault="00A801C1">
      <w:pPr>
        <w:pStyle w:val="TOC1"/>
        <w:tabs>
          <w:tab w:val="left" w:pos="410"/>
          <w:tab w:val="right" w:leader="dot" w:pos="9016"/>
        </w:tabs>
        <w:rPr>
          <w:rFonts w:asciiTheme="minorHAnsi" w:eastAsiaTheme="minorEastAsia" w:hAnsiTheme="minorHAnsi" w:cstheme="minorBidi"/>
          <w:noProof/>
          <w:sz w:val="24"/>
          <w:szCs w:val="24"/>
          <w:lang w:val="en-US" w:eastAsia="ja-JP"/>
        </w:rPr>
      </w:pPr>
      <w:r w:rsidRPr="00405EDC">
        <w:rPr>
          <w:b/>
          <w:noProof/>
        </w:rPr>
        <w:t>6.</w:t>
      </w:r>
      <w:r>
        <w:rPr>
          <w:rFonts w:asciiTheme="minorHAnsi" w:eastAsiaTheme="minorEastAsia" w:hAnsiTheme="minorHAnsi" w:cstheme="minorBidi"/>
          <w:noProof/>
          <w:sz w:val="24"/>
          <w:szCs w:val="24"/>
          <w:lang w:val="en-US" w:eastAsia="ja-JP"/>
        </w:rPr>
        <w:tab/>
      </w:r>
      <w:r w:rsidRPr="00405EDC">
        <w:rPr>
          <w:b/>
          <w:noProof/>
        </w:rPr>
        <w:t>Related Standards, Policies, and Processes</w:t>
      </w:r>
      <w:r>
        <w:rPr>
          <w:noProof/>
        </w:rPr>
        <w:tab/>
      </w:r>
      <w:r>
        <w:rPr>
          <w:noProof/>
        </w:rPr>
        <w:fldChar w:fldCharType="begin"/>
      </w:r>
      <w:r>
        <w:rPr>
          <w:noProof/>
        </w:rPr>
        <w:instrText xml:space="preserve"> PAGEREF _Toc349825887 \h </w:instrText>
      </w:r>
      <w:r>
        <w:rPr>
          <w:noProof/>
        </w:rPr>
      </w:r>
      <w:r>
        <w:rPr>
          <w:noProof/>
        </w:rPr>
        <w:fldChar w:fldCharType="separate"/>
      </w:r>
      <w:r w:rsidR="00D808DE">
        <w:rPr>
          <w:noProof/>
        </w:rPr>
        <w:t>10</w:t>
      </w:r>
      <w:r>
        <w:rPr>
          <w:noProof/>
        </w:rPr>
        <w:fldChar w:fldCharType="end"/>
      </w:r>
    </w:p>
    <w:p w14:paraId="3B3400B1" w14:textId="77777777" w:rsidR="00A801C1" w:rsidRDefault="00A801C1">
      <w:pPr>
        <w:pStyle w:val="TOC1"/>
        <w:tabs>
          <w:tab w:val="left" w:pos="410"/>
          <w:tab w:val="right" w:leader="dot" w:pos="9016"/>
        </w:tabs>
        <w:rPr>
          <w:rFonts w:asciiTheme="minorHAnsi" w:eastAsiaTheme="minorEastAsia" w:hAnsiTheme="minorHAnsi" w:cstheme="minorBidi"/>
          <w:noProof/>
          <w:sz w:val="24"/>
          <w:szCs w:val="24"/>
          <w:lang w:val="en-US" w:eastAsia="ja-JP"/>
        </w:rPr>
      </w:pPr>
      <w:r w:rsidRPr="00405EDC">
        <w:rPr>
          <w:b/>
          <w:noProof/>
        </w:rPr>
        <w:t>7.</w:t>
      </w:r>
      <w:r>
        <w:rPr>
          <w:rFonts w:asciiTheme="minorHAnsi" w:eastAsiaTheme="minorEastAsia" w:hAnsiTheme="minorHAnsi" w:cstheme="minorBidi"/>
          <w:noProof/>
          <w:sz w:val="24"/>
          <w:szCs w:val="24"/>
          <w:lang w:val="en-US" w:eastAsia="ja-JP"/>
        </w:rPr>
        <w:tab/>
      </w:r>
      <w:r w:rsidRPr="00405EDC">
        <w:rPr>
          <w:b/>
          <w:noProof/>
        </w:rPr>
        <w:t>Appendix A – Incident Response Checklist</w:t>
      </w:r>
      <w:r>
        <w:rPr>
          <w:noProof/>
        </w:rPr>
        <w:tab/>
      </w:r>
      <w:r>
        <w:rPr>
          <w:noProof/>
        </w:rPr>
        <w:fldChar w:fldCharType="begin"/>
      </w:r>
      <w:r>
        <w:rPr>
          <w:noProof/>
        </w:rPr>
        <w:instrText xml:space="preserve"> PAGEREF _Toc349825888 \h </w:instrText>
      </w:r>
      <w:r>
        <w:rPr>
          <w:noProof/>
        </w:rPr>
      </w:r>
      <w:r>
        <w:rPr>
          <w:noProof/>
        </w:rPr>
        <w:fldChar w:fldCharType="separate"/>
      </w:r>
      <w:r w:rsidR="00D808DE">
        <w:rPr>
          <w:noProof/>
        </w:rPr>
        <w:t>10</w:t>
      </w:r>
      <w:r>
        <w:rPr>
          <w:noProof/>
        </w:rPr>
        <w:fldChar w:fldCharType="end"/>
      </w:r>
    </w:p>
    <w:p w14:paraId="550B6469" w14:textId="77777777" w:rsidR="00A801C1" w:rsidRDefault="00A801C1">
      <w:pPr>
        <w:pStyle w:val="TOC1"/>
        <w:tabs>
          <w:tab w:val="left" w:pos="410"/>
          <w:tab w:val="right" w:leader="dot" w:pos="9016"/>
        </w:tabs>
        <w:rPr>
          <w:rFonts w:asciiTheme="minorHAnsi" w:eastAsiaTheme="minorEastAsia" w:hAnsiTheme="minorHAnsi" w:cstheme="minorBidi"/>
          <w:noProof/>
          <w:sz w:val="24"/>
          <w:szCs w:val="24"/>
          <w:lang w:val="en-US" w:eastAsia="ja-JP"/>
        </w:rPr>
      </w:pPr>
      <w:r w:rsidRPr="00405EDC">
        <w:rPr>
          <w:b/>
          <w:noProof/>
        </w:rPr>
        <w:t>8.</w:t>
      </w:r>
      <w:r>
        <w:rPr>
          <w:rFonts w:asciiTheme="minorHAnsi" w:eastAsiaTheme="minorEastAsia" w:hAnsiTheme="minorHAnsi" w:cstheme="minorBidi"/>
          <w:noProof/>
          <w:sz w:val="24"/>
          <w:szCs w:val="24"/>
          <w:lang w:val="en-US" w:eastAsia="ja-JP"/>
        </w:rPr>
        <w:tab/>
      </w:r>
      <w:r w:rsidRPr="00405EDC">
        <w:rPr>
          <w:b/>
          <w:noProof/>
        </w:rPr>
        <w:t>References</w:t>
      </w:r>
      <w:r>
        <w:rPr>
          <w:noProof/>
        </w:rPr>
        <w:tab/>
      </w:r>
      <w:r>
        <w:rPr>
          <w:noProof/>
        </w:rPr>
        <w:fldChar w:fldCharType="begin"/>
      </w:r>
      <w:r>
        <w:rPr>
          <w:noProof/>
        </w:rPr>
        <w:instrText xml:space="preserve"> PAGEREF _Toc349825889 \h </w:instrText>
      </w:r>
      <w:r>
        <w:rPr>
          <w:noProof/>
        </w:rPr>
      </w:r>
      <w:r>
        <w:rPr>
          <w:noProof/>
        </w:rPr>
        <w:fldChar w:fldCharType="separate"/>
      </w:r>
      <w:r w:rsidR="00D808DE">
        <w:rPr>
          <w:noProof/>
        </w:rPr>
        <w:t>10</w:t>
      </w:r>
      <w:r>
        <w:rPr>
          <w:noProof/>
        </w:rPr>
        <w:fldChar w:fldCharType="end"/>
      </w:r>
    </w:p>
    <w:p w14:paraId="3117EF61" w14:textId="77777777" w:rsidR="00A801C1" w:rsidRDefault="00A801C1">
      <w:pPr>
        <w:pStyle w:val="TOC1"/>
        <w:tabs>
          <w:tab w:val="left" w:pos="410"/>
          <w:tab w:val="right" w:leader="dot" w:pos="9016"/>
        </w:tabs>
        <w:rPr>
          <w:rFonts w:asciiTheme="minorHAnsi" w:eastAsiaTheme="minorEastAsia" w:hAnsiTheme="minorHAnsi" w:cstheme="minorBidi"/>
          <w:noProof/>
          <w:sz w:val="24"/>
          <w:szCs w:val="24"/>
          <w:lang w:val="en-US" w:eastAsia="ja-JP"/>
        </w:rPr>
      </w:pPr>
      <w:r w:rsidRPr="00405EDC">
        <w:rPr>
          <w:b/>
          <w:noProof/>
        </w:rPr>
        <w:t>9.</w:t>
      </w:r>
      <w:r>
        <w:rPr>
          <w:rFonts w:asciiTheme="minorHAnsi" w:eastAsiaTheme="minorEastAsia" w:hAnsiTheme="minorHAnsi" w:cstheme="minorBidi"/>
          <w:noProof/>
          <w:sz w:val="24"/>
          <w:szCs w:val="24"/>
          <w:lang w:val="en-US" w:eastAsia="ja-JP"/>
        </w:rPr>
        <w:tab/>
      </w:r>
      <w:r w:rsidRPr="00405EDC">
        <w:rPr>
          <w:b/>
          <w:noProof/>
        </w:rPr>
        <w:t>Point of Contact (PoC)</w:t>
      </w:r>
      <w:r>
        <w:rPr>
          <w:noProof/>
        </w:rPr>
        <w:tab/>
      </w:r>
      <w:r>
        <w:rPr>
          <w:noProof/>
        </w:rPr>
        <w:fldChar w:fldCharType="begin"/>
      </w:r>
      <w:r>
        <w:rPr>
          <w:noProof/>
        </w:rPr>
        <w:instrText xml:space="preserve"> PAGEREF _Toc349825890 \h </w:instrText>
      </w:r>
      <w:r>
        <w:rPr>
          <w:noProof/>
        </w:rPr>
      </w:r>
      <w:r>
        <w:rPr>
          <w:noProof/>
        </w:rPr>
        <w:fldChar w:fldCharType="separate"/>
      </w:r>
      <w:r w:rsidR="00D808DE">
        <w:rPr>
          <w:noProof/>
        </w:rPr>
        <w:t>10</w:t>
      </w:r>
      <w:r>
        <w:rPr>
          <w:noProof/>
        </w:rPr>
        <w:fldChar w:fldCharType="end"/>
      </w:r>
    </w:p>
    <w:p w14:paraId="4C45DDAA" w14:textId="77777777" w:rsidR="008A219D" w:rsidRDefault="002B52E1" w:rsidP="008A219D">
      <w:pPr>
        <w:pStyle w:val="Heading1"/>
        <w:numPr>
          <w:ilvl w:val="0"/>
          <w:numId w:val="0"/>
        </w:numPr>
        <w:ind w:left="360" w:hanging="360"/>
        <w:rPr>
          <w:rFonts w:ascii="Calibri" w:hAnsi="Calibri"/>
          <w:b/>
        </w:rPr>
        <w:sectPr w:rsidR="008A219D" w:rsidSect="00186BCC">
          <w:endnotePr>
            <w:numFmt w:val="decimal"/>
          </w:endnotePr>
          <w:pgSz w:w="11906" w:h="16838"/>
          <w:pgMar w:top="1440" w:right="1440" w:bottom="1440" w:left="1440" w:header="708" w:footer="1044" w:gutter="0"/>
          <w:cols w:space="708"/>
          <w:docGrid w:linePitch="360"/>
        </w:sectPr>
      </w:pPr>
      <w:r>
        <w:rPr>
          <w:rFonts w:ascii="Calibri" w:hAnsi="Calibri"/>
          <w:b/>
        </w:rPr>
        <w:fldChar w:fldCharType="end"/>
      </w:r>
    </w:p>
    <w:p w14:paraId="1760D942" w14:textId="796042C9" w:rsidR="0019160A" w:rsidRPr="00EB684F" w:rsidRDefault="003736F0" w:rsidP="0019160A">
      <w:pPr>
        <w:pStyle w:val="Heading1"/>
        <w:rPr>
          <w:rFonts w:ascii="Calibri" w:hAnsi="Calibri"/>
          <w:b/>
          <w:sz w:val="26"/>
          <w:szCs w:val="26"/>
        </w:rPr>
      </w:pPr>
      <w:bookmarkStart w:id="0" w:name="_Toc349825853"/>
      <w:r w:rsidRPr="00EB684F">
        <w:rPr>
          <w:rFonts w:ascii="Calibri" w:hAnsi="Calibri"/>
          <w:b/>
          <w:sz w:val="26"/>
          <w:szCs w:val="26"/>
        </w:rPr>
        <w:lastRenderedPageBreak/>
        <w:t>Overview</w:t>
      </w:r>
      <w:bookmarkEnd w:id="0"/>
    </w:p>
    <w:p w14:paraId="60C359DC" w14:textId="4AA3039E" w:rsidR="006D2C44" w:rsidRPr="00CB6163" w:rsidRDefault="006D2C44" w:rsidP="00EB5866">
      <w:pPr>
        <w:pStyle w:val="BodyContent"/>
        <w:jc w:val="both"/>
        <w:rPr>
          <w:rFonts w:ascii="Calibri" w:hAnsi="Calibri"/>
        </w:rPr>
      </w:pPr>
      <w:r w:rsidRPr="00CB6163">
        <w:rPr>
          <w:rFonts w:ascii="Calibri" w:hAnsi="Calibri"/>
        </w:rPr>
        <w:t>The incident handling and response policy and</w:t>
      </w:r>
      <w:r w:rsidR="00C47CD1" w:rsidRPr="00CB6163">
        <w:rPr>
          <w:rFonts w:ascii="Calibri" w:hAnsi="Calibri"/>
        </w:rPr>
        <w:t xml:space="preserve"> procedures provides a detailed plan of action for responding to cybersecurity incidents and breaches.  The plan includes </w:t>
      </w:r>
      <w:r w:rsidR="009D5667" w:rsidRPr="00CB6163">
        <w:rPr>
          <w:rFonts w:ascii="Calibri" w:hAnsi="Calibri"/>
        </w:rPr>
        <w:t xml:space="preserve">an overall policy as well as </w:t>
      </w:r>
      <w:r w:rsidR="00C47CD1" w:rsidRPr="00CB6163">
        <w:rPr>
          <w:rFonts w:ascii="Calibri" w:hAnsi="Calibri"/>
        </w:rPr>
        <w:t xml:space="preserve">general procedures and guidance that help to minimize the impact of a breach and </w:t>
      </w:r>
      <w:r w:rsidR="009D5667" w:rsidRPr="00CB6163">
        <w:rPr>
          <w:rFonts w:ascii="Calibri" w:hAnsi="Calibri"/>
        </w:rPr>
        <w:t xml:space="preserve">safely </w:t>
      </w:r>
      <w:r w:rsidR="00C47CD1" w:rsidRPr="00CB6163">
        <w:rPr>
          <w:rFonts w:ascii="Calibri" w:hAnsi="Calibri"/>
        </w:rPr>
        <w:t xml:space="preserve">restore systems, services, and applications that support </w:t>
      </w:r>
      <w:r w:rsidR="009D5667" w:rsidRPr="00CB6163">
        <w:rPr>
          <w:rFonts w:ascii="Calibri" w:hAnsi="Calibri"/>
        </w:rPr>
        <w:t>critical</w:t>
      </w:r>
      <w:r w:rsidR="00C47CD1" w:rsidRPr="00CB6163">
        <w:rPr>
          <w:rFonts w:ascii="Calibri" w:hAnsi="Calibri"/>
        </w:rPr>
        <w:t xml:space="preserve"> business </w:t>
      </w:r>
      <w:r w:rsidR="009D5667" w:rsidRPr="00CB6163">
        <w:rPr>
          <w:rFonts w:ascii="Calibri" w:hAnsi="Calibri"/>
        </w:rPr>
        <w:t>functions</w:t>
      </w:r>
      <w:r w:rsidR="00C47CD1" w:rsidRPr="00CB6163">
        <w:rPr>
          <w:rFonts w:ascii="Calibri" w:hAnsi="Calibri"/>
        </w:rPr>
        <w:t>.</w:t>
      </w:r>
      <w:r w:rsidR="00A40ED3" w:rsidRPr="00CB6163">
        <w:rPr>
          <w:rFonts w:ascii="Calibri" w:hAnsi="Calibri"/>
        </w:rPr>
        <w:t xml:space="preserve"> The Bishop Gadsden incident handling and response policy and procedures have been created according to standards defined in the National Institute of Standards and Technology (NIST) Computer Security Incident Handling Guide, Special Publication 800-61 Revision 2.</w:t>
      </w:r>
    </w:p>
    <w:p w14:paraId="308EB6EB" w14:textId="318595DD" w:rsidR="0062355E" w:rsidRPr="00CB6163" w:rsidRDefault="003736F0" w:rsidP="0062355E">
      <w:pPr>
        <w:pStyle w:val="Heading1"/>
        <w:ind w:left="357" w:hanging="357"/>
        <w:rPr>
          <w:rFonts w:ascii="Calibri" w:hAnsi="Calibri"/>
          <w:b/>
          <w:sz w:val="24"/>
          <w:szCs w:val="24"/>
        </w:rPr>
      </w:pPr>
      <w:bookmarkStart w:id="1" w:name="_Toc349825854"/>
      <w:r w:rsidRPr="00CB6163">
        <w:rPr>
          <w:rFonts w:ascii="Calibri" w:hAnsi="Calibri"/>
          <w:b/>
          <w:sz w:val="24"/>
          <w:szCs w:val="24"/>
        </w:rPr>
        <w:t>Purpose</w:t>
      </w:r>
      <w:bookmarkEnd w:id="1"/>
    </w:p>
    <w:p w14:paraId="6CD31321" w14:textId="453D5701" w:rsidR="0062355E" w:rsidRPr="00CB6163" w:rsidRDefault="009D5667" w:rsidP="00720845">
      <w:pPr>
        <w:pStyle w:val="BodyContent"/>
        <w:jc w:val="both"/>
        <w:rPr>
          <w:rFonts w:ascii="Calibri" w:hAnsi="Calibri"/>
        </w:rPr>
      </w:pPr>
      <w:r w:rsidRPr="00CB6163">
        <w:rPr>
          <w:rFonts w:ascii="Calibri" w:hAnsi="Calibri"/>
        </w:rPr>
        <w:t>The incident handling and response policy and procedures are designed to minimize damage, restore information technology services, and mitigate and manage organizational risk</w:t>
      </w:r>
      <w:r w:rsidR="0062355E" w:rsidRPr="00CB6163">
        <w:rPr>
          <w:rFonts w:ascii="Calibri" w:hAnsi="Calibri"/>
        </w:rPr>
        <w:t xml:space="preserve">. </w:t>
      </w:r>
      <w:r w:rsidRPr="00CB6163">
        <w:rPr>
          <w:rFonts w:ascii="Calibri" w:hAnsi="Calibri"/>
        </w:rPr>
        <w:t>The policies and procedures also address the regulatory requirements specified in the HIPAA Security Rule.  The incident handling and response policy has been reviewed and implemented at the</w:t>
      </w:r>
      <w:r w:rsidR="00EB5866" w:rsidRPr="00CB6163">
        <w:rPr>
          <w:rFonts w:ascii="Calibri" w:hAnsi="Calibri"/>
        </w:rPr>
        <w:t xml:space="preserve"> direction of the Bishop Gadsden President and Chief Executive Officer (CEO).</w:t>
      </w:r>
    </w:p>
    <w:p w14:paraId="128AF491" w14:textId="6A4C377B" w:rsidR="003736F0" w:rsidRPr="00EB684F" w:rsidRDefault="0062355E" w:rsidP="003736F0">
      <w:pPr>
        <w:pStyle w:val="Heading1"/>
        <w:ind w:left="357" w:hanging="357"/>
        <w:rPr>
          <w:rFonts w:ascii="Calibri" w:hAnsi="Calibri"/>
          <w:b/>
          <w:sz w:val="26"/>
          <w:szCs w:val="26"/>
        </w:rPr>
      </w:pPr>
      <w:bookmarkStart w:id="2" w:name="_Toc349825855"/>
      <w:r w:rsidRPr="00EB684F">
        <w:rPr>
          <w:rFonts w:ascii="Calibri" w:hAnsi="Calibri"/>
          <w:b/>
          <w:sz w:val="26"/>
          <w:szCs w:val="26"/>
        </w:rPr>
        <w:t>Policy</w:t>
      </w:r>
      <w:bookmarkEnd w:id="2"/>
    </w:p>
    <w:p w14:paraId="1CAE7DAC" w14:textId="135D0C30" w:rsidR="00627D50" w:rsidRPr="00EB684F" w:rsidRDefault="00627D50" w:rsidP="00B53F10">
      <w:pPr>
        <w:pStyle w:val="Heading2"/>
        <w:ind w:left="789"/>
        <w:rPr>
          <w:rFonts w:ascii="Calibri" w:hAnsi="Calibri"/>
          <w:b/>
        </w:rPr>
      </w:pPr>
      <w:bookmarkStart w:id="3" w:name="_Toc349825856"/>
      <w:r w:rsidRPr="00EB684F">
        <w:rPr>
          <w:rFonts w:ascii="Calibri" w:hAnsi="Calibri"/>
          <w:b/>
        </w:rPr>
        <w:t>45 CFR 164.308(a)(6)(ii)</w:t>
      </w:r>
      <w:bookmarkEnd w:id="3"/>
    </w:p>
    <w:p w14:paraId="6D17EFEC" w14:textId="3A92304C" w:rsidR="00627D50" w:rsidRPr="00CB6163" w:rsidRDefault="00627D50" w:rsidP="00627D50">
      <w:pPr>
        <w:pStyle w:val="BodyContent"/>
        <w:ind w:left="360"/>
        <w:jc w:val="both"/>
        <w:rPr>
          <w:rFonts w:ascii="Calibri" w:hAnsi="Calibri"/>
        </w:rPr>
      </w:pPr>
      <w:r w:rsidRPr="00CB6163">
        <w:rPr>
          <w:rFonts w:ascii="Calibri" w:hAnsi="Calibri"/>
          <w:lang w:val="en-GB"/>
        </w:rPr>
        <w:t xml:space="preserve">Bishop Gadsden will develop and implement security incident </w:t>
      </w:r>
      <w:r w:rsidRPr="00CB6163">
        <w:rPr>
          <w:rFonts w:ascii="Calibri" w:hAnsi="Calibri"/>
          <w:i/>
          <w:lang w:val="en-GB"/>
        </w:rPr>
        <w:t>Response and Reporting</w:t>
      </w:r>
      <w:r w:rsidRPr="00CB6163">
        <w:rPr>
          <w:rFonts w:ascii="Calibri" w:hAnsi="Calibri"/>
          <w:lang w:val="en-GB"/>
        </w:rPr>
        <w:t xml:space="preserve"> procedures for identifying, responding to, mitigating, documenting, and reporting on security incidents.  Our organization has designed a reporting mechanism for workforce members and business associates to report immediately to our Security Official a suspected or known security incident, namely, whenever this is a breakdown in administrative, physical, and technical safeguards for protecting electronic networks, systems, applications, devices, and media that contain electronic protected health information that actually or potentially compromises the </w:t>
      </w:r>
      <w:r w:rsidRPr="00CB6163">
        <w:rPr>
          <w:rFonts w:ascii="Calibri" w:hAnsi="Calibri"/>
          <w:i/>
          <w:lang w:val="en-GB"/>
        </w:rPr>
        <w:t xml:space="preserve">confidentiality, integrity, or availability </w:t>
      </w:r>
      <w:r w:rsidRPr="00CB6163">
        <w:rPr>
          <w:rFonts w:ascii="Calibri" w:hAnsi="Calibri"/>
          <w:lang w:val="en-GB"/>
        </w:rPr>
        <w:t xml:space="preserve">of the electronic protected health information that our organization creates, receives, maintains, or transmits.   The Security Official shall investigate the security incident and initiate our organization’s response team and authorize reasonable and appropriate resources to mitigate any harms resulting from the incident and restore confidentiality, integrity, and availability, as applicable, of our organization’s electronic protected health information.  The Security Official shall document each security incident, response, and outcome, and provide such documentation as input in the risk </w:t>
      </w:r>
      <w:r w:rsidRPr="00CB6163">
        <w:rPr>
          <w:rFonts w:ascii="Calibri" w:hAnsi="Calibri"/>
          <w:lang w:val="en-GB"/>
        </w:rPr>
        <w:lastRenderedPageBreak/>
        <w:t xml:space="preserve">analysis process to strengthen our organization’s administrative, physical, and technical safeguards in order to minimize the likelihood of such security incidents in the future.  </w:t>
      </w:r>
      <w:r w:rsidRPr="00CB6163">
        <w:rPr>
          <w:rFonts w:ascii="Calibri" w:hAnsi="Calibri"/>
          <w:i/>
          <w:lang w:val="en-GB"/>
        </w:rPr>
        <w:t xml:space="preserve"> </w:t>
      </w:r>
      <w:r w:rsidRPr="00CB6163">
        <w:rPr>
          <w:rFonts w:ascii="Calibri" w:hAnsi="Calibri"/>
          <w:lang w:val="en-GB"/>
        </w:rPr>
        <w:t>The Security Official also shall report on each security incident according to the response and notification requirements of the Breach Notification Rule</w:t>
      </w:r>
      <w:r w:rsidR="00E73ABD">
        <w:rPr>
          <w:rFonts w:ascii="Calibri" w:hAnsi="Calibri"/>
          <w:lang w:val="en-GB"/>
        </w:rPr>
        <w:t xml:space="preserve">. </w:t>
      </w:r>
      <w:r w:rsidRPr="00CB6163">
        <w:rPr>
          <w:rFonts w:ascii="Calibri" w:hAnsi="Calibri"/>
          <w:lang w:val="en-GB"/>
        </w:rPr>
        <w:t xml:space="preserve">Our workforce members are required to comply with our organization’s security incident </w:t>
      </w:r>
      <w:r w:rsidRPr="00CB6163">
        <w:rPr>
          <w:rFonts w:ascii="Calibri" w:hAnsi="Calibri"/>
          <w:i/>
          <w:lang w:val="en-GB"/>
        </w:rPr>
        <w:t xml:space="preserve">Response and Reporting </w:t>
      </w:r>
      <w:r w:rsidRPr="00CB6163">
        <w:rPr>
          <w:rFonts w:ascii="Calibri" w:hAnsi="Calibri"/>
          <w:lang w:val="en-GB"/>
        </w:rPr>
        <w:t>policies and procedures, and are subject to our organization’s sanction policy for failure to comply.  Business associate representatives in our facility or facilities are required to report a known or suspected security incident to our Security Official as soon as discovered.  A business associate that discovers a security incident pertaining to our organization’s electronic protected health information in its care is responsible for reporting the incident to our Security Official under requirements of the Breach No</w:t>
      </w:r>
      <w:r w:rsidR="007801FB">
        <w:rPr>
          <w:rFonts w:ascii="Calibri" w:hAnsi="Calibri"/>
          <w:lang w:val="en-GB"/>
        </w:rPr>
        <w:t>tification Rule (45 CFR 164.410</w:t>
      </w:r>
      <w:r w:rsidRPr="00CB6163">
        <w:rPr>
          <w:rFonts w:ascii="Calibri" w:hAnsi="Calibri"/>
          <w:lang w:val="en-GB"/>
        </w:rPr>
        <w:t>) and Security Rule (45 CFR 164.314(a)(2)(i)(C)).</w:t>
      </w:r>
    </w:p>
    <w:p w14:paraId="6272D46D" w14:textId="08F95A61" w:rsidR="0062355E" w:rsidRPr="00EB684F" w:rsidRDefault="0062355E" w:rsidP="00B53F10">
      <w:pPr>
        <w:pStyle w:val="Heading2"/>
        <w:ind w:left="789"/>
        <w:rPr>
          <w:rFonts w:ascii="Calibri" w:hAnsi="Calibri"/>
          <w:b/>
        </w:rPr>
      </w:pPr>
      <w:bookmarkStart w:id="4" w:name="_Toc349825857"/>
      <w:r w:rsidRPr="00EB684F">
        <w:rPr>
          <w:rFonts w:ascii="Calibri" w:hAnsi="Calibri"/>
          <w:b/>
        </w:rPr>
        <w:t>Scope</w:t>
      </w:r>
      <w:bookmarkEnd w:id="4"/>
    </w:p>
    <w:p w14:paraId="3E0950CB" w14:textId="5C9A6E2A" w:rsidR="00627D50" w:rsidRPr="00CB6163" w:rsidRDefault="00676F16" w:rsidP="00D86EE3">
      <w:pPr>
        <w:pStyle w:val="BodyContent"/>
        <w:ind w:left="360"/>
        <w:jc w:val="both"/>
        <w:rPr>
          <w:rFonts w:ascii="Calibri" w:hAnsi="Calibri"/>
        </w:rPr>
      </w:pPr>
      <w:r w:rsidRPr="00CB6163">
        <w:rPr>
          <w:rFonts w:ascii="Calibri" w:hAnsi="Calibri"/>
        </w:rPr>
        <w:t xml:space="preserve">The incident handling policies and procedures detailed in this document are applicable all Bishop Gadsden personnel, systems, services, applications, workstations, servers, and mobile devices that support business functions.  The communication guidelines below detail the circumstances and information flow for interactions with third parties, business partners, service providers, and vendors both during or after a cybersecurity incident. </w:t>
      </w:r>
    </w:p>
    <w:p w14:paraId="1E0B140A" w14:textId="53613E2F" w:rsidR="0062355E" w:rsidRPr="00EB684F" w:rsidRDefault="0062355E" w:rsidP="00B53F10">
      <w:pPr>
        <w:pStyle w:val="Heading2"/>
        <w:ind w:left="789"/>
        <w:rPr>
          <w:rFonts w:ascii="Calibri" w:hAnsi="Calibri"/>
          <w:b/>
        </w:rPr>
      </w:pPr>
      <w:bookmarkStart w:id="5" w:name="_Toc349825858"/>
      <w:r w:rsidRPr="00EB684F">
        <w:rPr>
          <w:rFonts w:ascii="Calibri" w:hAnsi="Calibri"/>
          <w:b/>
        </w:rPr>
        <w:t>Incident Priority</w:t>
      </w:r>
      <w:bookmarkEnd w:id="5"/>
    </w:p>
    <w:p w14:paraId="08A0C6A4" w14:textId="7232B283" w:rsidR="0062355E" w:rsidRPr="00CB6163" w:rsidRDefault="00D86EE3" w:rsidP="006B78BF">
      <w:pPr>
        <w:pStyle w:val="BodyContent"/>
        <w:ind w:left="360"/>
        <w:jc w:val="both"/>
        <w:rPr>
          <w:rFonts w:ascii="Calibri" w:hAnsi="Calibri"/>
        </w:rPr>
      </w:pPr>
      <w:r w:rsidRPr="00CB6163">
        <w:rPr>
          <w:rFonts w:ascii="Calibri" w:hAnsi="Calibri"/>
        </w:rPr>
        <w:t>Cybersecurity incidents are prioritized accor</w:t>
      </w:r>
      <w:r w:rsidR="006B78BF" w:rsidRPr="00CB6163">
        <w:rPr>
          <w:rFonts w:ascii="Calibri" w:hAnsi="Calibri"/>
        </w:rPr>
        <w:t>ding to the criticality levels</w:t>
      </w:r>
      <w:r w:rsidRPr="00CB6163">
        <w:rPr>
          <w:rFonts w:ascii="Calibri" w:hAnsi="Calibri"/>
        </w:rPr>
        <w:t xml:space="preserve"> of the </w:t>
      </w:r>
      <w:r w:rsidR="006B78BF" w:rsidRPr="00CB6163">
        <w:rPr>
          <w:rFonts w:ascii="Calibri" w:hAnsi="Calibri"/>
        </w:rPr>
        <w:t xml:space="preserve">affected </w:t>
      </w:r>
      <w:r w:rsidRPr="00CB6163">
        <w:rPr>
          <w:rFonts w:ascii="Calibri" w:hAnsi="Calibri"/>
        </w:rPr>
        <w:t xml:space="preserve">resources involved as well as the </w:t>
      </w:r>
      <w:r w:rsidR="006B78BF" w:rsidRPr="00CB6163">
        <w:rPr>
          <w:rFonts w:ascii="Calibri" w:hAnsi="Calibri"/>
        </w:rPr>
        <w:t>impacts to business functions and resident data.  Incidents and breaches that impact the confidentiality, integrity, and availability of electronic Protected Health Information (ePHI) are assigned the highest priority. Critical business resources and current threats are documented in the asset inventory and threat matrix, respectively.  Incidents may be escalated in priority as analysis proceeds and new data and evidence is gathered. Incident priority will be communicated according to the communications and reporting procedures below.</w:t>
      </w:r>
    </w:p>
    <w:p w14:paraId="54E9DD05" w14:textId="6A4EFD08" w:rsidR="0062355E" w:rsidRPr="00EB684F" w:rsidRDefault="0062355E" w:rsidP="00B53F10">
      <w:pPr>
        <w:pStyle w:val="Heading2"/>
        <w:ind w:left="789"/>
        <w:rPr>
          <w:rFonts w:ascii="Calibri" w:hAnsi="Calibri"/>
          <w:b/>
        </w:rPr>
      </w:pPr>
      <w:bookmarkStart w:id="6" w:name="_Toc349825859"/>
      <w:r w:rsidRPr="00EB684F">
        <w:rPr>
          <w:rFonts w:ascii="Calibri" w:hAnsi="Calibri"/>
          <w:b/>
        </w:rPr>
        <w:t>Definitions</w:t>
      </w:r>
      <w:bookmarkEnd w:id="6"/>
    </w:p>
    <w:p w14:paraId="1DF73E28" w14:textId="56C0020F" w:rsidR="006B78BF" w:rsidRPr="00CB6163" w:rsidRDefault="00A40ED3" w:rsidP="006B78BF">
      <w:pPr>
        <w:pStyle w:val="BodyContent"/>
        <w:ind w:left="360"/>
        <w:jc w:val="both"/>
        <w:rPr>
          <w:rFonts w:ascii="Calibri" w:hAnsi="Calibri"/>
        </w:rPr>
      </w:pPr>
      <w:r w:rsidRPr="00CB6163">
        <w:rPr>
          <w:rFonts w:ascii="Calibri" w:hAnsi="Calibri"/>
        </w:rPr>
        <w:t>The definitions used throughout this document have been taken directly from the National Institute of Standards and Technology (NIST) Computer Security Incident Handling Guide</w:t>
      </w:r>
      <w:r w:rsidR="00E73ABD">
        <w:rPr>
          <w:rStyle w:val="FootnoteReference"/>
          <w:rFonts w:ascii="Calibri" w:hAnsi="Calibri"/>
        </w:rPr>
        <w:footnoteReference w:id="1"/>
      </w:r>
      <w:r w:rsidR="00341976" w:rsidRPr="00CB6163">
        <w:rPr>
          <w:rFonts w:ascii="Calibri" w:hAnsi="Calibri"/>
        </w:rPr>
        <w:t xml:space="preserve"> or other NIST resources</w:t>
      </w:r>
      <w:r w:rsidRPr="00CB6163">
        <w:rPr>
          <w:rFonts w:ascii="Calibri" w:hAnsi="Calibri"/>
        </w:rPr>
        <w:t xml:space="preserve">. </w:t>
      </w:r>
    </w:p>
    <w:p w14:paraId="734DFF09" w14:textId="75BE5655" w:rsidR="0062355E" w:rsidRPr="00CB6163" w:rsidRDefault="0062355E" w:rsidP="00FC06A0">
      <w:pPr>
        <w:pStyle w:val="BodyContent"/>
        <w:numPr>
          <w:ilvl w:val="0"/>
          <w:numId w:val="5"/>
        </w:numPr>
        <w:ind w:left="1077"/>
        <w:rPr>
          <w:rFonts w:ascii="Calibri" w:hAnsi="Calibri"/>
        </w:rPr>
      </w:pPr>
      <w:r w:rsidRPr="00CB6163">
        <w:rPr>
          <w:rFonts w:ascii="Calibri" w:hAnsi="Calibri"/>
          <w:b/>
        </w:rPr>
        <w:t>Event</w:t>
      </w:r>
      <w:r w:rsidR="00904F33" w:rsidRPr="00CB6163">
        <w:rPr>
          <w:rFonts w:ascii="Calibri" w:hAnsi="Calibri"/>
        </w:rPr>
        <w:t xml:space="preserve"> – “An event is any observable occurrence in a system or network”</w:t>
      </w:r>
    </w:p>
    <w:p w14:paraId="32AEEE52" w14:textId="1DA93AC2" w:rsidR="0062355E" w:rsidRPr="00CB6163" w:rsidRDefault="0062355E" w:rsidP="00FC06A0">
      <w:pPr>
        <w:pStyle w:val="BodyContent"/>
        <w:numPr>
          <w:ilvl w:val="0"/>
          <w:numId w:val="5"/>
        </w:numPr>
        <w:ind w:left="1077"/>
        <w:rPr>
          <w:rFonts w:ascii="Calibri" w:hAnsi="Calibri"/>
        </w:rPr>
      </w:pPr>
      <w:r w:rsidRPr="00CB6163">
        <w:rPr>
          <w:rFonts w:ascii="Calibri" w:hAnsi="Calibri"/>
          <w:b/>
        </w:rPr>
        <w:lastRenderedPageBreak/>
        <w:t>Adverse event</w:t>
      </w:r>
      <w:r w:rsidR="00904F33" w:rsidRPr="00CB6163">
        <w:rPr>
          <w:rFonts w:ascii="Calibri" w:hAnsi="Calibri"/>
        </w:rPr>
        <w:t xml:space="preserve"> – “Adverse events are events with a negative consequence, such as system crashes, packet floods, unauthorized use of system privileges, unauthorized access to sensitive data, and execution of malware that destroys data.”</w:t>
      </w:r>
    </w:p>
    <w:p w14:paraId="6C38C276" w14:textId="64FD29B0" w:rsidR="0062355E" w:rsidRPr="00CB6163" w:rsidRDefault="0062355E" w:rsidP="00FC06A0">
      <w:pPr>
        <w:pStyle w:val="BodyContent"/>
        <w:numPr>
          <w:ilvl w:val="0"/>
          <w:numId w:val="5"/>
        </w:numPr>
        <w:ind w:left="1077"/>
        <w:rPr>
          <w:rFonts w:ascii="Calibri" w:hAnsi="Calibri"/>
        </w:rPr>
      </w:pPr>
      <w:r w:rsidRPr="00CB6163">
        <w:rPr>
          <w:rFonts w:ascii="Calibri" w:hAnsi="Calibri"/>
          <w:b/>
        </w:rPr>
        <w:t>Incident</w:t>
      </w:r>
      <w:r w:rsidR="00904F33" w:rsidRPr="00CB6163">
        <w:rPr>
          <w:rFonts w:ascii="Calibri" w:hAnsi="Calibri"/>
        </w:rPr>
        <w:t xml:space="preserve"> – “Computer security incident is a violation or imminent threat of violation1 of computer security policies, acceptable use policies, or standard security practices”</w:t>
      </w:r>
    </w:p>
    <w:p w14:paraId="1EEB60E1" w14:textId="7361C4A1" w:rsidR="0062355E" w:rsidRPr="00CB6163" w:rsidRDefault="0062355E" w:rsidP="00FC06A0">
      <w:pPr>
        <w:pStyle w:val="BodyContent"/>
        <w:numPr>
          <w:ilvl w:val="0"/>
          <w:numId w:val="5"/>
        </w:numPr>
        <w:ind w:left="1077"/>
        <w:rPr>
          <w:rFonts w:ascii="Calibri" w:hAnsi="Calibri"/>
          <w:b/>
        </w:rPr>
      </w:pPr>
      <w:r w:rsidRPr="00CB6163">
        <w:rPr>
          <w:rFonts w:ascii="Calibri" w:hAnsi="Calibri"/>
          <w:b/>
        </w:rPr>
        <w:t>Breach</w:t>
      </w:r>
      <w:r w:rsidR="00341976" w:rsidRPr="00CB6163">
        <w:rPr>
          <w:rFonts w:ascii="Calibri" w:hAnsi="Calibri"/>
          <w:b/>
        </w:rPr>
        <w:t xml:space="preserve"> – </w:t>
      </w:r>
      <w:r w:rsidR="00341976" w:rsidRPr="00CB6163">
        <w:rPr>
          <w:rFonts w:ascii="Calibri" w:hAnsi="Calibri"/>
        </w:rPr>
        <w:t xml:space="preserve"> “Impermissible acquisition, access, use, or disclosure of PHI (paper or electronic), which compromises the security or privacy of the PHI.”</w:t>
      </w:r>
    </w:p>
    <w:p w14:paraId="58C7110B" w14:textId="00CC4457" w:rsidR="003736F0" w:rsidRPr="00EB684F" w:rsidRDefault="00532B63" w:rsidP="00E04FD7">
      <w:pPr>
        <w:pStyle w:val="Heading1"/>
        <w:rPr>
          <w:rFonts w:ascii="Calibri" w:hAnsi="Calibri"/>
          <w:b/>
          <w:sz w:val="26"/>
          <w:szCs w:val="26"/>
        </w:rPr>
      </w:pPr>
      <w:bookmarkStart w:id="7" w:name="_Toc349825860"/>
      <w:r w:rsidRPr="00EB684F">
        <w:rPr>
          <w:rFonts w:ascii="Calibri" w:hAnsi="Calibri"/>
          <w:b/>
          <w:sz w:val="26"/>
          <w:szCs w:val="26"/>
        </w:rPr>
        <w:t>Plan</w:t>
      </w:r>
      <w:bookmarkEnd w:id="7"/>
    </w:p>
    <w:p w14:paraId="3385C314" w14:textId="2CC9596E" w:rsidR="00532B63" w:rsidRPr="00EB684F" w:rsidRDefault="00532B63" w:rsidP="00B53F10">
      <w:pPr>
        <w:pStyle w:val="Heading2"/>
        <w:ind w:left="789"/>
        <w:rPr>
          <w:rFonts w:ascii="Calibri" w:hAnsi="Calibri"/>
          <w:b/>
        </w:rPr>
      </w:pPr>
      <w:bookmarkStart w:id="8" w:name="_Toc349825861"/>
      <w:r w:rsidRPr="00EB684F">
        <w:rPr>
          <w:rFonts w:ascii="Calibri" w:hAnsi="Calibri"/>
          <w:b/>
        </w:rPr>
        <w:t>Bishop Gadsden Mission</w:t>
      </w:r>
      <w:bookmarkEnd w:id="8"/>
    </w:p>
    <w:p w14:paraId="1A2B3B0C" w14:textId="27986317" w:rsidR="00E04FD7" w:rsidRPr="00CB6163" w:rsidRDefault="00E04FD7" w:rsidP="00720845">
      <w:pPr>
        <w:pStyle w:val="BodyContent"/>
        <w:jc w:val="both"/>
        <w:rPr>
          <w:rFonts w:ascii="Calibri" w:hAnsi="Calibri"/>
        </w:rPr>
      </w:pPr>
      <w:r w:rsidRPr="00CB6163">
        <w:rPr>
          <w:rFonts w:ascii="Calibri" w:hAnsi="Calibri"/>
        </w:rPr>
        <w:t>Bishop Gadsden is the Southeast's leading life care retirement community, providing hospitality, healthcare, and assisted living services to more than 450 residents.</w:t>
      </w:r>
    </w:p>
    <w:p w14:paraId="49AC3A8C" w14:textId="309743AD" w:rsidR="0062355E" w:rsidRPr="00EB684F" w:rsidRDefault="00FF1056" w:rsidP="00B53F10">
      <w:pPr>
        <w:pStyle w:val="Heading2"/>
        <w:ind w:left="789"/>
        <w:rPr>
          <w:rFonts w:ascii="Calibri" w:hAnsi="Calibri"/>
          <w:b/>
        </w:rPr>
      </w:pPr>
      <w:bookmarkStart w:id="9" w:name="_Toc349825862"/>
      <w:r>
        <w:rPr>
          <w:rFonts w:ascii="Calibri" w:hAnsi="Calibri"/>
          <w:b/>
        </w:rPr>
        <w:t>Staffing Team and Organizational S</w:t>
      </w:r>
      <w:r w:rsidR="0062355E" w:rsidRPr="00EB684F">
        <w:rPr>
          <w:rFonts w:ascii="Calibri" w:hAnsi="Calibri"/>
          <w:b/>
        </w:rPr>
        <w:t>tructure</w:t>
      </w:r>
      <w:bookmarkEnd w:id="9"/>
    </w:p>
    <w:p w14:paraId="667AFDCB" w14:textId="25506373" w:rsidR="00FB12AD" w:rsidRPr="00CB6163" w:rsidRDefault="00E04FD7" w:rsidP="00720845">
      <w:pPr>
        <w:pStyle w:val="BodyContent"/>
        <w:jc w:val="both"/>
        <w:rPr>
          <w:rFonts w:ascii="Calibri" w:hAnsi="Calibri"/>
        </w:rPr>
      </w:pPr>
      <w:r w:rsidRPr="00CB6163">
        <w:rPr>
          <w:rFonts w:ascii="Calibri" w:hAnsi="Calibri"/>
        </w:rPr>
        <w:t xml:space="preserve">Bishop Gadsden </w:t>
      </w:r>
      <w:r w:rsidR="00FB12AD" w:rsidRPr="00CB6163">
        <w:rPr>
          <w:rFonts w:ascii="Calibri" w:hAnsi="Calibri"/>
        </w:rPr>
        <w:t>has a Director of Information Technology (IT) with 2 direct reports.  Due to staffing constraints and the size of the organiza</w:t>
      </w:r>
      <w:r w:rsidR="003D5580" w:rsidRPr="00CB6163">
        <w:rPr>
          <w:rFonts w:ascii="Calibri" w:hAnsi="Calibri"/>
        </w:rPr>
        <w:t xml:space="preserve">tion, one of the direct reports </w:t>
      </w:r>
      <w:r w:rsidR="00FB12AD" w:rsidRPr="00CB6163">
        <w:rPr>
          <w:rFonts w:ascii="Calibri" w:hAnsi="Calibri"/>
        </w:rPr>
        <w:t xml:space="preserve">serves part time as the Information Systems Security Officer.  There is a separate </w:t>
      </w:r>
      <w:r w:rsidR="003D5580" w:rsidRPr="00CB6163">
        <w:rPr>
          <w:rFonts w:ascii="Calibri" w:hAnsi="Calibri"/>
        </w:rPr>
        <w:t>Security Supervisor who</w:t>
      </w:r>
      <w:r w:rsidR="00FB12AD" w:rsidRPr="00CB6163">
        <w:rPr>
          <w:rFonts w:ascii="Calibri" w:hAnsi="Calibri"/>
        </w:rPr>
        <w:t xml:space="preserve"> handles physical security for the campus and it’s residents. The Director of IT and </w:t>
      </w:r>
      <w:r w:rsidR="003D5580" w:rsidRPr="00CB6163">
        <w:rPr>
          <w:rFonts w:ascii="Calibri" w:hAnsi="Calibri"/>
        </w:rPr>
        <w:t xml:space="preserve">the Security Supervisor </w:t>
      </w:r>
      <w:r w:rsidR="00FB12AD" w:rsidRPr="00CB6163">
        <w:rPr>
          <w:rFonts w:ascii="Calibri" w:hAnsi="Calibri"/>
        </w:rPr>
        <w:t>report to the Bishop Gadsden CEO</w:t>
      </w:r>
      <w:r w:rsidR="003D5580" w:rsidRPr="00CB6163">
        <w:rPr>
          <w:rFonts w:ascii="Calibri" w:hAnsi="Calibri"/>
        </w:rPr>
        <w:t xml:space="preserve"> and </w:t>
      </w:r>
      <w:r w:rsidR="003D5580" w:rsidRPr="00CB6163">
        <w:rPr>
          <w:rFonts w:ascii="Calibri" w:hAnsi="Calibri"/>
          <w:lang w:val="en-GB"/>
        </w:rPr>
        <w:t>Environmental Services Director, respectively</w:t>
      </w:r>
      <w:r w:rsidR="00FB12AD" w:rsidRPr="00CB6163">
        <w:rPr>
          <w:rFonts w:ascii="Calibri" w:hAnsi="Calibri"/>
        </w:rPr>
        <w:t>.</w:t>
      </w:r>
      <w:r w:rsidR="003D5580" w:rsidRPr="00CB6163">
        <w:rPr>
          <w:rFonts w:ascii="Calibri" w:eastAsia="Times New Roman" w:hAnsi="Calibri" w:cstheme="minorBidi"/>
          <w:color w:val="1F497D"/>
        </w:rPr>
        <w:t xml:space="preserve"> </w:t>
      </w:r>
    </w:p>
    <w:p w14:paraId="73424C0D" w14:textId="40FAA477" w:rsidR="000A252C" w:rsidRPr="00CB6163" w:rsidRDefault="00FB12AD" w:rsidP="00720845">
      <w:pPr>
        <w:pStyle w:val="BodyContent"/>
        <w:jc w:val="both"/>
        <w:rPr>
          <w:rFonts w:ascii="Calibri" w:hAnsi="Calibri"/>
        </w:rPr>
      </w:pPr>
      <w:r w:rsidRPr="00CB6163">
        <w:rPr>
          <w:rFonts w:ascii="Calibri" w:hAnsi="Calibri"/>
        </w:rPr>
        <w:t>The Director of IT will lead a central incident r</w:t>
      </w:r>
      <w:r w:rsidR="000A252C" w:rsidRPr="00CB6163">
        <w:rPr>
          <w:rFonts w:ascii="Calibri" w:hAnsi="Calibri"/>
        </w:rPr>
        <w:t>esponse team operating from a single location</w:t>
      </w:r>
      <w:r w:rsidRPr="00CB6163">
        <w:rPr>
          <w:rFonts w:ascii="Calibri" w:hAnsi="Calibri"/>
        </w:rPr>
        <w:t xml:space="preserve"> at 1 Bishop Gadsden Way, Charleston SC 29412.  Due to staffing constraints and the size of the organization, the incident response team will only include part time incident responders. </w:t>
      </w:r>
      <w:r w:rsidR="00E26A51" w:rsidRPr="00CB6163">
        <w:rPr>
          <w:rFonts w:ascii="Calibri" w:hAnsi="Calibri"/>
        </w:rPr>
        <w:t xml:space="preserve">Incidents may be reported </w:t>
      </w:r>
      <w:r w:rsidR="00A317AA" w:rsidRPr="00CB6163">
        <w:rPr>
          <w:rFonts w:ascii="Calibri" w:hAnsi="Calibri"/>
        </w:rPr>
        <w:t>by emailing</w:t>
      </w:r>
      <w:r w:rsidRPr="00CB6163">
        <w:rPr>
          <w:rFonts w:ascii="Calibri" w:hAnsi="Calibri"/>
        </w:rPr>
        <w:t xml:space="preserve"> </w:t>
      </w:r>
      <w:hyperlink r:id="rId16" w:history="1">
        <w:r w:rsidR="00A317AA" w:rsidRPr="00CB6163">
          <w:rPr>
            <w:rStyle w:val="Hyperlink"/>
            <w:rFonts w:ascii="Calibri" w:eastAsia="Times New Roman" w:hAnsi="Calibri" w:cs="Times New Roman ;color:#1F497D"/>
          </w:rPr>
          <w:t>BGIT.SUPPORT@bishopgadsden.org</w:t>
        </w:r>
      </w:hyperlink>
      <w:r w:rsidR="00A317AA" w:rsidRPr="00CB6163">
        <w:rPr>
          <w:rFonts w:ascii="Calibri" w:eastAsia="Times New Roman" w:hAnsi="Calibri" w:cs="Times New Roman ;color:#1F497D"/>
        </w:rPr>
        <w:t xml:space="preserve"> </w:t>
      </w:r>
      <w:r w:rsidR="00A317AA" w:rsidRPr="00CB6163">
        <w:rPr>
          <w:rFonts w:ascii="Calibri" w:hAnsi="Calibri"/>
        </w:rPr>
        <w:t>or opening a ticket in Spic</w:t>
      </w:r>
      <w:r w:rsidR="00E26A51" w:rsidRPr="00CB6163">
        <w:rPr>
          <w:rFonts w:ascii="Calibri" w:hAnsi="Calibri"/>
        </w:rPr>
        <w:t>eWorks</w:t>
      </w:r>
      <w:r w:rsidRPr="00CB6163">
        <w:rPr>
          <w:rFonts w:ascii="Calibri" w:hAnsi="Calibri"/>
        </w:rPr>
        <w:t>.</w:t>
      </w:r>
      <w:r w:rsidR="003D5580" w:rsidRPr="00CB6163">
        <w:rPr>
          <w:rFonts w:ascii="Calibri" w:hAnsi="Calibri"/>
        </w:rPr>
        <w:t xml:space="preserve"> </w:t>
      </w:r>
    </w:p>
    <w:p w14:paraId="707E124C" w14:textId="510EC397" w:rsidR="000A252C" w:rsidRPr="00CB6163" w:rsidRDefault="00FB12AD" w:rsidP="00720845">
      <w:pPr>
        <w:pStyle w:val="BodyContent"/>
        <w:jc w:val="both"/>
        <w:rPr>
          <w:rFonts w:ascii="Calibri" w:hAnsi="Calibri"/>
        </w:rPr>
      </w:pPr>
      <w:r w:rsidRPr="00CB6163">
        <w:rPr>
          <w:rFonts w:ascii="Calibri" w:hAnsi="Calibri"/>
        </w:rPr>
        <w:t>The internal team will execute</w:t>
      </w:r>
      <w:r w:rsidR="000A252C" w:rsidRPr="00CB6163">
        <w:rPr>
          <w:rFonts w:ascii="Calibri" w:hAnsi="Calibri"/>
        </w:rPr>
        <w:t xml:space="preserve"> basic IR in house and use contractors for </w:t>
      </w:r>
      <w:r w:rsidR="003D5580" w:rsidRPr="00CB6163">
        <w:rPr>
          <w:rFonts w:ascii="Calibri" w:hAnsi="Calibri"/>
        </w:rPr>
        <w:t xml:space="preserve">larger </w:t>
      </w:r>
      <w:r w:rsidR="000A252C" w:rsidRPr="00CB6163">
        <w:rPr>
          <w:rFonts w:ascii="Calibri" w:hAnsi="Calibri"/>
        </w:rPr>
        <w:t xml:space="preserve">incidents, intrusion detection, forensics, and </w:t>
      </w:r>
      <w:r w:rsidR="003D5580" w:rsidRPr="00CB6163">
        <w:rPr>
          <w:rFonts w:ascii="Calibri" w:hAnsi="Calibri"/>
        </w:rPr>
        <w:t>additional a</w:t>
      </w:r>
      <w:r w:rsidR="000A252C" w:rsidRPr="00CB6163">
        <w:rPr>
          <w:rFonts w:ascii="Calibri" w:hAnsi="Calibri"/>
        </w:rPr>
        <w:t>nalysis</w:t>
      </w:r>
      <w:r w:rsidR="003D5580" w:rsidRPr="00CB6163">
        <w:rPr>
          <w:rFonts w:ascii="Calibri" w:hAnsi="Calibri"/>
        </w:rPr>
        <w:t xml:space="preserve">. </w:t>
      </w:r>
      <w:r w:rsidR="000A252C" w:rsidRPr="00CB6163">
        <w:rPr>
          <w:rFonts w:ascii="Calibri" w:hAnsi="Calibri"/>
        </w:rPr>
        <w:t>N</w:t>
      </w:r>
      <w:r w:rsidR="003D5580" w:rsidRPr="00CB6163">
        <w:rPr>
          <w:rFonts w:ascii="Calibri" w:hAnsi="Calibri"/>
        </w:rPr>
        <w:t>on-disclosure agreements (N</w:t>
      </w:r>
      <w:r w:rsidR="000A252C" w:rsidRPr="00CB6163">
        <w:rPr>
          <w:rFonts w:ascii="Calibri" w:hAnsi="Calibri"/>
        </w:rPr>
        <w:t>DAs</w:t>
      </w:r>
      <w:r w:rsidR="003D5580" w:rsidRPr="00CB6163">
        <w:rPr>
          <w:rFonts w:ascii="Calibri" w:hAnsi="Calibri"/>
        </w:rPr>
        <w:t>) will be out in place before coordinating any effort with external contractors</w:t>
      </w:r>
      <w:r w:rsidR="000A252C" w:rsidRPr="00CB6163">
        <w:rPr>
          <w:rFonts w:ascii="Calibri" w:hAnsi="Calibri"/>
        </w:rPr>
        <w:t>.</w:t>
      </w:r>
      <w:r w:rsidR="003D5580" w:rsidRPr="00CB6163">
        <w:rPr>
          <w:rFonts w:ascii="Calibri" w:hAnsi="Calibri"/>
        </w:rPr>
        <w:t xml:space="preserve"> All operational decision-making rests with the BG Director of IT; contractors cannot take action independently.</w:t>
      </w:r>
    </w:p>
    <w:p w14:paraId="53F38740" w14:textId="05412FA3" w:rsidR="0062355E" w:rsidRPr="00EB684F" w:rsidRDefault="00FF1056" w:rsidP="00B53F10">
      <w:pPr>
        <w:pStyle w:val="Heading2"/>
        <w:ind w:left="789"/>
        <w:rPr>
          <w:rFonts w:ascii="Calibri" w:hAnsi="Calibri"/>
          <w:b/>
        </w:rPr>
      </w:pPr>
      <w:bookmarkStart w:id="10" w:name="_Toc349825863"/>
      <w:r>
        <w:rPr>
          <w:rFonts w:ascii="Calibri" w:hAnsi="Calibri"/>
          <w:b/>
        </w:rPr>
        <w:t>Communications P</w:t>
      </w:r>
      <w:r w:rsidR="0062355E" w:rsidRPr="00EB684F">
        <w:rPr>
          <w:rFonts w:ascii="Calibri" w:hAnsi="Calibri"/>
          <w:b/>
        </w:rPr>
        <w:t>lan</w:t>
      </w:r>
      <w:bookmarkEnd w:id="10"/>
    </w:p>
    <w:p w14:paraId="3E7266C0" w14:textId="123CD233" w:rsidR="003D5580" w:rsidRPr="00CB6163" w:rsidRDefault="003C77E7" w:rsidP="00720845">
      <w:pPr>
        <w:pStyle w:val="BodyContent"/>
        <w:jc w:val="both"/>
        <w:rPr>
          <w:rFonts w:ascii="Calibri" w:hAnsi="Calibri"/>
        </w:rPr>
      </w:pPr>
      <w:r w:rsidRPr="00CB6163">
        <w:rPr>
          <w:rFonts w:ascii="Calibri" w:hAnsi="Calibri"/>
        </w:rPr>
        <w:t xml:space="preserve">Bishop Gadsden will coordinate with and communicate the status of </w:t>
      </w:r>
      <w:r w:rsidR="003D5580" w:rsidRPr="00CB6163">
        <w:rPr>
          <w:rFonts w:ascii="Calibri" w:hAnsi="Calibri"/>
        </w:rPr>
        <w:t xml:space="preserve">incident response efforts with both internal stakeholders and external organizations as appropriate.  </w:t>
      </w:r>
      <w:r w:rsidRPr="00CB6163">
        <w:rPr>
          <w:rFonts w:ascii="Calibri" w:hAnsi="Calibri"/>
        </w:rPr>
        <w:t xml:space="preserve">All </w:t>
      </w:r>
      <w:r w:rsidRPr="00CB6163">
        <w:rPr>
          <w:rFonts w:ascii="Calibri" w:hAnsi="Calibri"/>
        </w:rPr>
        <w:lastRenderedPageBreak/>
        <w:t>communications and correspondence will be at the discretion of the Bishop Gadsden President and CEO and will be consistent with Bishop Gadsden</w:t>
      </w:r>
      <w:r w:rsidR="003D5580" w:rsidRPr="00CB6163">
        <w:rPr>
          <w:rFonts w:ascii="Calibri" w:hAnsi="Calibri"/>
        </w:rPr>
        <w:t xml:space="preserve"> policy and </w:t>
      </w:r>
      <w:r w:rsidRPr="00CB6163">
        <w:rPr>
          <w:rFonts w:ascii="Calibri" w:hAnsi="Calibri"/>
        </w:rPr>
        <w:t>HIPAA Breach Notification rule. Internal stakeholders and external organizations may include:</w:t>
      </w:r>
    </w:p>
    <w:p w14:paraId="23A8249C" w14:textId="5316F53A" w:rsidR="0062355E" w:rsidRPr="00EB684F" w:rsidRDefault="0062355E" w:rsidP="00EB684F">
      <w:pPr>
        <w:pStyle w:val="Heading3"/>
        <w:ind w:left="1440" w:hanging="540"/>
        <w:rPr>
          <w:rFonts w:ascii="Calibri" w:hAnsi="Calibri"/>
          <w:b/>
        </w:rPr>
      </w:pPr>
      <w:bookmarkStart w:id="11" w:name="_Toc349825864"/>
      <w:r w:rsidRPr="00EB684F">
        <w:rPr>
          <w:rFonts w:ascii="Calibri" w:hAnsi="Calibri"/>
          <w:b/>
        </w:rPr>
        <w:t>Media</w:t>
      </w:r>
      <w:bookmarkEnd w:id="11"/>
    </w:p>
    <w:p w14:paraId="0111301D" w14:textId="31A17086" w:rsidR="005109CE" w:rsidRPr="00CB6163" w:rsidRDefault="003C77E7" w:rsidP="00720845">
      <w:pPr>
        <w:pStyle w:val="BodyContent"/>
        <w:ind w:left="1080"/>
        <w:jc w:val="both"/>
        <w:rPr>
          <w:rFonts w:ascii="Calibri" w:hAnsi="Calibri"/>
        </w:rPr>
      </w:pPr>
      <w:r w:rsidRPr="00CB6163">
        <w:rPr>
          <w:rFonts w:ascii="Calibri" w:hAnsi="Calibri"/>
        </w:rPr>
        <w:t xml:space="preserve">In the event of a breach of unsecured protected health information involving more that 500 </w:t>
      </w:r>
      <w:r w:rsidR="005109CE" w:rsidRPr="00CB6163">
        <w:rPr>
          <w:rFonts w:ascii="Calibri" w:hAnsi="Calibri"/>
        </w:rPr>
        <w:t xml:space="preserve">residents, Bishop Gadsden will provide notification to prominent media outlets serving the state.  The content of the notification will be drafted by the Bishop Gadsden Director of IT and approved by the President and CEO. The </w:t>
      </w:r>
      <w:r w:rsidR="00A317AA" w:rsidRPr="00CB6163">
        <w:rPr>
          <w:rFonts w:ascii="Calibri" w:hAnsi="Calibri"/>
        </w:rPr>
        <w:t>Public Affairs Officer</w:t>
      </w:r>
      <w:r w:rsidR="00E26A51" w:rsidRPr="00CB6163">
        <w:rPr>
          <w:rFonts w:ascii="Calibri" w:hAnsi="Calibri"/>
        </w:rPr>
        <w:t xml:space="preserve"> (Kimberly Borts </w:t>
      </w:r>
      <w:r w:rsidR="00E26A51" w:rsidRPr="00CB6163">
        <w:rPr>
          <w:rFonts w:ascii="Calibri" w:eastAsia="Times New Roman" w:hAnsi="Calibri" w:cs="Times New Roman ;color:#1F497D"/>
        </w:rPr>
        <w:t>843 406-6334)</w:t>
      </w:r>
      <w:r w:rsidR="00E26A51" w:rsidRPr="00CB6163">
        <w:rPr>
          <w:rFonts w:ascii="Calibri" w:hAnsi="Calibri"/>
        </w:rPr>
        <w:t xml:space="preserve"> </w:t>
      </w:r>
      <w:r w:rsidR="005109CE" w:rsidRPr="00CB6163">
        <w:rPr>
          <w:rFonts w:ascii="Calibri" w:hAnsi="Calibri"/>
        </w:rPr>
        <w:t>will disseminate the notification and serve as the Point of Contact for all media inquiries.  Coordination and correspondence with the media will be consistent with Bishop Gadsden Policies and Procedures, including:</w:t>
      </w:r>
    </w:p>
    <w:p w14:paraId="7B3F5FF0" w14:textId="5D90F037" w:rsidR="003C77E7" w:rsidRPr="00CB6163" w:rsidRDefault="005109CE" w:rsidP="00FC06A0">
      <w:pPr>
        <w:pStyle w:val="BodyContent"/>
        <w:numPr>
          <w:ilvl w:val="1"/>
          <w:numId w:val="6"/>
        </w:numPr>
        <w:jc w:val="both"/>
        <w:rPr>
          <w:rFonts w:ascii="Calibri" w:hAnsi="Calibri"/>
        </w:rPr>
      </w:pPr>
      <w:r w:rsidRPr="00CB6163">
        <w:rPr>
          <w:rFonts w:ascii="Calibri" w:hAnsi="Calibri"/>
        </w:rPr>
        <w:t>Notification to Media: Timeliness of Notification (45 CFR 164.406(b))</w:t>
      </w:r>
    </w:p>
    <w:p w14:paraId="1C5C5DB3" w14:textId="70B32C70" w:rsidR="005109CE" w:rsidRPr="00CB6163" w:rsidRDefault="005109CE" w:rsidP="00FC06A0">
      <w:pPr>
        <w:pStyle w:val="BodyContent"/>
        <w:numPr>
          <w:ilvl w:val="1"/>
          <w:numId w:val="6"/>
        </w:numPr>
        <w:jc w:val="both"/>
        <w:rPr>
          <w:rFonts w:ascii="Calibri" w:hAnsi="Calibri"/>
        </w:rPr>
      </w:pPr>
      <w:r w:rsidRPr="00CB6163">
        <w:rPr>
          <w:rFonts w:ascii="Calibri" w:hAnsi="Calibri"/>
        </w:rPr>
        <w:t>Notification to Media: Content of Notification (45 CFR 164.406(c))</w:t>
      </w:r>
    </w:p>
    <w:p w14:paraId="04914021" w14:textId="4B72DCE7" w:rsidR="0062355E" w:rsidRPr="00EB684F" w:rsidRDefault="00FF1056" w:rsidP="00EB684F">
      <w:pPr>
        <w:pStyle w:val="Heading3"/>
        <w:ind w:left="1440" w:hanging="540"/>
        <w:rPr>
          <w:rFonts w:ascii="Calibri" w:hAnsi="Calibri"/>
          <w:b/>
        </w:rPr>
      </w:pPr>
      <w:bookmarkStart w:id="12" w:name="_Toc349825865"/>
      <w:r>
        <w:rPr>
          <w:rFonts w:ascii="Calibri" w:hAnsi="Calibri"/>
          <w:b/>
        </w:rPr>
        <w:t>Law E</w:t>
      </w:r>
      <w:r w:rsidR="0062355E" w:rsidRPr="00EB684F">
        <w:rPr>
          <w:rFonts w:ascii="Calibri" w:hAnsi="Calibri"/>
          <w:b/>
        </w:rPr>
        <w:t>nforcement</w:t>
      </w:r>
      <w:bookmarkEnd w:id="12"/>
    </w:p>
    <w:p w14:paraId="24BCB801" w14:textId="0A4F9B08" w:rsidR="005109CE" w:rsidRPr="00CB6163" w:rsidRDefault="005109CE" w:rsidP="00720845">
      <w:pPr>
        <w:pStyle w:val="BodyContent"/>
        <w:ind w:left="1080"/>
        <w:jc w:val="both"/>
        <w:rPr>
          <w:rFonts w:ascii="Calibri" w:hAnsi="Calibri"/>
        </w:rPr>
      </w:pPr>
      <w:r w:rsidRPr="00CB6163">
        <w:rPr>
          <w:rFonts w:ascii="Calibri" w:hAnsi="Calibri"/>
        </w:rPr>
        <w:t>Bishop Gadsden will coordinate with Local, State, and Federal law enforcement as appropriate.  The Bishop Gadsden Security Officer will serve as the Point of Contact (POC) for all communication and correspondence.  In the event that the incident involves Bishop Gadsden resources located in another state</w:t>
      </w:r>
      <w:r w:rsidR="00980ED6" w:rsidRPr="00CB6163">
        <w:rPr>
          <w:rFonts w:ascii="Calibri" w:hAnsi="Calibri"/>
        </w:rPr>
        <w:t xml:space="preserve"> (ie. backup), the POC will engage that States’ law enforcement as appropriate.</w:t>
      </w:r>
    </w:p>
    <w:p w14:paraId="01D459EC" w14:textId="3C0DAA12" w:rsidR="0062355E" w:rsidRPr="00EB684F" w:rsidRDefault="0062355E" w:rsidP="00EB684F">
      <w:pPr>
        <w:pStyle w:val="Heading3"/>
        <w:ind w:left="1440" w:hanging="540"/>
        <w:rPr>
          <w:rFonts w:ascii="Calibri" w:hAnsi="Calibri"/>
          <w:b/>
        </w:rPr>
      </w:pPr>
      <w:bookmarkStart w:id="13" w:name="_Toc349825866"/>
      <w:r w:rsidRPr="00EB684F">
        <w:rPr>
          <w:rFonts w:ascii="Calibri" w:hAnsi="Calibri"/>
          <w:b/>
        </w:rPr>
        <w:t>Vendors</w:t>
      </w:r>
      <w:r w:rsidR="000A252C" w:rsidRPr="00EB684F">
        <w:rPr>
          <w:rFonts w:ascii="Calibri" w:hAnsi="Calibri"/>
          <w:b/>
        </w:rPr>
        <w:t xml:space="preserve"> (ISP, owner of attacker IP, etc.)</w:t>
      </w:r>
      <w:bookmarkEnd w:id="13"/>
    </w:p>
    <w:p w14:paraId="6F90E732" w14:textId="7F782CDA" w:rsidR="00980ED6" w:rsidRPr="00CB6163" w:rsidRDefault="00980ED6" w:rsidP="00720845">
      <w:pPr>
        <w:pStyle w:val="BodyContent"/>
        <w:ind w:left="1080"/>
        <w:jc w:val="both"/>
        <w:rPr>
          <w:rFonts w:ascii="Calibri" w:hAnsi="Calibri"/>
        </w:rPr>
      </w:pPr>
      <w:r w:rsidRPr="00CB6163">
        <w:rPr>
          <w:rFonts w:ascii="Calibri" w:hAnsi="Calibri"/>
        </w:rPr>
        <w:t>Bishop Gadsden will coordinate with vendors and third party service providers throughout the incident handling process.  This will include the Internet Service Provider (ISP) for the attacking IP.  The data gathered will help to determine the scope and timeline for the breach</w:t>
      </w:r>
    </w:p>
    <w:p w14:paraId="65EB13A9" w14:textId="56FCFA5F" w:rsidR="003D7D08" w:rsidRPr="00CB6163" w:rsidRDefault="00FF1056" w:rsidP="00EB684F">
      <w:pPr>
        <w:pStyle w:val="Heading3"/>
        <w:ind w:left="2160" w:hanging="1260"/>
        <w:rPr>
          <w:rFonts w:ascii="Calibri" w:hAnsi="Calibri"/>
          <w:b/>
        </w:rPr>
      </w:pPr>
      <w:bookmarkStart w:id="14" w:name="_Toc349825867"/>
      <w:r>
        <w:rPr>
          <w:rFonts w:ascii="Calibri" w:hAnsi="Calibri"/>
          <w:b/>
        </w:rPr>
        <w:t>BG D</w:t>
      </w:r>
      <w:r w:rsidR="003D7D08" w:rsidRPr="00CB6163">
        <w:rPr>
          <w:rFonts w:ascii="Calibri" w:hAnsi="Calibri"/>
          <w:b/>
        </w:rPr>
        <w:t>epartments</w:t>
      </w:r>
      <w:bookmarkEnd w:id="14"/>
    </w:p>
    <w:p w14:paraId="2AD04CD8" w14:textId="133CE24D" w:rsidR="00980ED6" w:rsidRPr="00CB6163" w:rsidRDefault="00980ED6" w:rsidP="00720845">
      <w:pPr>
        <w:pStyle w:val="BodyContent"/>
        <w:ind w:left="1080"/>
        <w:jc w:val="both"/>
        <w:rPr>
          <w:rFonts w:ascii="Calibri" w:hAnsi="Calibri"/>
        </w:rPr>
      </w:pPr>
      <w:r w:rsidRPr="00CB6163">
        <w:rPr>
          <w:rFonts w:ascii="Calibri" w:hAnsi="Calibri"/>
        </w:rPr>
        <w:t xml:space="preserve">The Bishop Gadsden Director of IT, Information Systems Security Officer, and Security Supervisor will provide updates and status to Bishop Gadsden leadership. The </w:t>
      </w:r>
      <w:r w:rsidR="006A6994" w:rsidRPr="00CB6163">
        <w:rPr>
          <w:rFonts w:ascii="Calibri" w:hAnsi="Calibri"/>
        </w:rPr>
        <w:t xml:space="preserve">frequency of the updates </w:t>
      </w:r>
      <w:r w:rsidRPr="00CB6163">
        <w:rPr>
          <w:rFonts w:ascii="Calibri" w:hAnsi="Calibri"/>
        </w:rPr>
        <w:t>will depend on the severity of the incident</w:t>
      </w:r>
      <w:r w:rsidR="006A6994" w:rsidRPr="00CB6163">
        <w:rPr>
          <w:rFonts w:ascii="Calibri" w:hAnsi="Calibri"/>
        </w:rPr>
        <w:t xml:space="preserve"> and the current stage of the incident handling response. The Director of IT will maintain an official statement regarding the scope, severity, and status of the incident.  This statement will serve as a living document that can be updated as the incident is investigated and closed. </w:t>
      </w:r>
    </w:p>
    <w:p w14:paraId="37B7175D" w14:textId="33A87CF5" w:rsidR="0062355E" w:rsidRPr="00CB6163" w:rsidRDefault="0062355E" w:rsidP="00EB684F">
      <w:pPr>
        <w:pStyle w:val="Heading3"/>
        <w:ind w:left="1440" w:hanging="540"/>
        <w:rPr>
          <w:rFonts w:ascii="Calibri" w:hAnsi="Calibri"/>
          <w:b/>
        </w:rPr>
      </w:pPr>
      <w:bookmarkStart w:id="15" w:name="_Toc349825868"/>
      <w:r w:rsidRPr="00CB6163">
        <w:rPr>
          <w:rFonts w:ascii="Calibri" w:hAnsi="Calibri"/>
          <w:b/>
        </w:rPr>
        <w:t>Victims</w:t>
      </w:r>
      <w:bookmarkEnd w:id="15"/>
    </w:p>
    <w:p w14:paraId="2A4DF30B" w14:textId="117364F4" w:rsidR="00980ED6" w:rsidRPr="00CB6163" w:rsidRDefault="006A6994" w:rsidP="00720845">
      <w:pPr>
        <w:pStyle w:val="BodyContent"/>
        <w:ind w:left="1080"/>
        <w:jc w:val="both"/>
        <w:rPr>
          <w:rFonts w:ascii="Calibri" w:hAnsi="Calibri"/>
        </w:rPr>
      </w:pPr>
      <w:r w:rsidRPr="00CB6163">
        <w:rPr>
          <w:rFonts w:ascii="Calibri" w:hAnsi="Calibri"/>
        </w:rPr>
        <w:lastRenderedPageBreak/>
        <w:t xml:space="preserve">Coordination and correspondence with </w:t>
      </w:r>
      <w:r w:rsidR="00164C2C" w:rsidRPr="00CB6163">
        <w:rPr>
          <w:rFonts w:ascii="Calibri" w:hAnsi="Calibri"/>
        </w:rPr>
        <w:t>victims</w:t>
      </w:r>
      <w:r w:rsidRPr="00CB6163">
        <w:rPr>
          <w:rFonts w:ascii="Calibri" w:hAnsi="Calibri"/>
        </w:rPr>
        <w:t xml:space="preserve"> will be consistent with Bishop Gadsden Policies and Procedures, including:</w:t>
      </w:r>
    </w:p>
    <w:p w14:paraId="713C4EDA" w14:textId="77FAF0F4" w:rsidR="006A6994" w:rsidRPr="00CB6163" w:rsidRDefault="006A6994" w:rsidP="00FC06A0">
      <w:pPr>
        <w:pStyle w:val="BodyContent"/>
        <w:numPr>
          <w:ilvl w:val="1"/>
          <w:numId w:val="6"/>
        </w:numPr>
        <w:rPr>
          <w:rFonts w:ascii="Calibri" w:hAnsi="Calibri"/>
        </w:rPr>
      </w:pPr>
      <w:r w:rsidRPr="00CB6163">
        <w:rPr>
          <w:rFonts w:ascii="Calibri" w:hAnsi="Calibri"/>
        </w:rPr>
        <w:t>Notification to Individuals: Timeliness of Notification (45 CFR 164.404(b))</w:t>
      </w:r>
    </w:p>
    <w:p w14:paraId="4BB7239F" w14:textId="22A146CF" w:rsidR="006A6994" w:rsidRPr="00CB6163" w:rsidRDefault="006A6994" w:rsidP="00FC06A0">
      <w:pPr>
        <w:pStyle w:val="BodyContent"/>
        <w:numPr>
          <w:ilvl w:val="1"/>
          <w:numId w:val="6"/>
        </w:numPr>
        <w:rPr>
          <w:rFonts w:ascii="Calibri" w:hAnsi="Calibri"/>
        </w:rPr>
      </w:pPr>
      <w:r w:rsidRPr="00CB6163">
        <w:rPr>
          <w:rFonts w:ascii="Calibri" w:hAnsi="Calibri"/>
        </w:rPr>
        <w:t>Notification to Individuals: Content of Notification—Elements (45 CFR 164.404(c)(1))</w:t>
      </w:r>
    </w:p>
    <w:p w14:paraId="4F275AFF" w14:textId="34FA7F79" w:rsidR="006A6994" w:rsidRPr="00CB6163" w:rsidRDefault="006A6994" w:rsidP="00FC06A0">
      <w:pPr>
        <w:pStyle w:val="BodyContent"/>
        <w:numPr>
          <w:ilvl w:val="1"/>
          <w:numId w:val="6"/>
        </w:numPr>
        <w:rPr>
          <w:rFonts w:ascii="Calibri" w:hAnsi="Calibri"/>
        </w:rPr>
      </w:pPr>
      <w:r w:rsidRPr="00CB6163">
        <w:rPr>
          <w:rFonts w:ascii="Calibri" w:hAnsi="Calibri"/>
        </w:rPr>
        <w:t>Notification to Individuals: Content of Notification—Plain Language Requirement (45 CFR 164.404(c)(2))</w:t>
      </w:r>
    </w:p>
    <w:p w14:paraId="06EF4166" w14:textId="7AE43A69" w:rsidR="006A6994" w:rsidRPr="00CB6163" w:rsidRDefault="006A6994" w:rsidP="00FC06A0">
      <w:pPr>
        <w:pStyle w:val="BodyContent"/>
        <w:numPr>
          <w:ilvl w:val="1"/>
          <w:numId w:val="6"/>
        </w:numPr>
        <w:rPr>
          <w:rFonts w:ascii="Calibri" w:hAnsi="Calibri"/>
        </w:rPr>
      </w:pPr>
      <w:r w:rsidRPr="00CB6163">
        <w:rPr>
          <w:rFonts w:ascii="Calibri" w:hAnsi="Calibri"/>
        </w:rPr>
        <w:t>Notification to Individuals: Methods of Individual Notification—Written Notice (45 CFR 164.404(d)(1))</w:t>
      </w:r>
    </w:p>
    <w:p w14:paraId="486FCBCA" w14:textId="33428573" w:rsidR="006A6994" w:rsidRPr="00CB6163" w:rsidRDefault="006A6994" w:rsidP="00FC06A0">
      <w:pPr>
        <w:pStyle w:val="BodyContent"/>
        <w:numPr>
          <w:ilvl w:val="1"/>
          <w:numId w:val="6"/>
        </w:numPr>
        <w:rPr>
          <w:rFonts w:ascii="Calibri" w:hAnsi="Calibri"/>
        </w:rPr>
      </w:pPr>
      <w:r w:rsidRPr="00CB6163">
        <w:rPr>
          <w:rFonts w:ascii="Calibri" w:hAnsi="Calibri"/>
        </w:rPr>
        <w:t>Notification to Individuals: Methods of Individual Notification—Substitute Notice (45 CFR 164.404(d)(2))</w:t>
      </w:r>
    </w:p>
    <w:p w14:paraId="002C7D12" w14:textId="116F64A0" w:rsidR="006A6994" w:rsidRPr="00CB6163" w:rsidRDefault="006A6994" w:rsidP="00FC06A0">
      <w:pPr>
        <w:pStyle w:val="BodyContent"/>
        <w:numPr>
          <w:ilvl w:val="1"/>
          <w:numId w:val="6"/>
        </w:numPr>
        <w:rPr>
          <w:rFonts w:ascii="Calibri" w:hAnsi="Calibri"/>
        </w:rPr>
      </w:pPr>
      <w:r w:rsidRPr="00CB6163">
        <w:rPr>
          <w:rFonts w:ascii="Calibri" w:hAnsi="Calibri"/>
        </w:rPr>
        <w:t>Notification to Individuals: Methods of Individual Notification—Additional Notice in Urgent Situations (45 CFR 164.404(d)(3))</w:t>
      </w:r>
    </w:p>
    <w:p w14:paraId="49A25ECA" w14:textId="459AFECE" w:rsidR="0062355E" w:rsidRPr="00CB6163" w:rsidRDefault="00FF1056" w:rsidP="00EB684F">
      <w:pPr>
        <w:pStyle w:val="Heading3"/>
        <w:ind w:left="1440" w:hanging="540"/>
        <w:rPr>
          <w:rFonts w:ascii="Calibri" w:hAnsi="Calibri"/>
          <w:b/>
        </w:rPr>
      </w:pPr>
      <w:bookmarkStart w:id="16" w:name="_Toc349825869"/>
      <w:r>
        <w:rPr>
          <w:rFonts w:ascii="Calibri" w:hAnsi="Calibri"/>
          <w:b/>
        </w:rPr>
        <w:t>Regulators</w:t>
      </w:r>
      <w:bookmarkEnd w:id="16"/>
    </w:p>
    <w:p w14:paraId="74040184" w14:textId="4CE6E3C9" w:rsidR="00164C2C" w:rsidRPr="00CB6163" w:rsidRDefault="00164C2C" w:rsidP="00720845">
      <w:pPr>
        <w:pStyle w:val="BodyContent"/>
        <w:ind w:left="1080"/>
        <w:jc w:val="both"/>
        <w:rPr>
          <w:rFonts w:ascii="Calibri" w:hAnsi="Calibri"/>
        </w:rPr>
      </w:pPr>
      <w:r w:rsidRPr="00CB6163">
        <w:rPr>
          <w:rFonts w:ascii="Calibri" w:hAnsi="Calibri"/>
        </w:rPr>
        <w:t>Coordination and correspondence with regulatory bodies will be consistent with Bishop Gadsden Policies and Procedures, including:</w:t>
      </w:r>
    </w:p>
    <w:p w14:paraId="50BD7062" w14:textId="2BAF9E04" w:rsidR="00164C2C" w:rsidRPr="00CB6163" w:rsidRDefault="00DF7C06" w:rsidP="00FC06A0">
      <w:pPr>
        <w:pStyle w:val="BodyContent"/>
        <w:numPr>
          <w:ilvl w:val="1"/>
          <w:numId w:val="6"/>
        </w:numPr>
        <w:rPr>
          <w:rFonts w:ascii="Calibri" w:hAnsi="Calibri"/>
        </w:rPr>
      </w:pPr>
      <w:r w:rsidRPr="00CB6163">
        <w:rPr>
          <w:rFonts w:ascii="Calibri" w:hAnsi="Calibri"/>
        </w:rPr>
        <w:t>Notification to the Secretary: Breaches Involving 500 or More Individuals (45 CFR 164.408(a) &amp; (b))</w:t>
      </w:r>
    </w:p>
    <w:p w14:paraId="626A5BA2" w14:textId="45ACED8F" w:rsidR="00DF7C06" w:rsidRPr="00CB6163" w:rsidRDefault="00DF7C06" w:rsidP="00FC06A0">
      <w:pPr>
        <w:pStyle w:val="BodyContent"/>
        <w:numPr>
          <w:ilvl w:val="1"/>
          <w:numId w:val="6"/>
        </w:numPr>
        <w:rPr>
          <w:rFonts w:ascii="Calibri" w:hAnsi="Calibri"/>
        </w:rPr>
      </w:pPr>
      <w:r w:rsidRPr="00CB6163">
        <w:rPr>
          <w:rFonts w:ascii="Calibri" w:hAnsi="Calibri"/>
        </w:rPr>
        <w:t xml:space="preserve">Notification to the Secretary: Breaches Involving Less than 500 Individuals (45 CFR 164.408(a) &amp; (c)) </w:t>
      </w:r>
    </w:p>
    <w:p w14:paraId="1103AD24" w14:textId="5CD99F4B" w:rsidR="0062355E" w:rsidRPr="00EB684F" w:rsidRDefault="00467F3F" w:rsidP="00980ED6">
      <w:pPr>
        <w:pStyle w:val="Heading2"/>
        <w:ind w:left="789"/>
        <w:rPr>
          <w:rFonts w:ascii="Calibri" w:hAnsi="Calibri"/>
          <w:b/>
        </w:rPr>
      </w:pPr>
      <w:bookmarkStart w:id="17" w:name="_Toc349825870"/>
      <w:r w:rsidRPr="00EB684F">
        <w:rPr>
          <w:rFonts w:ascii="Calibri" w:hAnsi="Calibri"/>
          <w:b/>
        </w:rPr>
        <w:t>Internal A</w:t>
      </w:r>
      <w:r w:rsidR="00564F51" w:rsidRPr="00EB684F">
        <w:rPr>
          <w:rFonts w:ascii="Calibri" w:hAnsi="Calibri"/>
          <w:b/>
        </w:rPr>
        <w:t>ctivities</w:t>
      </w:r>
      <w:r w:rsidRPr="00EB684F">
        <w:rPr>
          <w:rFonts w:ascii="Calibri" w:hAnsi="Calibri"/>
          <w:b/>
        </w:rPr>
        <w:t xml:space="preserve"> and Contracted Services</w:t>
      </w:r>
      <w:bookmarkEnd w:id="17"/>
    </w:p>
    <w:p w14:paraId="161262BC" w14:textId="1B084E04" w:rsidR="00564F51" w:rsidRPr="00CB6163" w:rsidRDefault="00564F51" w:rsidP="00564F51">
      <w:pPr>
        <w:pStyle w:val="BodyContent"/>
        <w:jc w:val="both"/>
        <w:rPr>
          <w:rFonts w:ascii="Calibri" w:hAnsi="Calibri"/>
        </w:rPr>
      </w:pPr>
      <w:r w:rsidRPr="00CB6163">
        <w:rPr>
          <w:rFonts w:ascii="Calibri" w:hAnsi="Calibri"/>
        </w:rPr>
        <w:t xml:space="preserve">Bishop Gadsden will execute the following in support of </w:t>
      </w:r>
      <w:r w:rsidR="00467F3F" w:rsidRPr="00CB6163">
        <w:rPr>
          <w:rFonts w:ascii="Calibri" w:hAnsi="Calibri"/>
        </w:rPr>
        <w:t>the Incident R</w:t>
      </w:r>
      <w:r w:rsidRPr="00CB6163">
        <w:rPr>
          <w:rFonts w:ascii="Calibri" w:hAnsi="Calibri"/>
        </w:rPr>
        <w:t xml:space="preserve">esponse process and procedures: </w:t>
      </w:r>
    </w:p>
    <w:p w14:paraId="44EEE545" w14:textId="28121BFA" w:rsidR="003D7D08" w:rsidRPr="00CB6163" w:rsidRDefault="00564F51" w:rsidP="00FC06A0">
      <w:pPr>
        <w:pStyle w:val="BodyContent"/>
        <w:numPr>
          <w:ilvl w:val="1"/>
          <w:numId w:val="6"/>
        </w:numPr>
        <w:rPr>
          <w:rFonts w:ascii="Calibri" w:hAnsi="Calibri"/>
        </w:rPr>
      </w:pPr>
      <w:r w:rsidRPr="00CB6163">
        <w:rPr>
          <w:rFonts w:ascii="Calibri" w:hAnsi="Calibri"/>
        </w:rPr>
        <w:t>Communication with internal stakeholders and external organizations</w:t>
      </w:r>
    </w:p>
    <w:p w14:paraId="6C53F4FF" w14:textId="76967253" w:rsidR="00564F51" w:rsidRPr="00CB6163" w:rsidRDefault="00564F51" w:rsidP="00FC06A0">
      <w:pPr>
        <w:pStyle w:val="BodyContent"/>
        <w:numPr>
          <w:ilvl w:val="1"/>
          <w:numId w:val="6"/>
        </w:numPr>
        <w:rPr>
          <w:rFonts w:ascii="Calibri" w:hAnsi="Calibri"/>
        </w:rPr>
      </w:pPr>
      <w:r w:rsidRPr="00CB6163">
        <w:rPr>
          <w:rFonts w:ascii="Calibri" w:hAnsi="Calibri"/>
        </w:rPr>
        <w:t>Determination of severity, scope, and priority for the incident(s)</w:t>
      </w:r>
    </w:p>
    <w:p w14:paraId="6F2289C3" w14:textId="72EB2F10" w:rsidR="00564F51" w:rsidRPr="00CB6163" w:rsidRDefault="00564F51" w:rsidP="00FC06A0">
      <w:pPr>
        <w:pStyle w:val="BodyContent"/>
        <w:numPr>
          <w:ilvl w:val="1"/>
          <w:numId w:val="6"/>
        </w:numPr>
        <w:rPr>
          <w:rFonts w:ascii="Calibri" w:hAnsi="Calibri"/>
        </w:rPr>
      </w:pPr>
      <w:r w:rsidRPr="00CB6163">
        <w:rPr>
          <w:rFonts w:ascii="Calibri" w:hAnsi="Calibri"/>
        </w:rPr>
        <w:t>Initial log collection and analysis for affected endpoints</w:t>
      </w:r>
      <w:r w:rsidR="00467F3F" w:rsidRPr="00CB6163">
        <w:rPr>
          <w:rFonts w:ascii="Calibri" w:hAnsi="Calibri"/>
        </w:rPr>
        <w:t xml:space="preserve"> and user accounts</w:t>
      </w:r>
    </w:p>
    <w:p w14:paraId="1BDE661B" w14:textId="44E1C83E" w:rsidR="003D7D08" w:rsidRPr="00CB6163" w:rsidRDefault="00467F3F" w:rsidP="00FC06A0">
      <w:pPr>
        <w:pStyle w:val="BodyContent"/>
        <w:numPr>
          <w:ilvl w:val="1"/>
          <w:numId w:val="6"/>
        </w:numPr>
        <w:rPr>
          <w:rFonts w:ascii="Calibri" w:hAnsi="Calibri"/>
        </w:rPr>
      </w:pPr>
      <w:r w:rsidRPr="00CB6163">
        <w:rPr>
          <w:rFonts w:ascii="Calibri" w:hAnsi="Calibri"/>
        </w:rPr>
        <w:t>Containment for affected endpoints and user accounts</w:t>
      </w:r>
    </w:p>
    <w:p w14:paraId="23C0E301" w14:textId="30673F23" w:rsidR="00467F3F" w:rsidRPr="00CB6163" w:rsidRDefault="00467F3F" w:rsidP="00FC06A0">
      <w:pPr>
        <w:pStyle w:val="BodyContent"/>
        <w:numPr>
          <w:ilvl w:val="1"/>
          <w:numId w:val="6"/>
        </w:numPr>
        <w:rPr>
          <w:rFonts w:ascii="Calibri" w:hAnsi="Calibri"/>
        </w:rPr>
      </w:pPr>
      <w:r w:rsidRPr="00CB6163">
        <w:rPr>
          <w:rFonts w:ascii="Calibri" w:hAnsi="Calibri"/>
        </w:rPr>
        <w:t>Documenting incident details, timeline, and status</w:t>
      </w:r>
    </w:p>
    <w:p w14:paraId="39D16046" w14:textId="52E529DE" w:rsidR="00467F3F" w:rsidRPr="00CB6163" w:rsidRDefault="00467F3F" w:rsidP="00FC06A0">
      <w:pPr>
        <w:pStyle w:val="BodyContent"/>
        <w:numPr>
          <w:ilvl w:val="1"/>
          <w:numId w:val="6"/>
        </w:numPr>
        <w:rPr>
          <w:rFonts w:ascii="Calibri" w:hAnsi="Calibri"/>
        </w:rPr>
      </w:pPr>
      <w:r w:rsidRPr="00CB6163">
        <w:rPr>
          <w:rFonts w:ascii="Calibri" w:hAnsi="Calibri"/>
        </w:rPr>
        <w:t>Gathering forensic evidence and artifacts including volatile and non-volatile storage</w:t>
      </w:r>
    </w:p>
    <w:p w14:paraId="6875AAAB" w14:textId="48FDEC0C" w:rsidR="00C93AA7" w:rsidRPr="00CB6163" w:rsidRDefault="00C93AA7" w:rsidP="00FC06A0">
      <w:pPr>
        <w:pStyle w:val="BodyContent"/>
        <w:numPr>
          <w:ilvl w:val="1"/>
          <w:numId w:val="6"/>
        </w:numPr>
        <w:rPr>
          <w:rFonts w:ascii="Calibri" w:hAnsi="Calibri"/>
        </w:rPr>
      </w:pPr>
      <w:r w:rsidRPr="00CB6163">
        <w:rPr>
          <w:rFonts w:ascii="Calibri" w:hAnsi="Calibri"/>
        </w:rPr>
        <w:lastRenderedPageBreak/>
        <w:t>Eradication and Recovery</w:t>
      </w:r>
    </w:p>
    <w:p w14:paraId="0F9B9B11" w14:textId="3C84141F" w:rsidR="0062355E" w:rsidRPr="00CB6163" w:rsidRDefault="00467F3F" w:rsidP="00467F3F">
      <w:pPr>
        <w:pStyle w:val="BodyContent"/>
        <w:rPr>
          <w:rFonts w:ascii="Calibri" w:hAnsi="Calibri"/>
        </w:rPr>
      </w:pPr>
      <w:r w:rsidRPr="00CB6163">
        <w:rPr>
          <w:rFonts w:ascii="Calibri" w:hAnsi="Calibri"/>
        </w:rPr>
        <w:t>Bishop Gadsden may contract with Cybersecurity Service Providers for the following services depending on the severity and scope of the incident:</w:t>
      </w:r>
    </w:p>
    <w:p w14:paraId="3FE1B145" w14:textId="55CA7785" w:rsidR="00467F3F" w:rsidRPr="00CB6163" w:rsidRDefault="00467F3F" w:rsidP="00FC06A0">
      <w:pPr>
        <w:pStyle w:val="BodyContent"/>
        <w:numPr>
          <w:ilvl w:val="1"/>
          <w:numId w:val="6"/>
        </w:numPr>
        <w:rPr>
          <w:rFonts w:ascii="Calibri" w:hAnsi="Calibri"/>
        </w:rPr>
      </w:pPr>
      <w:r w:rsidRPr="00CB6163">
        <w:rPr>
          <w:rFonts w:ascii="Calibri" w:hAnsi="Calibri"/>
        </w:rPr>
        <w:t>Forensic Analysis</w:t>
      </w:r>
    </w:p>
    <w:p w14:paraId="4658BFFF" w14:textId="75EA9FC1" w:rsidR="00467F3F" w:rsidRPr="00CB6163" w:rsidRDefault="00467F3F" w:rsidP="00FC06A0">
      <w:pPr>
        <w:pStyle w:val="BodyContent"/>
        <w:numPr>
          <w:ilvl w:val="1"/>
          <w:numId w:val="6"/>
        </w:numPr>
        <w:rPr>
          <w:rFonts w:ascii="Calibri" w:hAnsi="Calibri"/>
        </w:rPr>
      </w:pPr>
      <w:r w:rsidRPr="00CB6163">
        <w:rPr>
          <w:rFonts w:ascii="Calibri" w:hAnsi="Calibri"/>
        </w:rPr>
        <w:t>Log Analysis</w:t>
      </w:r>
    </w:p>
    <w:p w14:paraId="53581A02" w14:textId="44FFB7EF" w:rsidR="00467F3F" w:rsidRPr="00CB6163" w:rsidRDefault="00467F3F" w:rsidP="00FC06A0">
      <w:pPr>
        <w:pStyle w:val="BodyContent"/>
        <w:numPr>
          <w:ilvl w:val="1"/>
          <w:numId w:val="6"/>
        </w:numPr>
        <w:rPr>
          <w:rFonts w:ascii="Calibri" w:hAnsi="Calibri"/>
        </w:rPr>
      </w:pPr>
      <w:r w:rsidRPr="00CB6163">
        <w:rPr>
          <w:rFonts w:ascii="Calibri" w:hAnsi="Calibri"/>
        </w:rPr>
        <w:t>Timeline creation</w:t>
      </w:r>
    </w:p>
    <w:p w14:paraId="21401961" w14:textId="13BACB49" w:rsidR="00467F3F" w:rsidRPr="00CB6163" w:rsidRDefault="00467F3F" w:rsidP="00FC06A0">
      <w:pPr>
        <w:pStyle w:val="BodyContent"/>
        <w:numPr>
          <w:ilvl w:val="1"/>
          <w:numId w:val="6"/>
        </w:numPr>
        <w:rPr>
          <w:rFonts w:ascii="Calibri" w:hAnsi="Calibri"/>
        </w:rPr>
      </w:pPr>
      <w:r w:rsidRPr="00CB6163">
        <w:rPr>
          <w:rFonts w:ascii="Calibri" w:hAnsi="Calibri"/>
        </w:rPr>
        <w:t>Malware Analysis</w:t>
      </w:r>
    </w:p>
    <w:p w14:paraId="331A51A4" w14:textId="50107BF9" w:rsidR="00467F3F" w:rsidRPr="00CB6163" w:rsidRDefault="00467F3F" w:rsidP="00FC06A0">
      <w:pPr>
        <w:pStyle w:val="BodyContent"/>
        <w:numPr>
          <w:ilvl w:val="1"/>
          <w:numId w:val="6"/>
        </w:numPr>
        <w:rPr>
          <w:rFonts w:ascii="Calibri" w:hAnsi="Calibri"/>
        </w:rPr>
      </w:pPr>
      <w:r w:rsidRPr="00CB6163">
        <w:rPr>
          <w:rFonts w:ascii="Calibri" w:hAnsi="Calibri"/>
        </w:rPr>
        <w:t>Network Traffic Analysis</w:t>
      </w:r>
    </w:p>
    <w:p w14:paraId="001566AC" w14:textId="2370CEBC" w:rsidR="00467F3F" w:rsidRPr="00CB6163" w:rsidRDefault="00467F3F" w:rsidP="00FC06A0">
      <w:pPr>
        <w:pStyle w:val="BodyContent"/>
        <w:numPr>
          <w:ilvl w:val="1"/>
          <w:numId w:val="6"/>
        </w:numPr>
        <w:rPr>
          <w:rFonts w:ascii="Calibri" w:hAnsi="Calibri"/>
        </w:rPr>
      </w:pPr>
      <w:r w:rsidRPr="00CB6163">
        <w:rPr>
          <w:rFonts w:ascii="Calibri" w:hAnsi="Calibri"/>
        </w:rPr>
        <w:t>Event Correlation</w:t>
      </w:r>
    </w:p>
    <w:p w14:paraId="4946F983" w14:textId="42DEE377" w:rsidR="00C93AA7" w:rsidRPr="00CB6163" w:rsidRDefault="00C93AA7" w:rsidP="00FC06A0">
      <w:pPr>
        <w:pStyle w:val="BodyContent"/>
        <w:numPr>
          <w:ilvl w:val="1"/>
          <w:numId w:val="6"/>
        </w:numPr>
        <w:rPr>
          <w:rFonts w:ascii="Calibri" w:hAnsi="Calibri"/>
        </w:rPr>
      </w:pPr>
      <w:r w:rsidRPr="00CB6163">
        <w:rPr>
          <w:rFonts w:ascii="Calibri" w:hAnsi="Calibri"/>
        </w:rPr>
        <w:t>Eradication and Recovery</w:t>
      </w:r>
    </w:p>
    <w:p w14:paraId="082302FD" w14:textId="23ECADD7" w:rsidR="0062355E" w:rsidRPr="00EB684F" w:rsidRDefault="00532B63" w:rsidP="00532B63">
      <w:pPr>
        <w:pStyle w:val="Heading1"/>
        <w:ind w:left="357" w:hanging="357"/>
        <w:rPr>
          <w:rFonts w:ascii="Calibri" w:hAnsi="Calibri"/>
          <w:b/>
          <w:sz w:val="26"/>
          <w:szCs w:val="26"/>
        </w:rPr>
      </w:pPr>
      <w:bookmarkStart w:id="18" w:name="_Toc349825871"/>
      <w:r w:rsidRPr="00EB684F">
        <w:rPr>
          <w:rFonts w:ascii="Calibri" w:hAnsi="Calibri"/>
          <w:b/>
          <w:sz w:val="26"/>
          <w:szCs w:val="26"/>
        </w:rPr>
        <w:t>Procedure(s)</w:t>
      </w:r>
      <w:bookmarkEnd w:id="18"/>
    </w:p>
    <w:p w14:paraId="61B7E683" w14:textId="63EFA981" w:rsidR="004D4F07" w:rsidRPr="00EB684F" w:rsidRDefault="004D4F07" w:rsidP="000D36C5">
      <w:pPr>
        <w:pStyle w:val="Heading2"/>
        <w:ind w:left="789"/>
        <w:rPr>
          <w:rFonts w:ascii="Calibri" w:hAnsi="Calibri"/>
          <w:b/>
        </w:rPr>
      </w:pPr>
      <w:bookmarkStart w:id="19" w:name="_Toc349825872"/>
      <w:r w:rsidRPr="00EB684F">
        <w:rPr>
          <w:rFonts w:ascii="Calibri" w:hAnsi="Calibri"/>
          <w:b/>
        </w:rPr>
        <w:t>Overview</w:t>
      </w:r>
      <w:bookmarkEnd w:id="19"/>
    </w:p>
    <w:p w14:paraId="0CF53426" w14:textId="1250965D" w:rsidR="00F45B01" w:rsidRPr="00CB6163" w:rsidRDefault="00F45B01" w:rsidP="007F3723">
      <w:pPr>
        <w:pStyle w:val="BodyContent"/>
        <w:jc w:val="both"/>
        <w:rPr>
          <w:rFonts w:ascii="Calibri" w:hAnsi="Calibri"/>
        </w:rPr>
      </w:pPr>
      <w:r w:rsidRPr="00CB6163">
        <w:rPr>
          <w:rFonts w:ascii="Calibri" w:hAnsi="Calibri"/>
        </w:rPr>
        <w:t xml:space="preserve">As this capability matures, specific standard operating procedures (SOPs) may be added as appropriate. For example, there may be specific preferred methods and tools for gathering </w:t>
      </w:r>
      <w:r w:rsidR="002F2789" w:rsidRPr="00CB6163">
        <w:rPr>
          <w:rFonts w:ascii="Calibri" w:hAnsi="Calibri"/>
        </w:rPr>
        <w:t xml:space="preserve">volatile storage or doing forensic analysis on a mobile device. </w:t>
      </w:r>
      <w:r w:rsidR="00D74702" w:rsidRPr="00CB6163">
        <w:rPr>
          <w:rFonts w:ascii="Calibri" w:hAnsi="Calibri"/>
        </w:rPr>
        <w:t>However, for this initial increment a</w:t>
      </w:r>
      <w:r w:rsidR="002F2789" w:rsidRPr="00CB6163">
        <w:rPr>
          <w:rFonts w:ascii="Calibri" w:hAnsi="Calibri"/>
        </w:rPr>
        <w:t xml:space="preserve"> general outline for the incident handling procedure is detailed below.  </w:t>
      </w:r>
      <w:r w:rsidRPr="00CB6163">
        <w:rPr>
          <w:rFonts w:ascii="Calibri" w:hAnsi="Calibri"/>
        </w:rPr>
        <w:t xml:space="preserve"> </w:t>
      </w:r>
    </w:p>
    <w:p w14:paraId="67132141" w14:textId="3F5FFB3B" w:rsidR="004D4F07" w:rsidRPr="00EB684F" w:rsidRDefault="004D4F07" w:rsidP="005F510B">
      <w:pPr>
        <w:pStyle w:val="Heading2"/>
        <w:ind w:left="789"/>
        <w:rPr>
          <w:rFonts w:ascii="Calibri" w:hAnsi="Calibri"/>
          <w:b/>
        </w:rPr>
      </w:pPr>
      <w:bookmarkStart w:id="20" w:name="_Toc349825873"/>
      <w:r w:rsidRPr="00EB684F">
        <w:rPr>
          <w:rFonts w:ascii="Calibri" w:hAnsi="Calibri"/>
          <w:b/>
        </w:rPr>
        <w:t>Preparation</w:t>
      </w:r>
      <w:bookmarkEnd w:id="20"/>
    </w:p>
    <w:p w14:paraId="7C46B378" w14:textId="0BE046CC" w:rsidR="004D4F07" w:rsidRPr="00CB6163" w:rsidRDefault="00D74702" w:rsidP="005F510B">
      <w:pPr>
        <w:pStyle w:val="BodyContent"/>
        <w:jc w:val="both"/>
        <w:rPr>
          <w:rFonts w:ascii="Calibri" w:hAnsi="Calibri"/>
        </w:rPr>
      </w:pPr>
      <w:r w:rsidRPr="00CB6163">
        <w:rPr>
          <w:rFonts w:ascii="Calibri" w:hAnsi="Calibri"/>
        </w:rPr>
        <w:t>These activities should be executed by the organization before an incident occurs. They will significantly reduce response times and avoid confusion when the incident occurs.</w:t>
      </w:r>
    </w:p>
    <w:p w14:paraId="05F236ED" w14:textId="77777777" w:rsidR="00EB684F" w:rsidRPr="00EB684F" w:rsidRDefault="00D74702" w:rsidP="00EB684F">
      <w:pPr>
        <w:pStyle w:val="Heading3"/>
        <w:ind w:left="1440" w:hanging="540"/>
        <w:rPr>
          <w:rFonts w:ascii="Calibri" w:hAnsi="Calibri"/>
          <w:b/>
        </w:rPr>
      </w:pPr>
      <w:bookmarkStart w:id="21" w:name="_Toc349825874"/>
      <w:r w:rsidRPr="00EB684F">
        <w:rPr>
          <w:rFonts w:ascii="Calibri" w:hAnsi="Calibri"/>
          <w:b/>
        </w:rPr>
        <w:t>Jump Kit</w:t>
      </w:r>
      <w:bookmarkEnd w:id="21"/>
    </w:p>
    <w:p w14:paraId="6035CAFE" w14:textId="3831C2EB" w:rsidR="004D4F07" w:rsidRPr="00EB684F" w:rsidRDefault="00D74702" w:rsidP="00EB684F">
      <w:pPr>
        <w:pStyle w:val="BodyContent"/>
        <w:ind w:left="1080"/>
        <w:rPr>
          <w:rFonts w:ascii="Calibri" w:hAnsi="Calibri"/>
        </w:rPr>
      </w:pPr>
      <w:r w:rsidRPr="00EB684F">
        <w:rPr>
          <w:rFonts w:ascii="Calibri" w:hAnsi="Calibri"/>
        </w:rPr>
        <w:t xml:space="preserve">These items should be gathered and set aside specifically </w:t>
      </w:r>
      <w:r w:rsidR="00042EB1" w:rsidRPr="00EB684F">
        <w:rPr>
          <w:rFonts w:ascii="Calibri" w:hAnsi="Calibri"/>
        </w:rPr>
        <w:t>for handling incidents. There are several good resources</w:t>
      </w:r>
      <w:r w:rsidR="00042EB1" w:rsidRPr="00EB684F">
        <w:rPr>
          <w:rStyle w:val="FootnoteReference"/>
          <w:rFonts w:ascii="Calibri" w:hAnsi="Calibri"/>
        </w:rPr>
        <w:footnoteReference w:id="2"/>
      </w:r>
      <w:r w:rsidR="00042EB1" w:rsidRPr="00EB684F">
        <w:rPr>
          <w:rFonts w:ascii="Calibri" w:hAnsi="Calibri"/>
        </w:rPr>
        <w:t xml:space="preserve"> for building a jump kit, however, the contents should always be built to fit the organization and it’s mission. Try not to “borrow” from the jump kit as those items might not be there when you really need them. Typical jump kit items include:</w:t>
      </w:r>
    </w:p>
    <w:p w14:paraId="65219351" w14:textId="09C1322B" w:rsidR="00042EB1" w:rsidRPr="00CB6163" w:rsidRDefault="00042EB1" w:rsidP="00FC06A0">
      <w:pPr>
        <w:pStyle w:val="BodyContent"/>
        <w:numPr>
          <w:ilvl w:val="3"/>
          <w:numId w:val="5"/>
        </w:numPr>
        <w:ind w:left="2160"/>
        <w:rPr>
          <w:rFonts w:ascii="Calibri" w:hAnsi="Calibri"/>
        </w:rPr>
      </w:pPr>
      <w:r w:rsidRPr="00CB6163">
        <w:rPr>
          <w:rFonts w:ascii="Calibri" w:hAnsi="Calibri"/>
        </w:rPr>
        <w:t>Notebooks</w:t>
      </w:r>
    </w:p>
    <w:p w14:paraId="541D793E" w14:textId="609909B4" w:rsidR="00042EB1" w:rsidRPr="00CB6163" w:rsidRDefault="00042EB1" w:rsidP="00FC06A0">
      <w:pPr>
        <w:pStyle w:val="BodyContent"/>
        <w:numPr>
          <w:ilvl w:val="3"/>
          <w:numId w:val="5"/>
        </w:numPr>
        <w:ind w:left="2160"/>
        <w:rPr>
          <w:rFonts w:ascii="Calibri" w:hAnsi="Calibri"/>
        </w:rPr>
      </w:pPr>
      <w:r w:rsidRPr="00CB6163">
        <w:rPr>
          <w:rFonts w:ascii="Calibri" w:hAnsi="Calibri"/>
        </w:rPr>
        <w:t>USB jump drives</w:t>
      </w:r>
    </w:p>
    <w:p w14:paraId="53AE4BA6" w14:textId="6C44E5C2" w:rsidR="00042EB1" w:rsidRPr="00CB6163" w:rsidRDefault="00042EB1" w:rsidP="00FC06A0">
      <w:pPr>
        <w:pStyle w:val="BodyContent"/>
        <w:numPr>
          <w:ilvl w:val="3"/>
          <w:numId w:val="5"/>
        </w:numPr>
        <w:ind w:left="2160"/>
        <w:rPr>
          <w:rFonts w:ascii="Calibri" w:hAnsi="Calibri"/>
        </w:rPr>
      </w:pPr>
      <w:r w:rsidRPr="00CB6163">
        <w:rPr>
          <w:rFonts w:ascii="Calibri" w:hAnsi="Calibri"/>
        </w:rPr>
        <w:t>Network switch with port mirror</w:t>
      </w:r>
    </w:p>
    <w:p w14:paraId="6A161588" w14:textId="716F8586" w:rsidR="00042EB1" w:rsidRPr="00CB6163" w:rsidRDefault="00042EB1" w:rsidP="00FC06A0">
      <w:pPr>
        <w:pStyle w:val="BodyContent"/>
        <w:numPr>
          <w:ilvl w:val="3"/>
          <w:numId w:val="5"/>
        </w:numPr>
        <w:ind w:left="2160"/>
        <w:rPr>
          <w:rFonts w:ascii="Calibri" w:hAnsi="Calibri"/>
        </w:rPr>
      </w:pPr>
      <w:r w:rsidRPr="00CB6163">
        <w:rPr>
          <w:rFonts w:ascii="Calibri" w:hAnsi="Calibri"/>
        </w:rPr>
        <w:lastRenderedPageBreak/>
        <w:t>External hard drives (1TB)</w:t>
      </w:r>
    </w:p>
    <w:p w14:paraId="2A2F3E23" w14:textId="009AB8E4" w:rsidR="00042EB1" w:rsidRPr="00CB6163" w:rsidRDefault="00042EB1" w:rsidP="00FC06A0">
      <w:pPr>
        <w:pStyle w:val="BodyContent"/>
        <w:numPr>
          <w:ilvl w:val="3"/>
          <w:numId w:val="5"/>
        </w:numPr>
        <w:ind w:left="2160"/>
        <w:rPr>
          <w:rFonts w:ascii="Calibri" w:hAnsi="Calibri"/>
        </w:rPr>
      </w:pPr>
      <w:r w:rsidRPr="00CB6163">
        <w:rPr>
          <w:rFonts w:ascii="Calibri" w:hAnsi="Calibri"/>
        </w:rPr>
        <w:t>Blank DVDs</w:t>
      </w:r>
    </w:p>
    <w:p w14:paraId="5E626A73" w14:textId="6826E562" w:rsidR="00042EB1" w:rsidRPr="00CB6163" w:rsidRDefault="00042EB1" w:rsidP="00FC06A0">
      <w:pPr>
        <w:pStyle w:val="BodyContent"/>
        <w:numPr>
          <w:ilvl w:val="3"/>
          <w:numId w:val="5"/>
        </w:numPr>
        <w:ind w:left="2160"/>
        <w:rPr>
          <w:rFonts w:ascii="Calibri" w:hAnsi="Calibri"/>
        </w:rPr>
      </w:pPr>
      <w:r w:rsidRPr="00CB6163">
        <w:rPr>
          <w:rFonts w:ascii="Calibri" w:hAnsi="Calibri"/>
        </w:rPr>
        <w:t>Forensic/Imaging software</w:t>
      </w:r>
    </w:p>
    <w:p w14:paraId="4AB3A0A6" w14:textId="64F7FCBC" w:rsidR="00042EB1" w:rsidRPr="00CB6163" w:rsidRDefault="00042EB1" w:rsidP="00FC06A0">
      <w:pPr>
        <w:pStyle w:val="BodyContent"/>
        <w:numPr>
          <w:ilvl w:val="3"/>
          <w:numId w:val="5"/>
        </w:numPr>
        <w:ind w:left="2160"/>
        <w:rPr>
          <w:rFonts w:ascii="Calibri" w:hAnsi="Calibri"/>
        </w:rPr>
      </w:pPr>
      <w:r w:rsidRPr="00CB6163">
        <w:rPr>
          <w:rFonts w:ascii="Calibri" w:hAnsi="Calibri"/>
        </w:rPr>
        <w:t>Clean binaries</w:t>
      </w:r>
    </w:p>
    <w:p w14:paraId="373AC72E" w14:textId="73CB6A46" w:rsidR="00042EB1" w:rsidRPr="00CB6163" w:rsidRDefault="00042EB1" w:rsidP="00FC06A0">
      <w:pPr>
        <w:pStyle w:val="BodyContent"/>
        <w:numPr>
          <w:ilvl w:val="3"/>
          <w:numId w:val="5"/>
        </w:numPr>
        <w:ind w:left="2160"/>
        <w:rPr>
          <w:rFonts w:ascii="Calibri" w:hAnsi="Calibri"/>
        </w:rPr>
      </w:pPr>
      <w:r w:rsidRPr="00CB6163">
        <w:rPr>
          <w:rFonts w:ascii="Calibri" w:hAnsi="Calibri"/>
        </w:rPr>
        <w:t>Trusted media (OS installs)</w:t>
      </w:r>
    </w:p>
    <w:p w14:paraId="18A7AE03" w14:textId="5DB900AE" w:rsidR="00042EB1" w:rsidRPr="00CB6163" w:rsidRDefault="00042EB1" w:rsidP="00FC06A0">
      <w:pPr>
        <w:pStyle w:val="BodyContent"/>
        <w:numPr>
          <w:ilvl w:val="3"/>
          <w:numId w:val="5"/>
        </w:numPr>
        <w:ind w:left="2160"/>
        <w:rPr>
          <w:rFonts w:ascii="Calibri" w:hAnsi="Calibri"/>
        </w:rPr>
      </w:pPr>
      <w:r w:rsidRPr="00CB6163">
        <w:rPr>
          <w:rFonts w:ascii="Calibri" w:hAnsi="Calibri"/>
        </w:rPr>
        <w:t>Cables and Adapters</w:t>
      </w:r>
    </w:p>
    <w:p w14:paraId="14F03CFC" w14:textId="0D39C867" w:rsidR="00EB684F" w:rsidRPr="00EB684F" w:rsidRDefault="00FF1056" w:rsidP="00EB684F">
      <w:pPr>
        <w:pStyle w:val="Heading3"/>
        <w:ind w:left="1440" w:hanging="540"/>
        <w:rPr>
          <w:rFonts w:ascii="Calibri" w:hAnsi="Calibri"/>
          <w:b/>
        </w:rPr>
      </w:pPr>
      <w:bookmarkStart w:id="22" w:name="_Toc349825875"/>
      <w:r>
        <w:rPr>
          <w:rFonts w:ascii="Calibri" w:hAnsi="Calibri"/>
          <w:b/>
        </w:rPr>
        <w:t>Investigator L</w:t>
      </w:r>
      <w:r w:rsidR="00042EB1" w:rsidRPr="00EB684F">
        <w:rPr>
          <w:rFonts w:ascii="Calibri" w:hAnsi="Calibri"/>
          <w:b/>
        </w:rPr>
        <w:t>aptops</w:t>
      </w:r>
      <w:bookmarkEnd w:id="22"/>
    </w:p>
    <w:p w14:paraId="1FC0D570" w14:textId="5F6055D4" w:rsidR="00793ADD" w:rsidRPr="00CB6163" w:rsidRDefault="007F3723" w:rsidP="00EB684F">
      <w:pPr>
        <w:pStyle w:val="BodyContent"/>
        <w:ind w:left="1080"/>
        <w:jc w:val="both"/>
        <w:rPr>
          <w:rFonts w:ascii="Calibri" w:hAnsi="Calibri"/>
        </w:rPr>
      </w:pPr>
      <w:r w:rsidRPr="00CB6163">
        <w:rPr>
          <w:rFonts w:ascii="Calibri" w:hAnsi="Calibri"/>
        </w:rPr>
        <w:t>Whenever possible each investigator should have 2 laptops built from trusted media.</w:t>
      </w:r>
      <w:r w:rsidR="00042EB1" w:rsidRPr="00CB6163">
        <w:rPr>
          <w:rFonts w:ascii="Calibri" w:hAnsi="Calibri"/>
        </w:rPr>
        <w:t xml:space="preserve"> </w:t>
      </w:r>
      <w:r w:rsidRPr="00CB6163">
        <w:rPr>
          <w:rFonts w:ascii="Calibri" w:hAnsi="Calibri"/>
        </w:rPr>
        <w:t>The first</w:t>
      </w:r>
      <w:r w:rsidR="00042EB1" w:rsidRPr="00CB6163">
        <w:rPr>
          <w:rFonts w:ascii="Calibri" w:hAnsi="Calibri"/>
        </w:rPr>
        <w:t xml:space="preserve"> will be for </w:t>
      </w:r>
      <w:r w:rsidRPr="00CB6163">
        <w:rPr>
          <w:rFonts w:ascii="Calibri" w:hAnsi="Calibri"/>
        </w:rPr>
        <w:t xml:space="preserve">documenting the incident and communicating with team members, internal groups, and external organizations. Do not connect this laptop to the </w:t>
      </w:r>
      <w:r w:rsidR="008C7BC1" w:rsidRPr="00CB6163">
        <w:rPr>
          <w:rFonts w:ascii="Calibri" w:hAnsi="Calibri"/>
        </w:rPr>
        <w:t>affected network/</w:t>
      </w:r>
      <w:r w:rsidRPr="00CB6163">
        <w:rPr>
          <w:rFonts w:ascii="Calibri" w:hAnsi="Calibri"/>
        </w:rPr>
        <w:t>domain and utilize Out-of-Band (OOB) communications whenever possible. Until the scope and severity of an incident has been determined, you will want to avoid connecting the investigators’ laptops to the impacted network or domain.  If the investigator laptops become infected, the attacker may discover details of the incident handling effort and make it that much more difficult to contain and eradicate the attackers from the network. The second laptop should be used to gather and analyze evidence, artifacts, and logs. For example, this laptop may be connected to a span port on a switch to observe network traffic. This laptop should fully patched and contain clean bi</w:t>
      </w:r>
      <w:r w:rsidR="008A219D" w:rsidRPr="00CB6163">
        <w:rPr>
          <w:rFonts w:ascii="Calibri" w:hAnsi="Calibri"/>
        </w:rPr>
        <w:t>naries built from trusted media.</w:t>
      </w:r>
    </w:p>
    <w:p w14:paraId="293B175A" w14:textId="702ED37F" w:rsidR="00D45F59" w:rsidRPr="00EB684F" w:rsidRDefault="00D45F59" w:rsidP="005F510B">
      <w:pPr>
        <w:pStyle w:val="Heading2"/>
        <w:ind w:left="789"/>
        <w:rPr>
          <w:rFonts w:ascii="Calibri" w:hAnsi="Calibri"/>
          <w:b/>
        </w:rPr>
      </w:pPr>
      <w:bookmarkStart w:id="23" w:name="_Toc349825876"/>
      <w:r w:rsidRPr="00EB684F">
        <w:rPr>
          <w:rFonts w:ascii="Calibri" w:hAnsi="Calibri"/>
          <w:b/>
        </w:rPr>
        <w:t>Detection and Analysis</w:t>
      </w:r>
      <w:bookmarkEnd w:id="23"/>
    </w:p>
    <w:p w14:paraId="78E14077" w14:textId="1B318056" w:rsidR="00E44ED5" w:rsidRPr="00CB6163" w:rsidRDefault="00E44ED5" w:rsidP="00E44ED5">
      <w:pPr>
        <w:pStyle w:val="BodyContent"/>
        <w:jc w:val="both"/>
        <w:rPr>
          <w:rFonts w:ascii="Calibri" w:hAnsi="Calibri"/>
        </w:rPr>
      </w:pPr>
      <w:r w:rsidRPr="00CB6163">
        <w:rPr>
          <w:rFonts w:ascii="Calibri" w:hAnsi="Calibri"/>
        </w:rPr>
        <w:t xml:space="preserve">Bishop Gadsden will leverage the existing threat matrix as well as host and network-based security controls to detect and analyze incidents. The threat matrix, which was created as part of the initial risk assessment, contains 17 adversarial and non-adversarial threat scenarios. </w:t>
      </w:r>
      <w:r w:rsidR="00A317AA" w:rsidRPr="00CB6163">
        <w:rPr>
          <w:rFonts w:ascii="Calibri" w:hAnsi="Calibri"/>
        </w:rPr>
        <w:t xml:space="preserve">These scenarios are considered the most likely threats based on previous incidents observed at Bishop Gadsden. </w:t>
      </w:r>
      <w:r w:rsidRPr="00CB6163">
        <w:rPr>
          <w:rFonts w:ascii="Calibri" w:hAnsi="Calibri"/>
        </w:rPr>
        <w:t>Each sce</w:t>
      </w:r>
      <w:r w:rsidR="00A317AA" w:rsidRPr="00CB6163">
        <w:rPr>
          <w:rFonts w:ascii="Calibri" w:hAnsi="Calibri"/>
        </w:rPr>
        <w:t xml:space="preserve">nario includes 1 or more events, </w:t>
      </w:r>
      <w:r w:rsidRPr="00CB6163">
        <w:rPr>
          <w:rFonts w:ascii="Calibri" w:hAnsi="Calibri"/>
        </w:rPr>
        <w:t>which consider t</w:t>
      </w:r>
      <w:r w:rsidR="00A317AA" w:rsidRPr="00CB6163">
        <w:rPr>
          <w:rFonts w:ascii="Calibri" w:hAnsi="Calibri"/>
        </w:rPr>
        <w:t xml:space="preserve">he resource being attacked, exploitable </w:t>
      </w:r>
      <w:r w:rsidRPr="00CB6163">
        <w:rPr>
          <w:rFonts w:ascii="Calibri" w:hAnsi="Calibri"/>
        </w:rPr>
        <w:t xml:space="preserve">vulnerabilities, and the current </w:t>
      </w:r>
      <w:r w:rsidR="00A317AA" w:rsidRPr="00CB6163">
        <w:rPr>
          <w:rFonts w:ascii="Calibri" w:hAnsi="Calibri"/>
        </w:rPr>
        <w:t xml:space="preserve">security controls </w:t>
      </w:r>
      <w:r w:rsidRPr="00CB6163">
        <w:rPr>
          <w:rFonts w:ascii="Calibri" w:hAnsi="Calibri"/>
        </w:rPr>
        <w:t>in place.</w:t>
      </w:r>
      <w:r w:rsidR="00A317AA" w:rsidRPr="00CB6163">
        <w:rPr>
          <w:rFonts w:ascii="Calibri" w:hAnsi="Calibri"/>
        </w:rPr>
        <w:t xml:space="preserve">  The host-based (</w:t>
      </w:r>
      <w:r w:rsidR="00A317AA" w:rsidRPr="00CB6163">
        <w:rPr>
          <w:rFonts w:ascii="Calibri" w:hAnsi="Calibri"/>
          <w:b/>
        </w:rPr>
        <w:t>Symantec</w:t>
      </w:r>
      <w:r w:rsidR="00A317AA" w:rsidRPr="00CB6163">
        <w:rPr>
          <w:rFonts w:ascii="Calibri" w:hAnsi="Calibri"/>
        </w:rPr>
        <w:t>) and email (</w:t>
      </w:r>
      <w:r w:rsidR="00A317AA" w:rsidRPr="00CB6163">
        <w:rPr>
          <w:rFonts w:ascii="Calibri" w:hAnsi="Calibri"/>
          <w:b/>
        </w:rPr>
        <w:t>Barracuda</w:t>
      </w:r>
      <w:r w:rsidR="00A317AA" w:rsidRPr="00CB6163">
        <w:rPr>
          <w:rFonts w:ascii="Calibri" w:hAnsi="Calibri"/>
        </w:rPr>
        <w:t>) security controls will provide the basis for detection.</w:t>
      </w:r>
    </w:p>
    <w:p w14:paraId="3A02B825" w14:textId="2C4E9860" w:rsidR="00A317AA" w:rsidRPr="00CB6163" w:rsidRDefault="00A317AA" w:rsidP="00E44ED5">
      <w:pPr>
        <w:pStyle w:val="BodyContent"/>
        <w:jc w:val="both"/>
        <w:rPr>
          <w:rFonts w:ascii="Calibri" w:hAnsi="Calibri"/>
        </w:rPr>
      </w:pPr>
      <w:r w:rsidRPr="00CB6163">
        <w:rPr>
          <w:rFonts w:ascii="Calibri" w:hAnsi="Calibri"/>
        </w:rPr>
        <w:t xml:space="preserve">The incident handling procedures will focus on an initial set of Indicators of Attack (IoA) and Indicators of Compromise (IoC). These are </w:t>
      </w:r>
      <w:r w:rsidRPr="00CB6163">
        <w:rPr>
          <w:rFonts w:ascii="Calibri" w:hAnsi="Calibri"/>
          <w:b/>
          <w:bCs/>
          <w:u w:val="single"/>
        </w:rPr>
        <w:t>not</w:t>
      </w:r>
      <w:r w:rsidRPr="00CB6163">
        <w:rPr>
          <w:rFonts w:ascii="Calibri" w:hAnsi="Calibri"/>
          <w:b/>
          <w:u w:val="single"/>
        </w:rPr>
        <w:t xml:space="preserve"> comprehensive</w:t>
      </w:r>
      <w:r w:rsidRPr="00CB6163">
        <w:rPr>
          <w:rFonts w:ascii="Calibri" w:hAnsi="Calibri"/>
        </w:rPr>
        <w:t xml:space="preserve"> lists; they are intended to evolve with changes in attacker tactics, techniques, and procedures (TTPs). Security controls should be tuned to provide defenders with the greatest probability for observing these IoAs and IoCs.</w:t>
      </w:r>
    </w:p>
    <w:p w14:paraId="4F749962" w14:textId="0E6D6635" w:rsidR="00D45F59" w:rsidRPr="00CB6163" w:rsidRDefault="00A317AA" w:rsidP="00EB684F">
      <w:pPr>
        <w:pStyle w:val="Heading3"/>
        <w:ind w:left="1440" w:hanging="540"/>
        <w:rPr>
          <w:rFonts w:ascii="Calibri" w:hAnsi="Calibri"/>
          <w:b/>
        </w:rPr>
      </w:pPr>
      <w:bookmarkStart w:id="24" w:name="_Toc349825877"/>
      <w:r w:rsidRPr="00CB6163">
        <w:rPr>
          <w:rFonts w:ascii="Calibri" w:hAnsi="Calibri"/>
          <w:b/>
        </w:rPr>
        <w:lastRenderedPageBreak/>
        <w:t>Indicators of Attack (IoA)</w:t>
      </w:r>
      <w:bookmarkEnd w:id="24"/>
    </w:p>
    <w:p w14:paraId="1B2328B6" w14:textId="48DF9DFC"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Web Server (external) access logs indicate network and/or vulnerability scanning activity</w:t>
      </w:r>
    </w:p>
    <w:p w14:paraId="2133D71E" w14:textId="45BCB393"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 xml:space="preserve">Multiple ( &gt;= 3) failed authentication attempts for a single OWA user within a short period of time </w:t>
      </w:r>
    </w:p>
    <w:p w14:paraId="4AC0EB56" w14:textId="77777777"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Multiple ( &gt;= 3) failed authentication attempts for multiple OWA users (password spraying) within a short period of time</w:t>
      </w:r>
    </w:p>
    <w:p w14:paraId="396F234D" w14:textId="1BC6AE4D"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 xml:space="preserve">Multiple ( &gt;= 3) failed authentication attempts for server administrator (www.bishopgadsden.org ) within a short period of time </w:t>
      </w:r>
    </w:p>
    <w:p w14:paraId="27084A78" w14:textId="56F4A0EA"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 xml:space="preserve">Multiple ( &gt;= 3) failed authentication attempts for multiple users (www.bishopgadsden.org ) (password spraying) within a short period of time </w:t>
      </w:r>
    </w:p>
    <w:p w14:paraId="47393DF6" w14:textId="059F7D8D"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A large number of emails with file attachments containing malicious payloads are detected, stripped, and stopped by the email security gateway</w:t>
      </w:r>
    </w:p>
    <w:p w14:paraId="4AB89A67" w14:textId="0B15EF01"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Host-Based Security controls detect and quarantine malicious files on one or more workstations</w:t>
      </w:r>
    </w:p>
    <w:p w14:paraId="647F7F12" w14:textId="637EB8E7"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One or more users browse/connect to a known malicious web-site.</w:t>
      </w:r>
    </w:p>
    <w:p w14:paraId="4AB80DA7" w14:textId="7B969513" w:rsidR="0057622E" w:rsidRPr="00CB6163" w:rsidRDefault="0057622E" w:rsidP="0076747B">
      <w:pPr>
        <w:pStyle w:val="Heading3"/>
        <w:ind w:left="1440" w:hanging="540"/>
        <w:jc w:val="both"/>
        <w:rPr>
          <w:rFonts w:ascii="Calibri" w:hAnsi="Calibri"/>
          <w:b/>
        </w:rPr>
      </w:pPr>
      <w:bookmarkStart w:id="25" w:name="_Toc349825878"/>
      <w:r w:rsidRPr="00CB6163">
        <w:rPr>
          <w:rFonts w:ascii="Calibri" w:hAnsi="Calibri"/>
          <w:b/>
        </w:rPr>
        <w:t>Indicators of Compromise (IoC)</w:t>
      </w:r>
      <w:bookmarkEnd w:id="25"/>
    </w:p>
    <w:p w14:paraId="5AE20472" w14:textId="364C483C"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A large number of emails with file attachments containing malicious payloads are sent from a compromised Bishop Gadsden user account</w:t>
      </w:r>
    </w:p>
    <w:p w14:paraId="07008F4E" w14:textId="6FF9FC4A"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 xml:space="preserve">Multiple authentication attempts for a single user across a large number of domain resources (&gt;= 3) within a short period of time </w:t>
      </w:r>
    </w:p>
    <w:p w14:paraId="7E379B43" w14:textId="7EA61730"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 xml:space="preserve">Enumeration and information gathering commands are executed </w:t>
      </w:r>
      <w:r w:rsidR="00EE7CF8" w:rsidRPr="00CB6163">
        <w:rPr>
          <w:rFonts w:ascii="Calibri" w:hAnsi="Calibri"/>
        </w:rPr>
        <w:t xml:space="preserve">on a victim workstation. This behavior is </w:t>
      </w:r>
      <w:r w:rsidRPr="00CB6163">
        <w:rPr>
          <w:rFonts w:ascii="Calibri" w:hAnsi="Calibri"/>
        </w:rPr>
        <w:t xml:space="preserve">inconsistent with the roles and responsibilities for </w:t>
      </w:r>
      <w:r w:rsidR="00EE7CF8" w:rsidRPr="00CB6163">
        <w:rPr>
          <w:rFonts w:ascii="Calibri" w:hAnsi="Calibri"/>
        </w:rPr>
        <w:t xml:space="preserve">the target </w:t>
      </w:r>
      <w:r w:rsidRPr="00CB6163">
        <w:rPr>
          <w:rFonts w:ascii="Calibri" w:hAnsi="Calibri"/>
        </w:rPr>
        <w:t>user (ie. Human Resources). Commands may include net.exe</w:t>
      </w:r>
      <w:r w:rsidR="00EE7CF8" w:rsidRPr="00CB6163">
        <w:rPr>
          <w:rFonts w:ascii="Calibri" w:hAnsi="Calibri"/>
        </w:rPr>
        <w:t xml:space="preserve"> (user, group, etc.)</w:t>
      </w:r>
      <w:r w:rsidRPr="00CB6163">
        <w:rPr>
          <w:rFonts w:ascii="Calibri" w:hAnsi="Calibri"/>
        </w:rPr>
        <w:t xml:space="preserve">, wmic.exe, cmd.exe, powershell.exe, dsquery.exe, </w:t>
      </w:r>
      <w:r w:rsidR="00EE7CF8" w:rsidRPr="00CB6163">
        <w:rPr>
          <w:rFonts w:ascii="Calibri" w:hAnsi="Calibri"/>
        </w:rPr>
        <w:t>ipconfig, and arp –a.</w:t>
      </w:r>
    </w:p>
    <w:p w14:paraId="44D4922F" w14:textId="254FB187" w:rsidR="00EE7CF8" w:rsidRPr="00CB6163" w:rsidRDefault="00EE7CF8" w:rsidP="0076747B">
      <w:pPr>
        <w:pStyle w:val="BodyContent"/>
        <w:numPr>
          <w:ilvl w:val="3"/>
          <w:numId w:val="5"/>
        </w:numPr>
        <w:ind w:left="2160"/>
        <w:jc w:val="both"/>
        <w:rPr>
          <w:rFonts w:ascii="Calibri" w:hAnsi="Calibri"/>
        </w:rPr>
      </w:pPr>
      <w:r w:rsidRPr="00CB6163">
        <w:rPr>
          <w:rFonts w:ascii="Calibri" w:hAnsi="Calibri"/>
        </w:rPr>
        <w:t>New windows services are created on a workstation or server</w:t>
      </w:r>
    </w:p>
    <w:p w14:paraId="5D12C747" w14:textId="27346A04" w:rsidR="00EE7CF8" w:rsidRPr="00CB6163" w:rsidRDefault="00EE7CF8" w:rsidP="0076747B">
      <w:pPr>
        <w:pStyle w:val="BodyContent"/>
        <w:numPr>
          <w:ilvl w:val="3"/>
          <w:numId w:val="5"/>
        </w:numPr>
        <w:ind w:left="2160"/>
        <w:jc w:val="both"/>
        <w:rPr>
          <w:rFonts w:ascii="Calibri" w:hAnsi="Calibri"/>
        </w:rPr>
      </w:pPr>
      <w:r w:rsidRPr="00CB6163">
        <w:rPr>
          <w:rFonts w:ascii="Calibri" w:hAnsi="Calibri"/>
        </w:rPr>
        <w:t>Changes to and/or new registry keys (run, run once, etc) have been edited/created on one or more work stations</w:t>
      </w:r>
    </w:p>
    <w:p w14:paraId="7D5A61BB" w14:textId="0F642D09" w:rsidR="00EE7CF8" w:rsidRPr="00CB6163" w:rsidRDefault="00EE7CF8" w:rsidP="0076747B">
      <w:pPr>
        <w:pStyle w:val="BodyContent"/>
        <w:numPr>
          <w:ilvl w:val="3"/>
          <w:numId w:val="5"/>
        </w:numPr>
        <w:ind w:left="2160"/>
        <w:jc w:val="both"/>
        <w:rPr>
          <w:rFonts w:ascii="Calibri" w:hAnsi="Calibri"/>
        </w:rPr>
      </w:pPr>
      <w:r w:rsidRPr="00CB6163">
        <w:rPr>
          <w:rFonts w:ascii="Calibri" w:hAnsi="Calibri"/>
        </w:rPr>
        <w:lastRenderedPageBreak/>
        <w:t>Critical resources including internal servers and databases are initiating outbound connections to the internet.</w:t>
      </w:r>
    </w:p>
    <w:p w14:paraId="247E7778" w14:textId="77777777" w:rsidR="00EE7CF8" w:rsidRPr="00CB6163" w:rsidRDefault="00EE7CF8" w:rsidP="0076747B">
      <w:pPr>
        <w:pStyle w:val="BodyContent"/>
        <w:numPr>
          <w:ilvl w:val="3"/>
          <w:numId w:val="5"/>
        </w:numPr>
        <w:ind w:left="2160"/>
        <w:jc w:val="both"/>
        <w:rPr>
          <w:rFonts w:ascii="Calibri" w:hAnsi="Calibri"/>
        </w:rPr>
      </w:pPr>
      <w:r w:rsidRPr="00CB6163">
        <w:rPr>
          <w:rFonts w:ascii="Calibri" w:hAnsi="Calibri"/>
        </w:rPr>
        <w:t>Host-Based Security controls detect and quarantine malicious files on one or more workstations</w:t>
      </w:r>
    </w:p>
    <w:p w14:paraId="2417149C" w14:textId="2115ACC7" w:rsidR="00EE7CF8" w:rsidRPr="00CB6163" w:rsidRDefault="00EE7CF8" w:rsidP="0076747B">
      <w:pPr>
        <w:pStyle w:val="BodyContent"/>
        <w:numPr>
          <w:ilvl w:val="3"/>
          <w:numId w:val="5"/>
        </w:numPr>
        <w:ind w:left="2160"/>
        <w:jc w:val="both"/>
        <w:rPr>
          <w:rFonts w:ascii="Calibri" w:hAnsi="Calibri"/>
        </w:rPr>
      </w:pPr>
      <w:r w:rsidRPr="00CB6163">
        <w:rPr>
          <w:rFonts w:ascii="Calibri" w:hAnsi="Calibri"/>
        </w:rPr>
        <w:t>A workstation on the internal domain is transferring an unusually large amount of data to an unknown IP address.</w:t>
      </w:r>
    </w:p>
    <w:p w14:paraId="6CCBDB69" w14:textId="3B23017D" w:rsidR="00EB684F" w:rsidRPr="00EB684F" w:rsidRDefault="00EE7CF8" w:rsidP="0076747B">
      <w:pPr>
        <w:pStyle w:val="Heading3"/>
        <w:ind w:left="1440" w:hanging="540"/>
        <w:jc w:val="both"/>
        <w:rPr>
          <w:rFonts w:ascii="Calibri" w:hAnsi="Calibri"/>
          <w:b/>
        </w:rPr>
      </w:pPr>
      <w:bookmarkStart w:id="26" w:name="_Toc349825879"/>
      <w:r w:rsidRPr="00EB684F">
        <w:rPr>
          <w:rFonts w:ascii="Calibri" w:hAnsi="Calibri"/>
          <w:b/>
        </w:rPr>
        <w:t>Analysis</w:t>
      </w:r>
      <w:bookmarkEnd w:id="26"/>
    </w:p>
    <w:p w14:paraId="7CE542A1" w14:textId="63AD3EC2" w:rsidR="00EE7CF8" w:rsidRPr="00CB6163" w:rsidRDefault="00EE7CF8" w:rsidP="0076747B">
      <w:pPr>
        <w:pStyle w:val="BodyContent"/>
        <w:ind w:left="1080"/>
        <w:jc w:val="both"/>
        <w:rPr>
          <w:rFonts w:ascii="Calibri" w:hAnsi="Calibri"/>
        </w:rPr>
      </w:pPr>
      <w:r w:rsidRPr="00CB6163">
        <w:rPr>
          <w:rFonts w:ascii="Calibri" w:hAnsi="Calibri"/>
        </w:rPr>
        <w:t xml:space="preserve">Activities will depend on the incident and the indicators observed. </w:t>
      </w:r>
      <w:r w:rsidR="00D258C5" w:rsidRPr="00CB6163">
        <w:rPr>
          <w:rFonts w:ascii="Calibri" w:hAnsi="Calibri"/>
        </w:rPr>
        <w:t xml:space="preserve">This may be contracted out. </w:t>
      </w:r>
      <w:r w:rsidRPr="00CB6163">
        <w:rPr>
          <w:rFonts w:ascii="Calibri" w:hAnsi="Calibri"/>
        </w:rPr>
        <w:t>Activities may include:</w:t>
      </w:r>
    </w:p>
    <w:p w14:paraId="2C32EEE4" w14:textId="6FB853A6" w:rsidR="006658BD" w:rsidRPr="00CB6163" w:rsidRDefault="006658BD" w:rsidP="0076747B">
      <w:pPr>
        <w:pStyle w:val="BodyContent"/>
        <w:numPr>
          <w:ilvl w:val="3"/>
          <w:numId w:val="5"/>
        </w:numPr>
        <w:ind w:left="2160"/>
        <w:jc w:val="both"/>
        <w:rPr>
          <w:rFonts w:ascii="Calibri" w:hAnsi="Calibri"/>
        </w:rPr>
      </w:pPr>
      <w:r w:rsidRPr="00CB6163">
        <w:rPr>
          <w:rFonts w:ascii="Calibri" w:hAnsi="Calibri"/>
        </w:rPr>
        <w:t>Creating disk images for affected hosts</w:t>
      </w:r>
    </w:p>
    <w:p w14:paraId="4CD3AD9E" w14:textId="2789B471" w:rsidR="006658BD" w:rsidRPr="00CB6163" w:rsidRDefault="006658BD" w:rsidP="0076747B">
      <w:pPr>
        <w:pStyle w:val="BodyContent"/>
        <w:numPr>
          <w:ilvl w:val="3"/>
          <w:numId w:val="5"/>
        </w:numPr>
        <w:ind w:left="2160"/>
        <w:jc w:val="both"/>
        <w:rPr>
          <w:rFonts w:ascii="Calibri" w:hAnsi="Calibri"/>
        </w:rPr>
      </w:pPr>
      <w:r w:rsidRPr="00CB6163">
        <w:rPr>
          <w:rFonts w:ascii="Calibri" w:hAnsi="Calibri"/>
        </w:rPr>
        <w:t xml:space="preserve">Capturing volatile </w:t>
      </w:r>
      <w:r w:rsidR="00F2142E" w:rsidRPr="00CB6163">
        <w:rPr>
          <w:rFonts w:ascii="Calibri" w:hAnsi="Calibri"/>
        </w:rPr>
        <w:t>data including memory or rotated logs</w:t>
      </w:r>
    </w:p>
    <w:p w14:paraId="4CB69415" w14:textId="1A2BCA50" w:rsidR="00D258C5" w:rsidRPr="00CB6163" w:rsidRDefault="00D258C5" w:rsidP="0076747B">
      <w:pPr>
        <w:pStyle w:val="BodyContent"/>
        <w:numPr>
          <w:ilvl w:val="3"/>
          <w:numId w:val="5"/>
        </w:numPr>
        <w:ind w:left="2160"/>
        <w:jc w:val="both"/>
        <w:rPr>
          <w:rFonts w:ascii="Calibri" w:hAnsi="Calibri"/>
        </w:rPr>
      </w:pPr>
      <w:r w:rsidRPr="00CB6163">
        <w:rPr>
          <w:rFonts w:ascii="Calibri" w:hAnsi="Calibri"/>
        </w:rPr>
        <w:t>Log analysis</w:t>
      </w:r>
    </w:p>
    <w:p w14:paraId="4260E486" w14:textId="37A27CEE" w:rsidR="00D258C5" w:rsidRPr="00CB6163" w:rsidRDefault="00D258C5" w:rsidP="0076747B">
      <w:pPr>
        <w:pStyle w:val="BodyContent"/>
        <w:numPr>
          <w:ilvl w:val="3"/>
          <w:numId w:val="5"/>
        </w:numPr>
        <w:ind w:left="2160"/>
        <w:jc w:val="both"/>
        <w:rPr>
          <w:rFonts w:ascii="Calibri" w:hAnsi="Calibri"/>
        </w:rPr>
      </w:pPr>
      <w:r w:rsidRPr="00CB6163">
        <w:rPr>
          <w:rFonts w:ascii="Calibri" w:hAnsi="Calibri"/>
        </w:rPr>
        <w:t>Malware analysis</w:t>
      </w:r>
    </w:p>
    <w:p w14:paraId="1CFD2C8A" w14:textId="6F9F8548" w:rsidR="00D258C5" w:rsidRPr="00CB6163" w:rsidRDefault="00D258C5" w:rsidP="0076747B">
      <w:pPr>
        <w:pStyle w:val="BodyContent"/>
        <w:numPr>
          <w:ilvl w:val="3"/>
          <w:numId w:val="5"/>
        </w:numPr>
        <w:ind w:left="2160"/>
        <w:jc w:val="both"/>
        <w:rPr>
          <w:rFonts w:ascii="Calibri" w:hAnsi="Calibri"/>
        </w:rPr>
      </w:pPr>
      <w:r w:rsidRPr="00CB6163">
        <w:rPr>
          <w:rFonts w:ascii="Calibri" w:hAnsi="Calibri"/>
        </w:rPr>
        <w:t>Network traffic analysis</w:t>
      </w:r>
    </w:p>
    <w:p w14:paraId="53AF072B" w14:textId="77777777" w:rsidR="00D258C5" w:rsidRPr="00CB6163" w:rsidRDefault="00D258C5" w:rsidP="0076747B">
      <w:pPr>
        <w:pStyle w:val="BodyContent"/>
        <w:numPr>
          <w:ilvl w:val="3"/>
          <w:numId w:val="5"/>
        </w:numPr>
        <w:ind w:left="2160"/>
        <w:jc w:val="both"/>
        <w:rPr>
          <w:rFonts w:ascii="Calibri" w:hAnsi="Calibri"/>
        </w:rPr>
      </w:pPr>
      <w:r w:rsidRPr="00CB6163">
        <w:rPr>
          <w:rFonts w:ascii="Calibri" w:hAnsi="Calibri"/>
        </w:rPr>
        <w:t>Event correlation. For example, registry changes on multiple systems or network connections from multiple systems to a common IP address</w:t>
      </w:r>
    </w:p>
    <w:p w14:paraId="7F16BDEA" w14:textId="77777777" w:rsidR="00EB684F" w:rsidRDefault="00D258C5" w:rsidP="00EB684F">
      <w:pPr>
        <w:pStyle w:val="Heading3"/>
        <w:ind w:left="1440" w:hanging="540"/>
        <w:rPr>
          <w:rFonts w:ascii="Calibri" w:hAnsi="Calibri"/>
          <w:b/>
        </w:rPr>
      </w:pPr>
      <w:bookmarkStart w:id="27" w:name="_Toc349825880"/>
      <w:r w:rsidRPr="00CB6163">
        <w:rPr>
          <w:rFonts w:ascii="Calibri" w:hAnsi="Calibri"/>
          <w:b/>
        </w:rPr>
        <w:t>Incident Prioritization</w:t>
      </w:r>
      <w:bookmarkEnd w:id="27"/>
    </w:p>
    <w:p w14:paraId="3DFEC73D" w14:textId="2680C47B" w:rsidR="00D258C5" w:rsidRPr="00CB6163" w:rsidRDefault="000006C6" w:rsidP="00FC06A0">
      <w:pPr>
        <w:pStyle w:val="BodyContent"/>
        <w:ind w:left="1080"/>
        <w:jc w:val="both"/>
        <w:rPr>
          <w:rFonts w:ascii="Calibri" w:hAnsi="Calibri"/>
          <w:b/>
        </w:rPr>
      </w:pPr>
      <w:r w:rsidRPr="00CB6163">
        <w:rPr>
          <w:rFonts w:ascii="Calibri" w:hAnsi="Calibri"/>
        </w:rPr>
        <w:t>Incidents are typically prioritized according to the three factors below. Other factors and alternative analysis may be considered at the discretion of Bishop Gadsden leadership. Incidents may be qualitatively scored as low, medium, and high.</w:t>
      </w:r>
    </w:p>
    <w:p w14:paraId="769640F1" w14:textId="65AFF6E5" w:rsidR="00D258C5" w:rsidRPr="00CB6163" w:rsidRDefault="00FF1056" w:rsidP="00FC06A0">
      <w:pPr>
        <w:pStyle w:val="BodyContent"/>
        <w:numPr>
          <w:ilvl w:val="3"/>
          <w:numId w:val="5"/>
        </w:numPr>
        <w:ind w:left="2160"/>
        <w:jc w:val="both"/>
        <w:rPr>
          <w:rFonts w:ascii="Calibri" w:hAnsi="Calibri"/>
        </w:rPr>
      </w:pPr>
      <w:r>
        <w:rPr>
          <w:rFonts w:ascii="Calibri" w:hAnsi="Calibri"/>
          <w:b/>
        </w:rPr>
        <w:t>Functional I</w:t>
      </w:r>
      <w:r w:rsidR="00D258C5" w:rsidRPr="00CB6163">
        <w:rPr>
          <w:rFonts w:ascii="Calibri" w:hAnsi="Calibri"/>
          <w:b/>
        </w:rPr>
        <w:t>mpacts</w:t>
      </w:r>
      <w:r w:rsidR="000006C6" w:rsidRPr="00CB6163">
        <w:rPr>
          <w:rFonts w:ascii="Calibri" w:hAnsi="Calibri"/>
        </w:rPr>
        <w:t xml:space="preserve"> – This includes the impact to Bishop Gadsden being able to execute its mission, which is to provide hospitality, assisted living, and healthcare services to its 450+ residents.</w:t>
      </w:r>
    </w:p>
    <w:p w14:paraId="7D465BA7" w14:textId="4797AFB6" w:rsidR="00D258C5" w:rsidRPr="00CB6163" w:rsidRDefault="00FF1056" w:rsidP="00FC06A0">
      <w:pPr>
        <w:pStyle w:val="BodyContent"/>
        <w:numPr>
          <w:ilvl w:val="3"/>
          <w:numId w:val="5"/>
        </w:numPr>
        <w:ind w:left="2160"/>
        <w:jc w:val="both"/>
        <w:rPr>
          <w:rFonts w:ascii="Calibri" w:hAnsi="Calibri"/>
        </w:rPr>
      </w:pPr>
      <w:r>
        <w:rPr>
          <w:rFonts w:ascii="Calibri" w:hAnsi="Calibri"/>
          <w:b/>
        </w:rPr>
        <w:t>CIA I</w:t>
      </w:r>
      <w:r w:rsidR="00D258C5" w:rsidRPr="00CB6163">
        <w:rPr>
          <w:rFonts w:ascii="Calibri" w:hAnsi="Calibri"/>
          <w:b/>
        </w:rPr>
        <w:t>mpacts</w:t>
      </w:r>
      <w:r w:rsidR="000006C6" w:rsidRPr="00CB6163">
        <w:rPr>
          <w:rFonts w:ascii="Calibri" w:hAnsi="Calibri"/>
        </w:rPr>
        <w:t xml:space="preserve"> – These include impacts to the confidentiality (C), integrity (I), availability (A), of protected health information (PHI). These incidents will receive the highest priority.</w:t>
      </w:r>
    </w:p>
    <w:p w14:paraId="4D99F16A" w14:textId="2C3E4081" w:rsidR="00D258C5" w:rsidRPr="00CB6163" w:rsidRDefault="00D258C5" w:rsidP="00FC06A0">
      <w:pPr>
        <w:pStyle w:val="BodyContent"/>
        <w:numPr>
          <w:ilvl w:val="3"/>
          <w:numId w:val="5"/>
        </w:numPr>
        <w:ind w:left="2160"/>
        <w:jc w:val="both"/>
        <w:rPr>
          <w:rFonts w:ascii="Calibri" w:hAnsi="Calibri"/>
        </w:rPr>
      </w:pPr>
      <w:r w:rsidRPr="00CB6163">
        <w:rPr>
          <w:rFonts w:ascii="Calibri" w:hAnsi="Calibri"/>
          <w:b/>
        </w:rPr>
        <w:t>Recoverability</w:t>
      </w:r>
      <w:r w:rsidR="000006C6" w:rsidRPr="00CB6163">
        <w:rPr>
          <w:rFonts w:ascii="Calibri" w:hAnsi="Calibri"/>
        </w:rPr>
        <w:t xml:space="preserve"> – This includes an evaluation of how easy or difficult it will be to recover from an incident and return to normal operations. (</w:t>
      </w:r>
      <w:r w:rsidR="000006C6" w:rsidRPr="00CB6163">
        <w:rPr>
          <w:rFonts w:ascii="Calibri" w:hAnsi="Calibri"/>
          <w:b/>
        </w:rPr>
        <w:t>ie.</w:t>
      </w:r>
      <w:r w:rsidR="000006C6" w:rsidRPr="00CB6163">
        <w:rPr>
          <w:rFonts w:ascii="Calibri" w:hAnsi="Calibri"/>
        </w:rPr>
        <w:t xml:space="preserve"> Category 5 Hurricane vs. Ransomware vs. Planned power outage)</w:t>
      </w:r>
    </w:p>
    <w:p w14:paraId="51260987" w14:textId="77777777" w:rsidR="002D6C29" w:rsidRDefault="00456DE5" w:rsidP="00FC06A0">
      <w:pPr>
        <w:pStyle w:val="Heading3"/>
        <w:ind w:left="1440" w:hanging="540"/>
        <w:jc w:val="both"/>
        <w:rPr>
          <w:rFonts w:ascii="Calibri" w:hAnsi="Calibri"/>
          <w:b/>
        </w:rPr>
      </w:pPr>
      <w:bookmarkStart w:id="28" w:name="_Toc349825881"/>
      <w:r w:rsidRPr="00CB6163">
        <w:rPr>
          <w:rFonts w:ascii="Calibri" w:hAnsi="Calibri"/>
          <w:b/>
        </w:rPr>
        <w:lastRenderedPageBreak/>
        <w:t>Escalation Process</w:t>
      </w:r>
      <w:bookmarkEnd w:id="28"/>
    </w:p>
    <w:p w14:paraId="2EE88674" w14:textId="3B485C21" w:rsidR="00456DE5" w:rsidRPr="00CB6163" w:rsidRDefault="000006C6" w:rsidP="00FC06A0">
      <w:pPr>
        <w:pStyle w:val="BodyContent"/>
        <w:ind w:left="1080"/>
        <w:jc w:val="both"/>
        <w:rPr>
          <w:rFonts w:ascii="Calibri" w:hAnsi="Calibri"/>
          <w:b/>
        </w:rPr>
      </w:pPr>
      <w:r w:rsidRPr="00CB6163">
        <w:rPr>
          <w:rFonts w:ascii="Calibri" w:hAnsi="Calibri"/>
        </w:rPr>
        <w:t xml:space="preserve">Incidents may be escalated as the analysis proceeds. Changes in scope and/or severity may warrant a change in incident priority.  Analysis may </w:t>
      </w:r>
      <w:r w:rsidR="00C0331F" w:rsidRPr="00CB6163">
        <w:rPr>
          <w:rFonts w:ascii="Calibri" w:hAnsi="Calibri"/>
        </w:rPr>
        <w:t>also reveal criminal misconduct</w:t>
      </w:r>
      <w:r w:rsidR="004448C1" w:rsidRPr="00CB6163">
        <w:rPr>
          <w:rFonts w:ascii="Calibri" w:hAnsi="Calibri"/>
        </w:rPr>
        <w:t>, w</w:t>
      </w:r>
      <w:r w:rsidRPr="00CB6163">
        <w:rPr>
          <w:rFonts w:ascii="Calibri" w:hAnsi="Calibri"/>
        </w:rPr>
        <w:t>hich requires escalation to local, state, or federal law enforcement.  The communications plan may be executed accordingly.</w:t>
      </w:r>
      <w:r w:rsidR="00C0331F" w:rsidRPr="00CB6163">
        <w:rPr>
          <w:rFonts w:ascii="Calibri" w:hAnsi="Calibri"/>
        </w:rPr>
        <w:t xml:space="preserve"> Escalation will be at the discretion of the Director of IT and Bishop Gadsden leadership.</w:t>
      </w:r>
    </w:p>
    <w:p w14:paraId="6974BE01" w14:textId="3BD28714" w:rsidR="00D258C5" w:rsidRDefault="00D258C5" w:rsidP="002D6C29">
      <w:pPr>
        <w:pStyle w:val="Heading3"/>
        <w:ind w:left="1440" w:hanging="540"/>
        <w:rPr>
          <w:rFonts w:ascii="Calibri" w:hAnsi="Calibri"/>
          <w:b/>
        </w:rPr>
      </w:pPr>
      <w:bookmarkStart w:id="29" w:name="_Toc349825882"/>
      <w:r w:rsidRPr="00CB6163">
        <w:rPr>
          <w:rFonts w:ascii="Calibri" w:hAnsi="Calibri"/>
          <w:b/>
        </w:rPr>
        <w:t>Documentation</w:t>
      </w:r>
      <w:bookmarkEnd w:id="29"/>
    </w:p>
    <w:p w14:paraId="72490F52" w14:textId="27BE305B" w:rsidR="002D6C29" w:rsidRPr="00FC06A0" w:rsidRDefault="002D6C29" w:rsidP="00FC06A0">
      <w:pPr>
        <w:ind w:left="1080"/>
        <w:jc w:val="both"/>
        <w:rPr>
          <w:sz w:val="24"/>
          <w:szCs w:val="24"/>
        </w:rPr>
      </w:pPr>
      <w:r w:rsidRPr="00FC06A0">
        <w:rPr>
          <w:sz w:val="24"/>
          <w:szCs w:val="24"/>
        </w:rPr>
        <w:t>Maintaining accurate and timely documentation is critical to the incident handling process.  This is especially the case when artifacts and data may be used in criminal or civil court. This is not a complete list, however, the checklist below will assist the handlers during an incident</w:t>
      </w:r>
      <w:r w:rsidR="00E73ABD">
        <w:rPr>
          <w:rStyle w:val="FootnoteReference"/>
          <w:sz w:val="24"/>
          <w:szCs w:val="24"/>
        </w:rPr>
        <w:footnoteReference w:id="3"/>
      </w:r>
      <w:r w:rsidRPr="00FC06A0">
        <w:rPr>
          <w:sz w:val="24"/>
          <w:szCs w:val="24"/>
        </w:rPr>
        <w:t xml:space="preserve">. </w:t>
      </w:r>
    </w:p>
    <w:p w14:paraId="757C4791" w14:textId="31025ABD" w:rsidR="00D258C5" w:rsidRPr="00FC06A0" w:rsidRDefault="002D6C29" w:rsidP="00FC06A0">
      <w:pPr>
        <w:pStyle w:val="BodyContent"/>
        <w:numPr>
          <w:ilvl w:val="3"/>
          <w:numId w:val="5"/>
        </w:numPr>
        <w:ind w:left="2160"/>
        <w:jc w:val="both"/>
        <w:rPr>
          <w:rFonts w:ascii="Calibri" w:hAnsi="Calibri"/>
        </w:rPr>
      </w:pPr>
      <w:r w:rsidRPr="00FC06A0">
        <w:rPr>
          <w:rFonts w:ascii="Calibri" w:hAnsi="Calibri"/>
        </w:rPr>
        <w:t>Utilize l</w:t>
      </w:r>
      <w:r w:rsidR="00D258C5" w:rsidRPr="00FC06A0">
        <w:rPr>
          <w:rFonts w:ascii="Calibri" w:hAnsi="Calibri"/>
        </w:rPr>
        <w:t>ogbooks. Document and timestamp each incident during the detection and analysis phase</w:t>
      </w:r>
    </w:p>
    <w:p w14:paraId="1694D86B" w14:textId="5CBDFF92" w:rsidR="00D258C5" w:rsidRPr="00FC06A0" w:rsidRDefault="00D258C5" w:rsidP="00FC06A0">
      <w:pPr>
        <w:pStyle w:val="BodyContent"/>
        <w:numPr>
          <w:ilvl w:val="3"/>
          <w:numId w:val="5"/>
        </w:numPr>
        <w:ind w:left="2160"/>
        <w:jc w:val="both"/>
        <w:rPr>
          <w:rFonts w:ascii="Calibri" w:hAnsi="Calibri"/>
        </w:rPr>
      </w:pPr>
      <w:r w:rsidRPr="00FC06A0">
        <w:rPr>
          <w:rFonts w:ascii="Calibri" w:hAnsi="Calibri"/>
        </w:rPr>
        <w:t>Date and sign all documents</w:t>
      </w:r>
      <w:r w:rsidR="002D6C29" w:rsidRPr="00FC06A0">
        <w:rPr>
          <w:rFonts w:ascii="Calibri" w:hAnsi="Calibri"/>
        </w:rPr>
        <w:t xml:space="preserve"> and all log notebook pages</w:t>
      </w:r>
    </w:p>
    <w:p w14:paraId="60DB6BA8" w14:textId="33BA502F" w:rsidR="002D6C29" w:rsidRPr="00FC06A0" w:rsidRDefault="002D6C29" w:rsidP="00FC06A0">
      <w:pPr>
        <w:pStyle w:val="BodyContent"/>
        <w:numPr>
          <w:ilvl w:val="3"/>
          <w:numId w:val="5"/>
        </w:numPr>
        <w:ind w:left="2160"/>
        <w:jc w:val="both"/>
        <w:rPr>
          <w:rFonts w:ascii="Calibri" w:hAnsi="Calibri"/>
        </w:rPr>
      </w:pPr>
      <w:r w:rsidRPr="00FC06A0">
        <w:rPr>
          <w:rFonts w:ascii="Calibri" w:hAnsi="Calibri"/>
        </w:rPr>
        <w:t xml:space="preserve">If including printed notes and figures, be sure to </w:t>
      </w:r>
      <w:r w:rsidRPr="00FC06A0">
        <w:rPr>
          <w:rFonts w:ascii="Calibri" w:hAnsi="Calibri"/>
          <w:b/>
          <w:bCs/>
        </w:rPr>
        <w:t>staple</w:t>
      </w:r>
      <w:r w:rsidRPr="00FC06A0">
        <w:rPr>
          <w:rFonts w:ascii="Calibri" w:hAnsi="Calibri"/>
        </w:rPr>
        <w:t xml:space="preserve"> these into the logbook. Avoid tape whenever possible.</w:t>
      </w:r>
    </w:p>
    <w:p w14:paraId="01600E22" w14:textId="0DA2F571" w:rsidR="00D258C5" w:rsidRPr="00FC06A0" w:rsidRDefault="00D258C5" w:rsidP="00FC06A0">
      <w:pPr>
        <w:pStyle w:val="BodyContent"/>
        <w:numPr>
          <w:ilvl w:val="3"/>
          <w:numId w:val="5"/>
        </w:numPr>
        <w:ind w:left="2160"/>
        <w:jc w:val="both"/>
        <w:rPr>
          <w:rFonts w:ascii="Calibri" w:hAnsi="Calibri"/>
        </w:rPr>
      </w:pPr>
      <w:r w:rsidRPr="00FC06A0">
        <w:rPr>
          <w:rFonts w:ascii="Calibri" w:hAnsi="Calibri"/>
        </w:rPr>
        <w:t>Manage the chain-of-custody for all evidence gathered</w:t>
      </w:r>
      <w:r w:rsidR="002D6C29" w:rsidRPr="00FC06A0">
        <w:rPr>
          <w:rFonts w:ascii="Calibri" w:hAnsi="Calibri"/>
        </w:rPr>
        <w:t>. You will want to be able to account for the handler and location for any evidence gathered and presented in a court of law.</w:t>
      </w:r>
    </w:p>
    <w:p w14:paraId="0686282F" w14:textId="2618E9C0" w:rsidR="00D258C5" w:rsidRPr="00FC06A0" w:rsidRDefault="002D6C29" w:rsidP="00FC06A0">
      <w:pPr>
        <w:pStyle w:val="BodyContent"/>
        <w:numPr>
          <w:ilvl w:val="3"/>
          <w:numId w:val="5"/>
        </w:numPr>
        <w:ind w:left="2160"/>
        <w:jc w:val="both"/>
        <w:rPr>
          <w:rFonts w:ascii="Calibri" w:hAnsi="Calibri"/>
        </w:rPr>
      </w:pPr>
      <w:r w:rsidRPr="00FC06A0">
        <w:rPr>
          <w:rFonts w:ascii="Calibri" w:hAnsi="Calibri"/>
        </w:rPr>
        <w:t>At a minimum, capture and update the following information for all incidents:</w:t>
      </w:r>
      <w:r w:rsidR="00D258C5" w:rsidRPr="00FC06A0">
        <w:rPr>
          <w:rFonts w:ascii="Calibri" w:hAnsi="Calibri"/>
        </w:rPr>
        <w:t xml:space="preserve"> </w:t>
      </w:r>
    </w:p>
    <w:p w14:paraId="5081A7B7" w14:textId="141D5FE0"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Current status</w:t>
      </w:r>
      <w:r w:rsidR="002D6C29" w:rsidRPr="00FC06A0">
        <w:rPr>
          <w:rFonts w:ascii="Calibri" w:hAnsi="Calibri"/>
        </w:rPr>
        <w:t xml:space="preserve"> of the incident (open/closed/re-opened)</w:t>
      </w:r>
    </w:p>
    <w:p w14:paraId="7AD28602" w14:textId="09B5878A" w:rsidR="00D258C5" w:rsidRPr="00FC06A0" w:rsidRDefault="002D6C29" w:rsidP="00FC06A0">
      <w:pPr>
        <w:pStyle w:val="BodyContent"/>
        <w:numPr>
          <w:ilvl w:val="4"/>
          <w:numId w:val="5"/>
        </w:numPr>
        <w:ind w:left="2880"/>
        <w:jc w:val="both"/>
        <w:rPr>
          <w:rFonts w:ascii="Calibri" w:hAnsi="Calibri"/>
        </w:rPr>
      </w:pPr>
      <w:r w:rsidRPr="00FC06A0">
        <w:rPr>
          <w:rFonts w:ascii="Calibri" w:hAnsi="Calibri"/>
        </w:rPr>
        <w:t>Updated summary</w:t>
      </w:r>
    </w:p>
    <w:p w14:paraId="3E63CFC3" w14:textId="7A3A8EAA"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Indicators related to the incident</w:t>
      </w:r>
    </w:p>
    <w:p w14:paraId="52329993" w14:textId="24B51A4F" w:rsidR="00D258C5" w:rsidRPr="00FC06A0" w:rsidRDefault="002D6C29" w:rsidP="00FC06A0">
      <w:pPr>
        <w:pStyle w:val="BodyContent"/>
        <w:numPr>
          <w:ilvl w:val="4"/>
          <w:numId w:val="5"/>
        </w:numPr>
        <w:ind w:left="2880"/>
        <w:jc w:val="both"/>
        <w:rPr>
          <w:rFonts w:ascii="Calibri" w:hAnsi="Calibri"/>
        </w:rPr>
      </w:pPr>
      <w:r w:rsidRPr="00FC06A0">
        <w:rPr>
          <w:rFonts w:ascii="Calibri" w:hAnsi="Calibri"/>
        </w:rPr>
        <w:t>Any</w:t>
      </w:r>
      <w:r w:rsidR="00D258C5" w:rsidRPr="00FC06A0">
        <w:rPr>
          <w:rFonts w:ascii="Calibri" w:hAnsi="Calibri"/>
        </w:rPr>
        <w:t xml:space="preserve"> similar incidents</w:t>
      </w:r>
    </w:p>
    <w:p w14:paraId="33801009" w14:textId="17340B9C"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Actions taken by the incident handlers</w:t>
      </w:r>
    </w:p>
    <w:p w14:paraId="75FA1CE9" w14:textId="2E408686"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Chain of custody for all evidence gathered</w:t>
      </w:r>
    </w:p>
    <w:p w14:paraId="6A2301D8" w14:textId="22E2A641" w:rsidR="00456DE5" w:rsidRPr="00FC06A0" w:rsidRDefault="00456DE5" w:rsidP="00FC06A0">
      <w:pPr>
        <w:pStyle w:val="BodyContent"/>
        <w:numPr>
          <w:ilvl w:val="5"/>
          <w:numId w:val="5"/>
        </w:numPr>
        <w:jc w:val="both"/>
        <w:rPr>
          <w:rFonts w:ascii="Calibri" w:hAnsi="Calibri"/>
        </w:rPr>
      </w:pPr>
      <w:r w:rsidRPr="00FC06A0">
        <w:rPr>
          <w:rFonts w:ascii="Calibri" w:hAnsi="Calibri"/>
        </w:rPr>
        <w:t>Identifying information for the evidence gathered</w:t>
      </w:r>
    </w:p>
    <w:p w14:paraId="5C0ABC32" w14:textId="2AD4B775" w:rsidR="00456DE5" w:rsidRPr="00FC06A0" w:rsidRDefault="00456DE5" w:rsidP="00FC06A0">
      <w:pPr>
        <w:pStyle w:val="BodyContent"/>
        <w:numPr>
          <w:ilvl w:val="5"/>
          <w:numId w:val="5"/>
        </w:numPr>
        <w:jc w:val="both"/>
        <w:rPr>
          <w:rFonts w:ascii="Calibri" w:hAnsi="Calibri"/>
        </w:rPr>
      </w:pPr>
      <w:r w:rsidRPr="00FC06A0">
        <w:rPr>
          <w:rFonts w:ascii="Calibri" w:hAnsi="Calibri"/>
        </w:rPr>
        <w:lastRenderedPageBreak/>
        <w:t>POC information for all individuals who collected or handled evidence</w:t>
      </w:r>
    </w:p>
    <w:p w14:paraId="307F9DC7" w14:textId="2975B12E" w:rsidR="00456DE5" w:rsidRPr="00FC06A0" w:rsidRDefault="00456DE5" w:rsidP="00FC06A0">
      <w:pPr>
        <w:pStyle w:val="BodyContent"/>
        <w:numPr>
          <w:ilvl w:val="5"/>
          <w:numId w:val="5"/>
        </w:numPr>
        <w:jc w:val="both"/>
        <w:rPr>
          <w:rFonts w:ascii="Calibri" w:hAnsi="Calibri"/>
        </w:rPr>
      </w:pPr>
      <w:r w:rsidRPr="00FC06A0">
        <w:rPr>
          <w:rFonts w:ascii="Calibri" w:hAnsi="Calibri"/>
        </w:rPr>
        <w:t>Time and date</w:t>
      </w:r>
    </w:p>
    <w:p w14:paraId="3D8EC704" w14:textId="231B0B8D" w:rsidR="00456DE5" w:rsidRPr="00FC06A0" w:rsidRDefault="00456DE5" w:rsidP="00FC06A0">
      <w:pPr>
        <w:pStyle w:val="BodyContent"/>
        <w:numPr>
          <w:ilvl w:val="5"/>
          <w:numId w:val="5"/>
        </w:numPr>
        <w:jc w:val="both"/>
        <w:rPr>
          <w:rFonts w:ascii="Calibri" w:hAnsi="Calibri"/>
        </w:rPr>
      </w:pPr>
      <w:r w:rsidRPr="00FC06A0">
        <w:rPr>
          <w:rFonts w:ascii="Calibri" w:hAnsi="Calibri"/>
        </w:rPr>
        <w:t>Location where evidence is stored</w:t>
      </w:r>
    </w:p>
    <w:p w14:paraId="02B25F72" w14:textId="100448E5"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Access restrictions for gathered data</w:t>
      </w:r>
    </w:p>
    <w:p w14:paraId="42AE27FA" w14:textId="47BA63B6"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Impact assessment</w:t>
      </w:r>
    </w:p>
    <w:p w14:paraId="7C75A150" w14:textId="45F3C454"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Contact information for the communications plan</w:t>
      </w:r>
    </w:p>
    <w:p w14:paraId="54901B73" w14:textId="3CBEE28D"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Comments</w:t>
      </w:r>
    </w:p>
    <w:p w14:paraId="5E3545AD" w14:textId="3F1AD035"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Next Steps</w:t>
      </w:r>
    </w:p>
    <w:p w14:paraId="51A30585" w14:textId="13902791" w:rsidR="002D1059" w:rsidRDefault="002D6C29" w:rsidP="00FC06A0">
      <w:pPr>
        <w:pStyle w:val="BodyContent"/>
        <w:ind w:left="1080"/>
        <w:jc w:val="both"/>
        <w:rPr>
          <w:rFonts w:ascii="Calibri" w:hAnsi="Calibri"/>
        </w:rPr>
      </w:pPr>
      <w:r w:rsidRPr="00FC06A0">
        <w:rPr>
          <w:rFonts w:ascii="Calibri" w:hAnsi="Calibri"/>
        </w:rPr>
        <w:t>A checklist</w:t>
      </w:r>
      <w:r w:rsidR="00E73ABD">
        <w:rPr>
          <w:rStyle w:val="FootnoteReference"/>
          <w:rFonts w:ascii="Calibri" w:hAnsi="Calibri"/>
        </w:rPr>
        <w:footnoteReference w:id="4"/>
      </w:r>
      <w:r w:rsidRPr="00FC06A0">
        <w:rPr>
          <w:rFonts w:ascii="Calibri" w:hAnsi="Calibri"/>
        </w:rPr>
        <w:t xml:space="preserve"> has been included in Appendix A in order to</w:t>
      </w:r>
      <w:r w:rsidR="007801FB">
        <w:rPr>
          <w:rFonts w:ascii="Calibri" w:hAnsi="Calibri"/>
        </w:rPr>
        <w:t xml:space="preserve"> assist the incident handlers.</w:t>
      </w:r>
    </w:p>
    <w:p w14:paraId="33BFADF2" w14:textId="1C4AA85D" w:rsidR="002D6C29" w:rsidRPr="00FC06A0" w:rsidRDefault="002D6C29" w:rsidP="00FC06A0">
      <w:pPr>
        <w:pStyle w:val="BodyContent"/>
        <w:ind w:left="1080"/>
        <w:jc w:val="both"/>
        <w:rPr>
          <w:rFonts w:ascii="Calibri" w:hAnsi="Calibri"/>
        </w:rPr>
      </w:pPr>
      <w:r w:rsidRPr="00FC06A0">
        <w:rPr>
          <w:rFonts w:ascii="Calibri" w:hAnsi="Calibri"/>
        </w:rPr>
        <w:t>Finally, the organization should maintain a log/list that captures basic metadata for each incident that</w:t>
      </w:r>
      <w:r w:rsidR="00FC06A0" w:rsidRPr="00FC06A0">
        <w:rPr>
          <w:rFonts w:ascii="Calibri" w:hAnsi="Calibri"/>
        </w:rPr>
        <w:t xml:space="preserve"> occurs. Metadata</w:t>
      </w:r>
      <w:r w:rsidRPr="00FC06A0">
        <w:rPr>
          <w:rFonts w:ascii="Calibri" w:hAnsi="Calibri"/>
        </w:rPr>
        <w:t xml:space="preserve"> may include time, date, incident </w:t>
      </w:r>
      <w:r w:rsidR="00FC06A0" w:rsidRPr="00FC06A0">
        <w:rPr>
          <w:rFonts w:ascii="Calibri" w:hAnsi="Calibri"/>
        </w:rPr>
        <w:t>name, priority, status, and remediation(s).</w:t>
      </w:r>
    </w:p>
    <w:p w14:paraId="6FDC267F" w14:textId="0F813034" w:rsidR="00532B63" w:rsidRPr="00EB684F" w:rsidRDefault="00456DE5" w:rsidP="000006C6">
      <w:pPr>
        <w:pStyle w:val="Heading2"/>
        <w:ind w:left="789"/>
        <w:rPr>
          <w:rFonts w:ascii="Calibri" w:hAnsi="Calibri"/>
          <w:b/>
        </w:rPr>
      </w:pPr>
      <w:bookmarkStart w:id="30" w:name="_Toc349825883"/>
      <w:r w:rsidRPr="00EB684F">
        <w:rPr>
          <w:rFonts w:ascii="Calibri" w:hAnsi="Calibri"/>
          <w:b/>
        </w:rPr>
        <w:t>Containment, Eradication, and Recovery</w:t>
      </w:r>
      <w:bookmarkEnd w:id="30"/>
    </w:p>
    <w:p w14:paraId="181C4B0D" w14:textId="1C52A0B2" w:rsidR="00AE0D2B" w:rsidRPr="00AE0D2B" w:rsidRDefault="00AE0D2B" w:rsidP="00AE0D2B">
      <w:pPr>
        <w:pStyle w:val="Heading3"/>
        <w:ind w:left="1440" w:hanging="540"/>
        <w:rPr>
          <w:rFonts w:ascii="Calibri" w:hAnsi="Calibri"/>
          <w:b/>
        </w:rPr>
      </w:pPr>
      <w:bookmarkStart w:id="31" w:name="_Toc349825884"/>
      <w:r w:rsidRPr="00AE0D2B">
        <w:rPr>
          <w:rFonts w:ascii="Calibri" w:hAnsi="Calibri"/>
          <w:b/>
        </w:rPr>
        <w:t>Containment</w:t>
      </w:r>
      <w:bookmarkEnd w:id="31"/>
    </w:p>
    <w:p w14:paraId="18A81FCD" w14:textId="00CBEE26" w:rsidR="005A50BD" w:rsidRPr="00CB6163" w:rsidRDefault="002D1059" w:rsidP="00AE0D2B">
      <w:pPr>
        <w:pStyle w:val="BodyContent"/>
        <w:ind w:left="1080"/>
        <w:jc w:val="both"/>
        <w:rPr>
          <w:rFonts w:ascii="Calibri" w:hAnsi="Calibri"/>
        </w:rPr>
      </w:pPr>
      <w:r>
        <w:rPr>
          <w:rFonts w:ascii="Calibri" w:hAnsi="Calibri"/>
        </w:rPr>
        <w:t xml:space="preserve">The containment strategy is going to depend on the nature of the incident as well as the risk tolerance of the </w:t>
      </w:r>
      <w:r w:rsidR="00147CA7">
        <w:rPr>
          <w:rFonts w:ascii="Calibri" w:hAnsi="Calibri"/>
        </w:rPr>
        <w:t>Bishop Gadsden</w:t>
      </w:r>
      <w:r>
        <w:rPr>
          <w:rFonts w:ascii="Calibri" w:hAnsi="Calibri"/>
        </w:rPr>
        <w:t xml:space="preserve"> organization.  For example, in the event of a ransomware attack, one of the best approaches is to disconnect from the network and shut down the targeted resource.  This minimizes the chances that the attack will spread and may make it possible to retrieve some content from the infected drive. Alternatively, for certain malware infections, it will</w:t>
      </w:r>
      <w:r w:rsidR="00AE0D2B">
        <w:rPr>
          <w:rFonts w:ascii="Calibri" w:hAnsi="Calibri"/>
        </w:rPr>
        <w:t xml:space="preserve"> be</w:t>
      </w:r>
      <w:r>
        <w:rPr>
          <w:rFonts w:ascii="Calibri" w:hAnsi="Calibri"/>
        </w:rPr>
        <w:t xml:space="preserve"> important to retrieve artifacts and data from volatile storage. In the target resource is shut down, the artifacts </w:t>
      </w:r>
      <w:r w:rsidR="00AE0D2B">
        <w:rPr>
          <w:rFonts w:ascii="Calibri" w:hAnsi="Calibri"/>
        </w:rPr>
        <w:t>may be lost.</w:t>
      </w:r>
    </w:p>
    <w:p w14:paraId="1B2E77D0" w14:textId="659FCAA5" w:rsidR="00CA47F1" w:rsidRDefault="00CA47F1" w:rsidP="00AE0D2B">
      <w:pPr>
        <w:pStyle w:val="Heading3"/>
        <w:ind w:left="1440" w:hanging="540"/>
        <w:rPr>
          <w:rFonts w:ascii="Calibri" w:hAnsi="Calibri"/>
          <w:b/>
        </w:rPr>
      </w:pPr>
      <w:bookmarkStart w:id="32" w:name="_Toc349825885"/>
      <w:r w:rsidRPr="00AE0D2B">
        <w:rPr>
          <w:rFonts w:ascii="Calibri" w:hAnsi="Calibri"/>
          <w:b/>
        </w:rPr>
        <w:t>Eradication a</w:t>
      </w:r>
      <w:r w:rsidR="00AE0D2B">
        <w:rPr>
          <w:rFonts w:ascii="Calibri" w:hAnsi="Calibri"/>
          <w:b/>
        </w:rPr>
        <w:t>nd Recovery</w:t>
      </w:r>
      <w:bookmarkEnd w:id="32"/>
    </w:p>
    <w:p w14:paraId="3E2E0464" w14:textId="5DDFACC8" w:rsidR="00AE0D2B" w:rsidRDefault="00AE0D2B" w:rsidP="00831D4A">
      <w:pPr>
        <w:ind w:left="1080"/>
        <w:jc w:val="both"/>
      </w:pPr>
      <w:r>
        <w:t>Eradication and recovery activities are also going to depend on the nature of the incident. These can range from deleting a suspicious email on the Outlook server to rebuilding an entire domain. To a certain extent, recovery activities will also depend on the risk appetite of the organization. However, a good rule of thumb is that if there is any doubt wipe it clean and rebuild from trusted media</w:t>
      </w:r>
    </w:p>
    <w:p w14:paraId="68F459E2" w14:textId="72C42321" w:rsidR="00AE0D2B" w:rsidRPr="00AE0D2B" w:rsidRDefault="00AE0D2B" w:rsidP="00831D4A">
      <w:pPr>
        <w:ind w:left="1080"/>
      </w:pPr>
      <w:r>
        <w:t>Eradication and Recovery activities include, but are not limited to:</w:t>
      </w:r>
    </w:p>
    <w:p w14:paraId="4B933733" w14:textId="69B9716C" w:rsidR="00CA47F1" w:rsidRPr="00CB6163" w:rsidRDefault="00CA47F1" w:rsidP="00FC06A0">
      <w:pPr>
        <w:pStyle w:val="BodyContent"/>
        <w:numPr>
          <w:ilvl w:val="2"/>
          <w:numId w:val="5"/>
        </w:numPr>
        <w:rPr>
          <w:rFonts w:ascii="Calibri" w:hAnsi="Calibri"/>
        </w:rPr>
      </w:pPr>
      <w:r w:rsidRPr="00CB6163">
        <w:rPr>
          <w:rFonts w:ascii="Calibri" w:hAnsi="Calibri"/>
        </w:rPr>
        <w:lastRenderedPageBreak/>
        <w:t>Identifying affected hosts</w:t>
      </w:r>
    </w:p>
    <w:p w14:paraId="60B7328A" w14:textId="6AD10019" w:rsidR="00CA47F1" w:rsidRPr="00CB6163" w:rsidRDefault="00CA47F1" w:rsidP="00FC06A0">
      <w:pPr>
        <w:pStyle w:val="BodyContent"/>
        <w:numPr>
          <w:ilvl w:val="2"/>
          <w:numId w:val="5"/>
        </w:numPr>
        <w:rPr>
          <w:rFonts w:ascii="Calibri" w:hAnsi="Calibri"/>
        </w:rPr>
      </w:pPr>
      <w:r w:rsidRPr="00CB6163">
        <w:rPr>
          <w:rFonts w:ascii="Calibri" w:hAnsi="Calibri"/>
        </w:rPr>
        <w:t>Disabling user accounts</w:t>
      </w:r>
    </w:p>
    <w:p w14:paraId="6F38A2F8" w14:textId="7367DE32" w:rsidR="00CA47F1" w:rsidRPr="00CB6163" w:rsidRDefault="005A50BD" w:rsidP="00FC06A0">
      <w:pPr>
        <w:pStyle w:val="BodyContent"/>
        <w:numPr>
          <w:ilvl w:val="2"/>
          <w:numId w:val="5"/>
        </w:numPr>
        <w:rPr>
          <w:rFonts w:ascii="Calibri" w:hAnsi="Calibri"/>
        </w:rPr>
      </w:pPr>
      <w:r w:rsidRPr="00CB6163">
        <w:rPr>
          <w:rFonts w:ascii="Calibri" w:hAnsi="Calibri"/>
        </w:rPr>
        <w:t>Searching for and r</w:t>
      </w:r>
      <w:r w:rsidR="00AE0D2B">
        <w:rPr>
          <w:rFonts w:ascii="Calibri" w:hAnsi="Calibri"/>
        </w:rPr>
        <w:t>emoving m</w:t>
      </w:r>
      <w:r w:rsidR="00CA47F1" w:rsidRPr="00CB6163">
        <w:rPr>
          <w:rFonts w:ascii="Calibri" w:hAnsi="Calibri"/>
        </w:rPr>
        <w:t>alware</w:t>
      </w:r>
      <w:r w:rsidR="00AE0D2B">
        <w:rPr>
          <w:rFonts w:ascii="Calibri" w:hAnsi="Calibri"/>
        </w:rPr>
        <w:t xml:space="preserve"> (files, services, subscriptions, registry keys, etc.)</w:t>
      </w:r>
    </w:p>
    <w:p w14:paraId="6EFDB099" w14:textId="3B99E20C" w:rsidR="00CA47F1" w:rsidRPr="00CB6163" w:rsidRDefault="00CA47F1" w:rsidP="00FC06A0">
      <w:pPr>
        <w:pStyle w:val="BodyContent"/>
        <w:numPr>
          <w:ilvl w:val="2"/>
          <w:numId w:val="5"/>
        </w:numPr>
        <w:rPr>
          <w:rFonts w:ascii="Calibri" w:hAnsi="Calibri"/>
        </w:rPr>
      </w:pPr>
      <w:r w:rsidRPr="00CB6163">
        <w:rPr>
          <w:rFonts w:ascii="Calibri" w:hAnsi="Calibri"/>
        </w:rPr>
        <w:t>Mitigating/patching vulnerabilities</w:t>
      </w:r>
    </w:p>
    <w:p w14:paraId="0D620B83" w14:textId="056053B2" w:rsidR="006658BD" w:rsidRPr="00CB6163" w:rsidRDefault="006658BD" w:rsidP="00FC06A0">
      <w:pPr>
        <w:pStyle w:val="BodyContent"/>
        <w:numPr>
          <w:ilvl w:val="2"/>
          <w:numId w:val="5"/>
        </w:numPr>
        <w:rPr>
          <w:rFonts w:ascii="Calibri" w:hAnsi="Calibri"/>
        </w:rPr>
      </w:pPr>
      <w:r w:rsidRPr="00CB6163">
        <w:rPr>
          <w:rFonts w:ascii="Calibri" w:hAnsi="Calibri"/>
        </w:rPr>
        <w:t>Restoring from back-up</w:t>
      </w:r>
    </w:p>
    <w:p w14:paraId="07D96F92" w14:textId="1EFF9580" w:rsidR="00CA47F1" w:rsidRPr="00CB6163" w:rsidRDefault="00CA47F1" w:rsidP="00FC06A0">
      <w:pPr>
        <w:pStyle w:val="BodyContent"/>
        <w:numPr>
          <w:ilvl w:val="2"/>
          <w:numId w:val="5"/>
        </w:numPr>
        <w:rPr>
          <w:rFonts w:ascii="Calibri" w:hAnsi="Calibri"/>
        </w:rPr>
      </w:pPr>
      <w:r w:rsidRPr="00CB6163">
        <w:rPr>
          <w:rFonts w:ascii="Calibri" w:hAnsi="Calibri"/>
        </w:rPr>
        <w:t>Rebuilding from trusted media</w:t>
      </w:r>
    </w:p>
    <w:p w14:paraId="1981AE12" w14:textId="25C5D0FE" w:rsidR="00CA47F1" w:rsidRPr="00CB6163" w:rsidRDefault="00CA47F1" w:rsidP="00FC06A0">
      <w:pPr>
        <w:pStyle w:val="BodyContent"/>
        <w:numPr>
          <w:ilvl w:val="2"/>
          <w:numId w:val="5"/>
        </w:numPr>
        <w:rPr>
          <w:rFonts w:ascii="Calibri" w:hAnsi="Calibri"/>
        </w:rPr>
      </w:pPr>
      <w:r w:rsidRPr="00CB6163">
        <w:rPr>
          <w:rFonts w:ascii="Calibri" w:hAnsi="Calibri"/>
        </w:rPr>
        <w:t>Rebuilding domain</w:t>
      </w:r>
      <w:r w:rsidR="005A50BD" w:rsidRPr="00CB6163">
        <w:rPr>
          <w:rFonts w:ascii="Calibri" w:hAnsi="Calibri"/>
        </w:rPr>
        <w:t xml:space="preserve"> resources</w:t>
      </w:r>
      <w:r w:rsidRPr="00CB6163">
        <w:rPr>
          <w:rFonts w:ascii="Calibri" w:hAnsi="Calibri"/>
        </w:rPr>
        <w:t xml:space="preserve"> from scratch</w:t>
      </w:r>
    </w:p>
    <w:p w14:paraId="0A412A88" w14:textId="3A3EDCC4" w:rsidR="00CA47F1" w:rsidRPr="00CB6163" w:rsidRDefault="005A50BD" w:rsidP="00FC06A0">
      <w:pPr>
        <w:pStyle w:val="BodyContent"/>
        <w:numPr>
          <w:ilvl w:val="2"/>
          <w:numId w:val="5"/>
        </w:numPr>
        <w:rPr>
          <w:rFonts w:ascii="Calibri" w:hAnsi="Calibri"/>
        </w:rPr>
      </w:pPr>
      <w:r w:rsidRPr="00CB6163">
        <w:rPr>
          <w:rFonts w:ascii="Calibri" w:hAnsi="Calibri"/>
        </w:rPr>
        <w:t>Making c</w:t>
      </w:r>
      <w:r w:rsidR="00CA47F1" w:rsidRPr="00CB6163">
        <w:rPr>
          <w:rFonts w:ascii="Calibri" w:hAnsi="Calibri"/>
        </w:rPr>
        <w:t xml:space="preserve">hanges to </w:t>
      </w:r>
      <w:r w:rsidRPr="00CB6163">
        <w:rPr>
          <w:rFonts w:ascii="Calibri" w:hAnsi="Calibri"/>
        </w:rPr>
        <w:t xml:space="preserve">system </w:t>
      </w:r>
      <w:r w:rsidR="00CA47F1" w:rsidRPr="00CB6163">
        <w:rPr>
          <w:rFonts w:ascii="Calibri" w:hAnsi="Calibri"/>
        </w:rPr>
        <w:t>configurations and/or security controls</w:t>
      </w:r>
    </w:p>
    <w:p w14:paraId="5B77827E" w14:textId="50E15638" w:rsidR="006658BD" w:rsidRDefault="006658BD" w:rsidP="000006C6">
      <w:pPr>
        <w:pStyle w:val="Heading2"/>
        <w:ind w:left="789"/>
        <w:rPr>
          <w:rFonts w:ascii="Calibri" w:hAnsi="Calibri"/>
          <w:b/>
        </w:rPr>
      </w:pPr>
      <w:bookmarkStart w:id="33" w:name="_Toc349825886"/>
      <w:r w:rsidRPr="00AE0D2B">
        <w:rPr>
          <w:rFonts w:ascii="Calibri" w:hAnsi="Calibri"/>
          <w:b/>
        </w:rPr>
        <w:t>Post Incident Activity and Reporting</w:t>
      </w:r>
      <w:bookmarkEnd w:id="33"/>
    </w:p>
    <w:p w14:paraId="60E6B4CC" w14:textId="4EE45CB6" w:rsidR="00831D4A" w:rsidRPr="002B0231" w:rsidRDefault="002B0231" w:rsidP="00831D4A">
      <w:pPr>
        <w:pStyle w:val="BodyContent"/>
        <w:rPr>
          <w:rFonts w:ascii="Calibri" w:hAnsi="Calibri"/>
        </w:rPr>
      </w:pPr>
      <w:r w:rsidRPr="002B0231">
        <w:rPr>
          <w:rFonts w:ascii="Calibri" w:hAnsi="Calibri"/>
        </w:rPr>
        <w:t xml:space="preserve">Closing out and </w:t>
      </w:r>
      <w:r>
        <w:rPr>
          <w:rFonts w:ascii="Calibri" w:hAnsi="Calibri"/>
        </w:rPr>
        <w:t xml:space="preserve">reporting on the incident </w:t>
      </w:r>
      <w:r w:rsidR="001D4D25">
        <w:rPr>
          <w:rFonts w:ascii="Calibri" w:hAnsi="Calibri"/>
        </w:rPr>
        <w:t xml:space="preserve">provides </w:t>
      </w:r>
      <w:r w:rsidR="00147CA7">
        <w:rPr>
          <w:rFonts w:ascii="Calibri" w:hAnsi="Calibri"/>
        </w:rPr>
        <w:t>Bishop Gadsden</w:t>
      </w:r>
      <w:r w:rsidR="001D4D25">
        <w:rPr>
          <w:rFonts w:ascii="Calibri" w:hAnsi="Calibri"/>
        </w:rPr>
        <w:t xml:space="preserve"> with an opportunity to develop and implement mitigations, improve existing security controls, and satisfy specific regulatory requirements.  Each of these activities helps </w:t>
      </w:r>
      <w:r w:rsidR="00147CA7">
        <w:rPr>
          <w:rFonts w:ascii="Calibri" w:hAnsi="Calibri"/>
        </w:rPr>
        <w:t xml:space="preserve">Bishop Gadsden </w:t>
      </w:r>
      <w:r w:rsidR="001D4D25">
        <w:rPr>
          <w:rFonts w:ascii="Calibri" w:hAnsi="Calibri"/>
        </w:rPr>
        <w:t xml:space="preserve">to better prepare </w:t>
      </w:r>
      <w:r w:rsidR="00147CA7">
        <w:rPr>
          <w:rFonts w:ascii="Calibri" w:hAnsi="Calibri"/>
        </w:rPr>
        <w:t>for repeated or similar attacks and incidents.  Post Incident and reporting activities may include:</w:t>
      </w:r>
    </w:p>
    <w:p w14:paraId="68DC0D6B" w14:textId="5CFBAED1" w:rsidR="00F2142E" w:rsidRPr="00CB6163" w:rsidRDefault="00F2142E" w:rsidP="00FC06A0">
      <w:pPr>
        <w:pStyle w:val="BodyContent"/>
        <w:numPr>
          <w:ilvl w:val="1"/>
          <w:numId w:val="5"/>
        </w:numPr>
        <w:rPr>
          <w:rFonts w:ascii="Calibri" w:hAnsi="Calibri"/>
        </w:rPr>
      </w:pPr>
      <w:r w:rsidRPr="00CB6163">
        <w:rPr>
          <w:rFonts w:ascii="Calibri" w:hAnsi="Calibri"/>
        </w:rPr>
        <w:t>Determining business impacts</w:t>
      </w:r>
    </w:p>
    <w:p w14:paraId="4E092BC7" w14:textId="29C59600" w:rsidR="006658BD" w:rsidRPr="00CB6163" w:rsidRDefault="006658BD" w:rsidP="00FC06A0">
      <w:pPr>
        <w:pStyle w:val="BodyContent"/>
        <w:numPr>
          <w:ilvl w:val="1"/>
          <w:numId w:val="5"/>
        </w:numPr>
        <w:rPr>
          <w:rFonts w:ascii="Calibri" w:hAnsi="Calibri"/>
        </w:rPr>
      </w:pPr>
      <w:r w:rsidRPr="00CB6163">
        <w:rPr>
          <w:rFonts w:ascii="Calibri" w:hAnsi="Calibri"/>
        </w:rPr>
        <w:t xml:space="preserve">Updating </w:t>
      </w:r>
      <w:r w:rsidR="00147CA7">
        <w:rPr>
          <w:rFonts w:ascii="Calibri" w:hAnsi="Calibri"/>
        </w:rPr>
        <w:t xml:space="preserve">the </w:t>
      </w:r>
      <w:r w:rsidRPr="00CB6163">
        <w:rPr>
          <w:rFonts w:ascii="Calibri" w:hAnsi="Calibri"/>
        </w:rPr>
        <w:t>threat matrix</w:t>
      </w:r>
    </w:p>
    <w:p w14:paraId="6FB595E1" w14:textId="1C183659" w:rsidR="006658BD" w:rsidRPr="00CB6163" w:rsidRDefault="006658BD" w:rsidP="00FC06A0">
      <w:pPr>
        <w:pStyle w:val="BodyContent"/>
        <w:numPr>
          <w:ilvl w:val="1"/>
          <w:numId w:val="5"/>
        </w:numPr>
        <w:rPr>
          <w:rFonts w:ascii="Calibri" w:hAnsi="Calibri"/>
        </w:rPr>
      </w:pPr>
      <w:r w:rsidRPr="00CB6163">
        <w:rPr>
          <w:rFonts w:ascii="Calibri" w:hAnsi="Calibri"/>
        </w:rPr>
        <w:t xml:space="preserve">Revisiting </w:t>
      </w:r>
      <w:r w:rsidR="00147CA7">
        <w:rPr>
          <w:rFonts w:ascii="Calibri" w:hAnsi="Calibri"/>
        </w:rPr>
        <w:t xml:space="preserve">the </w:t>
      </w:r>
      <w:r w:rsidRPr="00CB6163">
        <w:rPr>
          <w:rFonts w:ascii="Calibri" w:hAnsi="Calibri"/>
        </w:rPr>
        <w:t>risk analysis</w:t>
      </w:r>
    </w:p>
    <w:p w14:paraId="5A6AA159" w14:textId="6AD465A0" w:rsidR="006658BD" w:rsidRPr="00CB6163" w:rsidRDefault="006658BD" w:rsidP="00FC06A0">
      <w:pPr>
        <w:pStyle w:val="BodyContent"/>
        <w:numPr>
          <w:ilvl w:val="1"/>
          <w:numId w:val="5"/>
        </w:numPr>
        <w:rPr>
          <w:rFonts w:ascii="Calibri" w:hAnsi="Calibri"/>
        </w:rPr>
      </w:pPr>
      <w:r w:rsidRPr="00CB6163">
        <w:rPr>
          <w:rFonts w:ascii="Calibri" w:hAnsi="Calibri"/>
        </w:rPr>
        <w:t>Implementing permanent mitigations and fixes</w:t>
      </w:r>
    </w:p>
    <w:p w14:paraId="2D9C9387" w14:textId="714BA52E" w:rsidR="006658BD" w:rsidRPr="00CB6163" w:rsidRDefault="006658BD" w:rsidP="00FC06A0">
      <w:pPr>
        <w:pStyle w:val="BodyContent"/>
        <w:numPr>
          <w:ilvl w:val="1"/>
          <w:numId w:val="5"/>
        </w:numPr>
        <w:rPr>
          <w:rFonts w:ascii="Calibri" w:hAnsi="Calibri"/>
        </w:rPr>
      </w:pPr>
      <w:r w:rsidRPr="00CB6163">
        <w:rPr>
          <w:rFonts w:ascii="Calibri" w:hAnsi="Calibri"/>
        </w:rPr>
        <w:t>Developing lessons learned</w:t>
      </w:r>
    </w:p>
    <w:p w14:paraId="7E0CD1DD" w14:textId="0D415A8F" w:rsidR="006658BD" w:rsidRPr="00CB6163" w:rsidRDefault="00147CA7" w:rsidP="00FC06A0">
      <w:pPr>
        <w:pStyle w:val="BodyContent"/>
        <w:numPr>
          <w:ilvl w:val="1"/>
          <w:numId w:val="5"/>
        </w:numPr>
        <w:rPr>
          <w:rFonts w:ascii="Calibri" w:hAnsi="Calibri"/>
        </w:rPr>
      </w:pPr>
      <w:r>
        <w:rPr>
          <w:rFonts w:ascii="Calibri" w:hAnsi="Calibri"/>
        </w:rPr>
        <w:t>Updating the</w:t>
      </w:r>
      <w:r w:rsidR="006658BD" w:rsidRPr="00CB6163">
        <w:rPr>
          <w:rFonts w:ascii="Calibri" w:hAnsi="Calibri"/>
        </w:rPr>
        <w:t xml:space="preserve"> incident logs</w:t>
      </w:r>
    </w:p>
    <w:p w14:paraId="4CDC0ABD" w14:textId="20FA57DF" w:rsidR="006658BD" w:rsidRPr="00CB6163" w:rsidRDefault="006658BD" w:rsidP="00FC06A0">
      <w:pPr>
        <w:pStyle w:val="BodyContent"/>
        <w:numPr>
          <w:ilvl w:val="1"/>
          <w:numId w:val="5"/>
        </w:numPr>
        <w:rPr>
          <w:rFonts w:ascii="Calibri" w:hAnsi="Calibri"/>
        </w:rPr>
      </w:pPr>
      <w:r w:rsidRPr="00CB6163">
        <w:rPr>
          <w:rFonts w:ascii="Calibri" w:hAnsi="Calibri"/>
        </w:rPr>
        <w:t>Gather</w:t>
      </w:r>
      <w:r w:rsidR="00147CA7">
        <w:rPr>
          <w:rFonts w:ascii="Calibri" w:hAnsi="Calibri"/>
        </w:rPr>
        <w:t>ing</w:t>
      </w:r>
      <w:r w:rsidRPr="00CB6163">
        <w:rPr>
          <w:rFonts w:ascii="Calibri" w:hAnsi="Calibri"/>
        </w:rPr>
        <w:t xml:space="preserve"> and document</w:t>
      </w:r>
      <w:r w:rsidR="00147CA7">
        <w:rPr>
          <w:rFonts w:ascii="Calibri" w:hAnsi="Calibri"/>
        </w:rPr>
        <w:t>ing</w:t>
      </w:r>
      <w:r w:rsidRPr="00CB6163">
        <w:rPr>
          <w:rFonts w:ascii="Calibri" w:hAnsi="Calibri"/>
        </w:rPr>
        <w:t xml:space="preserve"> metrics</w:t>
      </w:r>
      <w:r w:rsidR="00147CA7">
        <w:rPr>
          <w:rFonts w:ascii="Calibri" w:hAnsi="Calibri"/>
        </w:rPr>
        <w:t xml:space="preserve"> including</w:t>
      </w:r>
      <w:r w:rsidRPr="00CB6163">
        <w:rPr>
          <w:rFonts w:ascii="Calibri" w:hAnsi="Calibri"/>
        </w:rPr>
        <w:t>:</w:t>
      </w:r>
    </w:p>
    <w:p w14:paraId="579A97FB" w14:textId="5C1A9E08" w:rsidR="006658BD" w:rsidRPr="00CB6163" w:rsidRDefault="006658BD" w:rsidP="00FC06A0">
      <w:pPr>
        <w:pStyle w:val="BodyContent"/>
        <w:numPr>
          <w:ilvl w:val="2"/>
          <w:numId w:val="5"/>
        </w:numPr>
        <w:rPr>
          <w:rFonts w:ascii="Calibri" w:hAnsi="Calibri"/>
        </w:rPr>
      </w:pPr>
      <w:r w:rsidRPr="00CB6163">
        <w:rPr>
          <w:rFonts w:ascii="Calibri" w:hAnsi="Calibri"/>
        </w:rPr>
        <w:t>Number of incidents handled</w:t>
      </w:r>
    </w:p>
    <w:p w14:paraId="0FBCE144" w14:textId="5F80B095" w:rsidR="006658BD" w:rsidRPr="00CB6163" w:rsidRDefault="006658BD" w:rsidP="00FC06A0">
      <w:pPr>
        <w:pStyle w:val="BodyContent"/>
        <w:numPr>
          <w:ilvl w:val="2"/>
          <w:numId w:val="5"/>
        </w:numPr>
        <w:rPr>
          <w:rFonts w:ascii="Calibri" w:hAnsi="Calibri"/>
        </w:rPr>
      </w:pPr>
      <w:r w:rsidRPr="00CB6163">
        <w:rPr>
          <w:rFonts w:ascii="Calibri" w:hAnsi="Calibri"/>
        </w:rPr>
        <w:t>Man-hours spent per incident</w:t>
      </w:r>
    </w:p>
    <w:p w14:paraId="042D78D2" w14:textId="7F4811C0" w:rsidR="006658BD" w:rsidRPr="00CB6163" w:rsidRDefault="006658BD" w:rsidP="00FC06A0">
      <w:pPr>
        <w:pStyle w:val="BodyContent"/>
        <w:numPr>
          <w:ilvl w:val="2"/>
          <w:numId w:val="5"/>
        </w:numPr>
        <w:rPr>
          <w:rFonts w:ascii="Calibri" w:hAnsi="Calibri"/>
        </w:rPr>
      </w:pPr>
      <w:r w:rsidRPr="00CB6163">
        <w:rPr>
          <w:rFonts w:ascii="Calibri" w:hAnsi="Calibri"/>
        </w:rPr>
        <w:t>Average man-hours spent per incident</w:t>
      </w:r>
    </w:p>
    <w:p w14:paraId="7B38C512" w14:textId="4BED3B0D" w:rsidR="006658BD" w:rsidRPr="00CB6163" w:rsidRDefault="006658BD" w:rsidP="00FC06A0">
      <w:pPr>
        <w:pStyle w:val="BodyContent"/>
        <w:numPr>
          <w:ilvl w:val="2"/>
          <w:numId w:val="5"/>
        </w:numPr>
        <w:rPr>
          <w:rFonts w:ascii="Calibri" w:hAnsi="Calibri"/>
        </w:rPr>
      </w:pPr>
      <w:r w:rsidRPr="00CB6163">
        <w:rPr>
          <w:rFonts w:ascii="Calibri" w:hAnsi="Calibri"/>
        </w:rPr>
        <w:t>Timeline</w:t>
      </w:r>
    </w:p>
    <w:p w14:paraId="670328FB" w14:textId="2186211F" w:rsidR="006658BD" w:rsidRPr="00CB6163" w:rsidRDefault="006658BD" w:rsidP="00FC06A0">
      <w:pPr>
        <w:pStyle w:val="BodyContent"/>
        <w:numPr>
          <w:ilvl w:val="2"/>
          <w:numId w:val="5"/>
        </w:numPr>
        <w:rPr>
          <w:rFonts w:ascii="Calibri" w:hAnsi="Calibri"/>
        </w:rPr>
      </w:pPr>
      <w:r w:rsidRPr="00CB6163">
        <w:rPr>
          <w:rFonts w:ascii="Calibri" w:hAnsi="Calibri"/>
        </w:rPr>
        <w:t>Time-to-Detection</w:t>
      </w:r>
    </w:p>
    <w:p w14:paraId="0FC0CE9C" w14:textId="4C45A243" w:rsidR="00831D4A" w:rsidRDefault="006658BD" w:rsidP="00831D4A">
      <w:pPr>
        <w:pStyle w:val="BodyContent"/>
        <w:numPr>
          <w:ilvl w:val="2"/>
          <w:numId w:val="5"/>
        </w:numPr>
        <w:rPr>
          <w:rFonts w:ascii="Calibri" w:hAnsi="Calibri"/>
        </w:rPr>
      </w:pPr>
      <w:r w:rsidRPr="00CB6163">
        <w:rPr>
          <w:rFonts w:ascii="Calibri" w:hAnsi="Calibri"/>
        </w:rPr>
        <w:t>Time-to-Recovery</w:t>
      </w:r>
    </w:p>
    <w:p w14:paraId="0C9E9321" w14:textId="3A7F074C" w:rsidR="007174F2" w:rsidRPr="00831D4A" w:rsidRDefault="007174F2" w:rsidP="007174F2">
      <w:pPr>
        <w:pStyle w:val="BodyContent"/>
        <w:numPr>
          <w:ilvl w:val="1"/>
          <w:numId w:val="5"/>
        </w:numPr>
        <w:rPr>
          <w:rFonts w:ascii="Calibri" w:hAnsi="Calibri"/>
        </w:rPr>
      </w:pPr>
      <w:r>
        <w:rPr>
          <w:rFonts w:ascii="Calibri" w:hAnsi="Calibri"/>
        </w:rPr>
        <w:lastRenderedPageBreak/>
        <w:t>Periodically review incident logs and reports</w:t>
      </w:r>
      <w:bookmarkStart w:id="34" w:name="_GoBack"/>
      <w:bookmarkEnd w:id="34"/>
    </w:p>
    <w:p w14:paraId="5C0810AE" w14:textId="77777777" w:rsidR="006658BD" w:rsidRDefault="003736F0" w:rsidP="003736F0">
      <w:pPr>
        <w:pStyle w:val="Heading1"/>
        <w:ind w:left="357" w:hanging="357"/>
        <w:rPr>
          <w:rFonts w:ascii="Calibri" w:hAnsi="Calibri"/>
          <w:b/>
          <w:sz w:val="26"/>
          <w:szCs w:val="26"/>
        </w:rPr>
      </w:pPr>
      <w:bookmarkStart w:id="35" w:name="_Toc349825887"/>
      <w:r w:rsidRPr="00831D4A">
        <w:rPr>
          <w:rFonts w:ascii="Calibri" w:hAnsi="Calibri"/>
          <w:b/>
          <w:sz w:val="26"/>
          <w:szCs w:val="26"/>
        </w:rPr>
        <w:t>Related Standards, Policies, and Processes</w:t>
      </w:r>
      <w:bookmarkEnd w:id="35"/>
    </w:p>
    <w:p w14:paraId="07119C05" w14:textId="77777777" w:rsidR="007801FB" w:rsidRPr="00CB6163" w:rsidRDefault="007801FB" w:rsidP="007801FB">
      <w:pPr>
        <w:pStyle w:val="BodyContent"/>
        <w:numPr>
          <w:ilvl w:val="0"/>
          <w:numId w:val="12"/>
        </w:numPr>
        <w:jc w:val="both"/>
        <w:rPr>
          <w:rFonts w:ascii="Calibri" w:hAnsi="Calibri"/>
        </w:rPr>
      </w:pPr>
      <w:r w:rsidRPr="00CB6163">
        <w:rPr>
          <w:rFonts w:ascii="Calibri" w:hAnsi="Calibri"/>
        </w:rPr>
        <w:t>Notification to Media: Timeliness of Notification (45 CFR 164.406(b))</w:t>
      </w:r>
    </w:p>
    <w:p w14:paraId="499B2B35" w14:textId="77777777" w:rsidR="007801FB" w:rsidRDefault="007801FB" w:rsidP="007801FB">
      <w:pPr>
        <w:pStyle w:val="BodyContent"/>
        <w:numPr>
          <w:ilvl w:val="0"/>
          <w:numId w:val="12"/>
        </w:numPr>
        <w:jc w:val="both"/>
        <w:rPr>
          <w:rFonts w:ascii="Calibri" w:hAnsi="Calibri"/>
        </w:rPr>
      </w:pPr>
      <w:r w:rsidRPr="00CB6163">
        <w:rPr>
          <w:rFonts w:ascii="Calibri" w:hAnsi="Calibri"/>
        </w:rPr>
        <w:t>Notification to Media: Content of Notification (45 CFR 164.406(c))</w:t>
      </w:r>
    </w:p>
    <w:p w14:paraId="407BD6AF" w14:textId="77777777" w:rsidR="007801FB" w:rsidRPr="00CB6163" w:rsidRDefault="007801FB" w:rsidP="007801FB">
      <w:pPr>
        <w:pStyle w:val="BodyContent"/>
        <w:numPr>
          <w:ilvl w:val="0"/>
          <w:numId w:val="12"/>
        </w:numPr>
        <w:rPr>
          <w:rFonts w:ascii="Calibri" w:hAnsi="Calibri"/>
        </w:rPr>
      </w:pPr>
      <w:r w:rsidRPr="00CB6163">
        <w:rPr>
          <w:rFonts w:ascii="Calibri" w:hAnsi="Calibri"/>
        </w:rPr>
        <w:t>Notification to Individuals: Timeliness of Notification (45 CFR 164.404(b))</w:t>
      </w:r>
    </w:p>
    <w:p w14:paraId="69E7BE28" w14:textId="77777777" w:rsidR="007801FB" w:rsidRPr="00CB6163" w:rsidRDefault="007801FB" w:rsidP="007801FB">
      <w:pPr>
        <w:pStyle w:val="BodyContent"/>
        <w:numPr>
          <w:ilvl w:val="0"/>
          <w:numId w:val="12"/>
        </w:numPr>
        <w:rPr>
          <w:rFonts w:ascii="Calibri" w:hAnsi="Calibri"/>
        </w:rPr>
      </w:pPr>
      <w:r w:rsidRPr="00CB6163">
        <w:rPr>
          <w:rFonts w:ascii="Calibri" w:hAnsi="Calibri"/>
        </w:rPr>
        <w:t>Notification to Individuals: Content of Notification—Elements (45 CFR 164.404(c)(1))</w:t>
      </w:r>
    </w:p>
    <w:p w14:paraId="7A76E26A" w14:textId="77777777" w:rsidR="007801FB" w:rsidRPr="00CB6163" w:rsidRDefault="007801FB" w:rsidP="007801FB">
      <w:pPr>
        <w:pStyle w:val="BodyContent"/>
        <w:numPr>
          <w:ilvl w:val="0"/>
          <w:numId w:val="12"/>
        </w:numPr>
        <w:rPr>
          <w:rFonts w:ascii="Calibri" w:hAnsi="Calibri"/>
        </w:rPr>
      </w:pPr>
      <w:r w:rsidRPr="00CB6163">
        <w:rPr>
          <w:rFonts w:ascii="Calibri" w:hAnsi="Calibri"/>
        </w:rPr>
        <w:t>Notification to Individuals: Content of Notification—Plain Language Requirement (45 CFR 164.404(c)(2))</w:t>
      </w:r>
    </w:p>
    <w:p w14:paraId="3DD8ED33" w14:textId="77777777" w:rsidR="007801FB" w:rsidRPr="00CB6163" w:rsidRDefault="007801FB" w:rsidP="007801FB">
      <w:pPr>
        <w:pStyle w:val="BodyContent"/>
        <w:numPr>
          <w:ilvl w:val="0"/>
          <w:numId w:val="12"/>
        </w:numPr>
        <w:rPr>
          <w:rFonts w:ascii="Calibri" w:hAnsi="Calibri"/>
        </w:rPr>
      </w:pPr>
      <w:r w:rsidRPr="00CB6163">
        <w:rPr>
          <w:rFonts w:ascii="Calibri" w:hAnsi="Calibri"/>
        </w:rPr>
        <w:t>Notification to Individuals: Methods of Individual Notification—Written Notice (45 CFR 164.404(d)(1))</w:t>
      </w:r>
    </w:p>
    <w:p w14:paraId="46109E8F" w14:textId="77777777" w:rsidR="007801FB" w:rsidRPr="00CB6163" w:rsidRDefault="007801FB" w:rsidP="007801FB">
      <w:pPr>
        <w:pStyle w:val="BodyContent"/>
        <w:numPr>
          <w:ilvl w:val="0"/>
          <w:numId w:val="12"/>
        </w:numPr>
        <w:rPr>
          <w:rFonts w:ascii="Calibri" w:hAnsi="Calibri"/>
        </w:rPr>
      </w:pPr>
      <w:r w:rsidRPr="00CB6163">
        <w:rPr>
          <w:rFonts w:ascii="Calibri" w:hAnsi="Calibri"/>
        </w:rPr>
        <w:t>Notification to Individuals: Methods of Individual Notification—Substitute Notice (45 CFR 164.404(d)(2))</w:t>
      </w:r>
    </w:p>
    <w:p w14:paraId="069FB669" w14:textId="77777777" w:rsidR="007801FB" w:rsidRPr="00CB6163" w:rsidRDefault="007801FB" w:rsidP="007801FB">
      <w:pPr>
        <w:pStyle w:val="BodyContent"/>
        <w:numPr>
          <w:ilvl w:val="0"/>
          <w:numId w:val="12"/>
        </w:numPr>
        <w:rPr>
          <w:rFonts w:ascii="Calibri" w:hAnsi="Calibri"/>
        </w:rPr>
      </w:pPr>
      <w:r w:rsidRPr="00CB6163">
        <w:rPr>
          <w:rFonts w:ascii="Calibri" w:hAnsi="Calibri"/>
        </w:rPr>
        <w:t>Notification to Individuals: Methods of Individual Notification—Additional Notice in Urgent Situations (45 CFR 164.404(d)(3))</w:t>
      </w:r>
    </w:p>
    <w:p w14:paraId="67D777DD" w14:textId="77777777" w:rsidR="007801FB" w:rsidRPr="00CB6163" w:rsidRDefault="007801FB" w:rsidP="007801FB">
      <w:pPr>
        <w:pStyle w:val="BodyContent"/>
        <w:numPr>
          <w:ilvl w:val="0"/>
          <w:numId w:val="12"/>
        </w:numPr>
        <w:rPr>
          <w:rFonts w:ascii="Calibri" w:hAnsi="Calibri"/>
        </w:rPr>
      </w:pPr>
      <w:r w:rsidRPr="00CB6163">
        <w:rPr>
          <w:rFonts w:ascii="Calibri" w:hAnsi="Calibri"/>
        </w:rPr>
        <w:t>Notification to the Secretary: Breaches Involving 500 or More Individuals (45 CFR 164.408(a) &amp; (b))</w:t>
      </w:r>
    </w:p>
    <w:p w14:paraId="0CA3E840" w14:textId="31BFD37F" w:rsidR="007801FB" w:rsidRDefault="007801FB" w:rsidP="007801FB">
      <w:pPr>
        <w:pStyle w:val="BodyContent"/>
        <w:numPr>
          <w:ilvl w:val="0"/>
          <w:numId w:val="12"/>
        </w:numPr>
        <w:rPr>
          <w:rFonts w:ascii="Calibri" w:hAnsi="Calibri"/>
        </w:rPr>
      </w:pPr>
      <w:r w:rsidRPr="00CB6163">
        <w:rPr>
          <w:rFonts w:ascii="Calibri" w:hAnsi="Calibri"/>
        </w:rPr>
        <w:t>Notification to the Secretary: Breaches Involving Less than 500 Indivi</w:t>
      </w:r>
      <w:r w:rsidR="0068252B">
        <w:rPr>
          <w:rFonts w:ascii="Calibri" w:hAnsi="Calibri"/>
        </w:rPr>
        <w:t>duals (45 CFR 164.408(a) &amp; (c))</w:t>
      </w:r>
    </w:p>
    <w:p w14:paraId="73265426" w14:textId="0020FD35" w:rsidR="007174F2" w:rsidRPr="007174F2" w:rsidRDefault="007174F2" w:rsidP="007801FB">
      <w:pPr>
        <w:pStyle w:val="BodyContent"/>
        <w:numPr>
          <w:ilvl w:val="0"/>
          <w:numId w:val="12"/>
        </w:numPr>
        <w:rPr>
          <w:rFonts w:ascii="Calibri" w:hAnsi="Calibri"/>
        </w:rPr>
      </w:pPr>
      <w:r w:rsidRPr="007174F2">
        <w:rPr>
          <w:rFonts w:ascii="Calibri" w:hAnsi="Calibri"/>
        </w:rPr>
        <w:t>Security Management Process: Information System Activity Review</w:t>
      </w:r>
      <w:r w:rsidRPr="007174F2">
        <w:rPr>
          <w:rFonts w:ascii="Calibri" w:hAnsi="Calibri"/>
        </w:rPr>
        <w:t xml:space="preserve"> (</w:t>
      </w:r>
      <w:r w:rsidRPr="007174F2">
        <w:rPr>
          <w:rFonts w:ascii="Calibri" w:hAnsi="Calibri"/>
        </w:rPr>
        <w:t>45 CFR 164.308(a)(1)(ii)(D)</w:t>
      </w:r>
      <w:r w:rsidRPr="007174F2">
        <w:rPr>
          <w:rFonts w:ascii="Calibri" w:hAnsi="Calibri"/>
        </w:rPr>
        <w:t>)</w:t>
      </w:r>
    </w:p>
    <w:p w14:paraId="70DD9819" w14:textId="77777777" w:rsidR="007174F2" w:rsidRPr="007174F2" w:rsidRDefault="007174F2" w:rsidP="007174F2">
      <w:pPr>
        <w:pStyle w:val="BodyContent"/>
        <w:ind w:left="357"/>
        <w:rPr>
          <w:rFonts w:ascii="Calibri" w:hAnsi="Calibri"/>
        </w:rPr>
      </w:pPr>
    </w:p>
    <w:p w14:paraId="4B7F9CC7" w14:textId="77777777" w:rsidR="0068252B" w:rsidRDefault="0068252B" w:rsidP="0068252B">
      <w:pPr>
        <w:pStyle w:val="BodyContent"/>
        <w:ind w:left="357"/>
        <w:rPr>
          <w:rFonts w:ascii="Calibri" w:hAnsi="Calibri"/>
        </w:rPr>
        <w:sectPr w:rsidR="0068252B" w:rsidSect="00186BCC">
          <w:endnotePr>
            <w:numFmt w:val="decimal"/>
          </w:endnotePr>
          <w:pgSz w:w="11906" w:h="16838"/>
          <w:pgMar w:top="1440" w:right="1440" w:bottom="1440" w:left="1440" w:header="708" w:footer="1044" w:gutter="0"/>
          <w:cols w:space="708"/>
          <w:docGrid w:linePitch="360"/>
        </w:sectPr>
      </w:pPr>
    </w:p>
    <w:p w14:paraId="0DB2D20D" w14:textId="1AA81280" w:rsidR="00831D4A" w:rsidRPr="00305FAA" w:rsidRDefault="00305FAA" w:rsidP="00305FAA">
      <w:pPr>
        <w:pStyle w:val="Heading1"/>
        <w:ind w:left="357" w:hanging="357"/>
        <w:rPr>
          <w:rFonts w:ascii="Calibri" w:hAnsi="Calibri"/>
          <w:b/>
          <w:sz w:val="26"/>
          <w:szCs w:val="26"/>
        </w:rPr>
      </w:pPr>
      <w:bookmarkStart w:id="36" w:name="_Toc349825888"/>
      <w:r w:rsidRPr="00305FAA">
        <w:rPr>
          <w:rFonts w:ascii="Calibri" w:hAnsi="Calibri"/>
          <w:b/>
          <w:sz w:val="26"/>
          <w:szCs w:val="26"/>
        </w:rPr>
        <w:lastRenderedPageBreak/>
        <w:t>Appendix A – Incident Response Checklist</w:t>
      </w:r>
      <w:bookmarkEnd w:id="36"/>
    </w:p>
    <w:tbl>
      <w:tblPr>
        <w:tblW w:w="8640" w:type="dxa"/>
        <w:tblBorders>
          <w:left w:val="nil"/>
          <w:right w:val="nil"/>
        </w:tblBorders>
        <w:tblLayout w:type="fixed"/>
        <w:tblLook w:val="0000" w:firstRow="0" w:lastRow="0" w:firstColumn="0" w:lastColumn="0" w:noHBand="0" w:noVBand="0"/>
      </w:tblPr>
      <w:tblGrid>
        <w:gridCol w:w="921"/>
        <w:gridCol w:w="6300"/>
        <w:gridCol w:w="1419"/>
      </w:tblGrid>
      <w:tr w:rsidR="0068252B" w14:paraId="226B2499" w14:textId="77777777" w:rsidTr="0068252B">
        <w:tc>
          <w:tcPr>
            <w:tcW w:w="8640" w:type="dxa"/>
            <w:gridSpan w:val="3"/>
            <w:tcBorders>
              <w:top w:val="single" w:sz="4" w:space="0" w:color="auto"/>
              <w:left w:val="single" w:sz="4" w:space="0" w:color="auto"/>
              <w:bottom w:val="single" w:sz="4" w:space="0" w:color="auto"/>
              <w:right w:val="single" w:sz="4" w:space="0" w:color="auto"/>
            </w:tcBorders>
            <w:shd w:val="clear" w:color="auto" w:fill="CCFFCC"/>
            <w:tcMar>
              <w:top w:w="20" w:type="nil"/>
              <w:left w:w="20" w:type="nil"/>
              <w:bottom w:w="20" w:type="nil"/>
              <w:right w:w="20" w:type="nil"/>
            </w:tcMar>
            <w:vAlign w:val="center"/>
          </w:tcPr>
          <w:p w14:paraId="3B7C162A" w14:textId="666CAC68" w:rsidR="0068252B" w:rsidRPr="0068252B" w:rsidRDefault="0068252B" w:rsidP="0068252B">
            <w:pPr>
              <w:widowControl w:val="0"/>
              <w:autoSpaceDE w:val="0"/>
              <w:autoSpaceDN w:val="0"/>
              <w:adjustRightInd w:val="0"/>
              <w:spacing w:after="0" w:line="280" w:lineRule="atLeast"/>
              <w:jc w:val="center"/>
              <w:rPr>
                <w:rFonts w:cs="Times"/>
                <w:b/>
                <w:sz w:val="24"/>
                <w:szCs w:val="24"/>
                <w:lang w:val="en-US" w:eastAsia="en-GB"/>
              </w:rPr>
            </w:pPr>
            <w:r w:rsidRPr="0068252B">
              <w:rPr>
                <w:rFonts w:cs="Times"/>
                <w:b/>
                <w:sz w:val="24"/>
                <w:szCs w:val="24"/>
                <w:lang w:val="en-US" w:eastAsia="en-GB"/>
              </w:rPr>
              <w:t>Detection and Analysis</w:t>
            </w:r>
          </w:p>
        </w:tc>
      </w:tr>
      <w:tr w:rsidR="006658BD" w14:paraId="72C05F36"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367C52C" w14:textId="563168F7"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1.</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11BD87D" w14:textId="4094C0FE"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Determine whether an incident has occurred</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74847EC" w14:textId="25BCB461"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r w:rsidRPr="00834B2F">
              <w:rPr>
                <w:rFonts w:cs="Times"/>
                <w:noProof/>
                <w:sz w:val="24"/>
                <w:szCs w:val="24"/>
                <w:lang w:val="en-US"/>
              </w:rPr>
              <w:drawing>
                <wp:inline distT="0" distB="0" distL="0" distR="0" wp14:anchorId="1EFD99C9" wp14:editId="7994509A">
                  <wp:extent cx="6350" cy="635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658BD" w14:paraId="277226C1"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9118B4F" w14:textId="5360BA7D" w:rsidR="006658BD" w:rsidRPr="00834B2F" w:rsidRDefault="006658BD" w:rsidP="0068252B">
            <w:pPr>
              <w:widowControl w:val="0"/>
              <w:autoSpaceDE w:val="0"/>
              <w:autoSpaceDN w:val="0"/>
              <w:adjustRightInd w:val="0"/>
              <w:spacing w:after="240" w:line="280" w:lineRule="atLeast"/>
              <w:jc w:val="right"/>
              <w:rPr>
                <w:rFonts w:cs="Times"/>
                <w:sz w:val="24"/>
                <w:szCs w:val="24"/>
                <w:lang w:val="en-US" w:eastAsia="en-GB"/>
              </w:rPr>
            </w:pPr>
            <w:r w:rsidRPr="00834B2F">
              <w:rPr>
                <w:rFonts w:cs="Arial"/>
                <w:sz w:val="24"/>
                <w:szCs w:val="24"/>
                <w:lang w:val="en-US" w:eastAsia="en-GB"/>
              </w:rPr>
              <w:t>1.1</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CDA77BB" w14:textId="40DF31AA"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Analyze the precursors and indicators</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DA866C7" w14:textId="77777777"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p>
        </w:tc>
      </w:tr>
      <w:tr w:rsidR="006658BD" w14:paraId="06A26A50"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1457275" w14:textId="4D8121F2" w:rsidR="006658BD" w:rsidRPr="00834B2F" w:rsidRDefault="006658BD" w:rsidP="0068252B">
            <w:pPr>
              <w:widowControl w:val="0"/>
              <w:autoSpaceDE w:val="0"/>
              <w:autoSpaceDN w:val="0"/>
              <w:adjustRightInd w:val="0"/>
              <w:spacing w:after="240" w:line="280" w:lineRule="atLeast"/>
              <w:jc w:val="right"/>
              <w:rPr>
                <w:rFonts w:cs="Times"/>
                <w:sz w:val="24"/>
                <w:szCs w:val="24"/>
                <w:lang w:val="en-US" w:eastAsia="en-GB"/>
              </w:rPr>
            </w:pPr>
            <w:r w:rsidRPr="00834B2F">
              <w:rPr>
                <w:rFonts w:cs="Arial"/>
                <w:sz w:val="24"/>
                <w:szCs w:val="24"/>
                <w:lang w:val="en-US" w:eastAsia="en-GB"/>
              </w:rPr>
              <w:t>1.2</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7FBB4BB" w14:textId="6E001CEC"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Look for correlating information</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85D3609" w14:textId="77777777"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p>
        </w:tc>
      </w:tr>
      <w:tr w:rsidR="006658BD" w14:paraId="34AD0DA6"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FD52C2C" w14:textId="15628C0A" w:rsidR="006658BD" w:rsidRPr="00834B2F" w:rsidRDefault="006658BD" w:rsidP="0068252B">
            <w:pPr>
              <w:widowControl w:val="0"/>
              <w:autoSpaceDE w:val="0"/>
              <w:autoSpaceDN w:val="0"/>
              <w:adjustRightInd w:val="0"/>
              <w:spacing w:after="240" w:line="280" w:lineRule="atLeast"/>
              <w:jc w:val="right"/>
              <w:rPr>
                <w:rFonts w:cs="Times"/>
                <w:sz w:val="24"/>
                <w:szCs w:val="24"/>
                <w:lang w:val="en-US" w:eastAsia="en-GB"/>
              </w:rPr>
            </w:pPr>
            <w:r w:rsidRPr="00834B2F">
              <w:rPr>
                <w:rFonts w:cs="Arial"/>
                <w:sz w:val="24"/>
                <w:szCs w:val="24"/>
                <w:lang w:val="en-US" w:eastAsia="en-GB"/>
              </w:rPr>
              <w:t>1.3</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C3A6710" w14:textId="00A30A51"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Perform research (e.g., search engines, knowledge base)</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C834A98" w14:textId="77777777"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p>
        </w:tc>
      </w:tr>
      <w:tr w:rsidR="006658BD" w14:paraId="4F594611"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DF175EA" w14:textId="09CF7F20" w:rsidR="006658BD" w:rsidRPr="00834B2F" w:rsidRDefault="006658BD" w:rsidP="0068252B">
            <w:pPr>
              <w:widowControl w:val="0"/>
              <w:autoSpaceDE w:val="0"/>
              <w:autoSpaceDN w:val="0"/>
              <w:adjustRightInd w:val="0"/>
              <w:spacing w:after="240" w:line="280" w:lineRule="atLeast"/>
              <w:jc w:val="right"/>
              <w:rPr>
                <w:rFonts w:cs="Times"/>
                <w:sz w:val="24"/>
                <w:szCs w:val="24"/>
                <w:lang w:val="en-US" w:eastAsia="en-GB"/>
              </w:rPr>
            </w:pPr>
            <w:r w:rsidRPr="00834B2F">
              <w:rPr>
                <w:rFonts w:cs="Arial"/>
                <w:sz w:val="24"/>
                <w:szCs w:val="24"/>
                <w:lang w:val="en-US" w:eastAsia="en-GB"/>
              </w:rPr>
              <w:t>1.4</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B62DAB2" w14:textId="784C9CDB"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As soon as the handler believes an incident has occurred, begin documenting the investigation and gathering evidence</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15BC7BA" w14:textId="77777777"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p>
        </w:tc>
      </w:tr>
      <w:tr w:rsidR="006658BD" w14:paraId="559624A7"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EE1E759" w14:textId="2E2A65AC"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2.</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06E53FD" w14:textId="2B8B4D21"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Prioritize handling the incident based on the relevant factors (functional impact, information impact, recoverability effort, etc.)</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D24845C" w14:textId="1A1AB612"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r w:rsidRPr="00834B2F">
              <w:rPr>
                <w:rFonts w:cs="Times"/>
                <w:noProof/>
                <w:sz w:val="24"/>
                <w:szCs w:val="24"/>
                <w:lang w:val="en-US"/>
              </w:rPr>
              <w:drawing>
                <wp:inline distT="0" distB="0" distL="0" distR="0" wp14:anchorId="020164CD" wp14:editId="1C60FAB4">
                  <wp:extent cx="6350" cy="635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658BD" w14:paraId="4CA29CD4" w14:textId="77777777" w:rsidTr="0068252B">
        <w:tc>
          <w:tcPr>
            <w:tcW w:w="921" w:type="dxa"/>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vAlign w:val="center"/>
          </w:tcPr>
          <w:p w14:paraId="7C0902F7" w14:textId="0DC7842B"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3.</w:t>
            </w:r>
          </w:p>
        </w:tc>
        <w:tc>
          <w:tcPr>
            <w:tcW w:w="6300" w:type="dxa"/>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vAlign w:val="center"/>
          </w:tcPr>
          <w:p w14:paraId="5D10E925" w14:textId="3A261EDE"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Report the incident to the appropriate internal personnel and external organizations</w:t>
            </w:r>
          </w:p>
        </w:tc>
        <w:tc>
          <w:tcPr>
            <w:tcW w:w="1419" w:type="dxa"/>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vAlign w:val="center"/>
          </w:tcPr>
          <w:p w14:paraId="5687F16E" w14:textId="77777777"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p>
        </w:tc>
      </w:tr>
      <w:tr w:rsidR="0068252B" w14:paraId="0E7CE95D" w14:textId="77777777" w:rsidTr="0068252B">
        <w:trPr>
          <w:trHeight w:val="411"/>
        </w:trPr>
        <w:tc>
          <w:tcPr>
            <w:tcW w:w="8640" w:type="dxa"/>
            <w:gridSpan w:val="3"/>
            <w:tcBorders>
              <w:top w:val="single" w:sz="5" w:space="0" w:color="auto"/>
              <w:left w:val="single" w:sz="4" w:space="0" w:color="auto"/>
              <w:bottom w:val="single" w:sz="4" w:space="0" w:color="auto"/>
              <w:right w:val="single" w:sz="4" w:space="0" w:color="auto"/>
            </w:tcBorders>
            <w:shd w:val="clear" w:color="auto" w:fill="CCFFCC"/>
            <w:tcMar>
              <w:top w:w="20" w:type="nil"/>
              <w:left w:w="20" w:type="nil"/>
              <w:bottom w:w="20" w:type="nil"/>
              <w:right w:w="20" w:type="nil"/>
            </w:tcMar>
            <w:vAlign w:val="center"/>
          </w:tcPr>
          <w:p w14:paraId="017F5F6F" w14:textId="637AFBCB" w:rsidR="0068252B" w:rsidRPr="0068252B" w:rsidRDefault="0068252B" w:rsidP="0068252B">
            <w:pPr>
              <w:widowControl w:val="0"/>
              <w:autoSpaceDE w:val="0"/>
              <w:autoSpaceDN w:val="0"/>
              <w:adjustRightInd w:val="0"/>
              <w:spacing w:after="240" w:line="280" w:lineRule="atLeast"/>
              <w:jc w:val="center"/>
              <w:rPr>
                <w:rFonts w:cs="Times"/>
                <w:b/>
                <w:sz w:val="24"/>
                <w:szCs w:val="24"/>
                <w:lang w:val="en-US" w:eastAsia="en-GB"/>
              </w:rPr>
            </w:pPr>
            <w:r w:rsidRPr="0068252B">
              <w:rPr>
                <w:rFonts w:cs="Times"/>
                <w:b/>
                <w:sz w:val="24"/>
                <w:szCs w:val="24"/>
                <w:lang w:val="en-US" w:eastAsia="en-GB"/>
              </w:rPr>
              <w:t>Containment, Eradication, and Recovery</w:t>
            </w:r>
          </w:p>
        </w:tc>
      </w:tr>
      <w:tr w:rsidR="006658BD" w14:paraId="21DD77A7"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9114590" w14:textId="001A9017"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4.</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FACC3E4" w14:textId="161660B4"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Acquire, preserve, secure, and document evidence</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F1E33AE" w14:textId="77777777"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p>
        </w:tc>
      </w:tr>
      <w:tr w:rsidR="006658BD" w14:paraId="1909026D"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8441510" w14:textId="7388A285"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5.</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D8263C7" w14:textId="5BCFBB50"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Contain the incident</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DB11ADD" w14:textId="77777777"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p>
        </w:tc>
      </w:tr>
      <w:tr w:rsidR="006658BD" w14:paraId="01FD5E14"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9AEBF8E" w14:textId="4B51C6CD"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6.</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0A42972" w14:textId="1B447F0A"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Eradicate the incident</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0733DD9" w14:textId="2DCA70EF"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r w:rsidRPr="00834B2F">
              <w:rPr>
                <w:rFonts w:cs="Times"/>
                <w:noProof/>
                <w:sz w:val="24"/>
                <w:szCs w:val="24"/>
                <w:lang w:val="en-US"/>
              </w:rPr>
              <w:drawing>
                <wp:inline distT="0" distB="0" distL="0" distR="0" wp14:anchorId="440148C6" wp14:editId="321D987F">
                  <wp:extent cx="6350" cy="635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658BD" w14:paraId="6DA8AD4F"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00ECB8D" w14:textId="4A5B538B"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6.1</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B641BCB" w14:textId="2CA0E9B8"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Identify and mitigate all vulnerabilities that were exploited</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9CC5184" w14:textId="77777777"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p>
        </w:tc>
      </w:tr>
      <w:tr w:rsidR="006658BD" w14:paraId="183FFB96"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B0DA003" w14:textId="3432F2BD"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6.2</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15A01E2" w14:textId="21970DA9"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Remove malware, inappropriate materials, and other components</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47F92FE" w14:textId="3AF3CD6F"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r w:rsidRPr="00834B2F">
              <w:rPr>
                <w:rFonts w:cs="Times"/>
                <w:noProof/>
                <w:sz w:val="24"/>
                <w:szCs w:val="24"/>
                <w:lang w:val="en-US"/>
              </w:rPr>
              <w:drawing>
                <wp:inline distT="0" distB="0" distL="0" distR="0" wp14:anchorId="0051B96D" wp14:editId="31813EC5">
                  <wp:extent cx="6350" cy="635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658BD" w14:paraId="0FEF5B22"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9A375C4" w14:textId="361CE847"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6.3</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B137F90" w14:textId="0E07B42D"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If more affected hosts are discovered (e.g., new malware infections), repeat the Detection and Analysis steps (1.1, 1.2) to identify all other affected hosts, then contain (5) and eradicate (6) the incident for them</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8FD0F97" w14:textId="77777777"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p>
        </w:tc>
      </w:tr>
      <w:tr w:rsidR="006658BD" w14:paraId="7A52EC23"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C87E996" w14:textId="5897E7A8"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7.</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E42B98E" w14:textId="569EF28B"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Recover from the incident</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4A33C9F" w14:textId="2ACBA885"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r w:rsidRPr="00834B2F">
              <w:rPr>
                <w:rFonts w:cs="Times"/>
                <w:noProof/>
                <w:sz w:val="24"/>
                <w:szCs w:val="24"/>
                <w:lang w:val="en-US"/>
              </w:rPr>
              <w:drawing>
                <wp:inline distT="0" distB="0" distL="0" distR="0" wp14:anchorId="5A432C2A" wp14:editId="5A27D5D4">
                  <wp:extent cx="6350" cy="635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658BD" w14:paraId="15F8B064"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A39EEB4" w14:textId="620CD0FA"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7.1</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F70A94B" w14:textId="20B9FEC8"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Return affected systems to an operationally ready state</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FD4C06C" w14:textId="584BFE9C"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r w:rsidRPr="00834B2F">
              <w:rPr>
                <w:rFonts w:cs="Times"/>
                <w:noProof/>
                <w:sz w:val="24"/>
                <w:szCs w:val="24"/>
                <w:lang w:val="en-US"/>
              </w:rPr>
              <w:drawing>
                <wp:inline distT="0" distB="0" distL="0" distR="0" wp14:anchorId="5E022F7C" wp14:editId="3CBA6BC4">
                  <wp:extent cx="6350" cy="635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834B2F">
              <w:rPr>
                <w:rFonts w:cs="Times"/>
                <w:noProof/>
                <w:sz w:val="24"/>
                <w:szCs w:val="24"/>
                <w:lang w:val="en-US"/>
              </w:rPr>
              <w:drawing>
                <wp:inline distT="0" distB="0" distL="0" distR="0" wp14:anchorId="14E48350" wp14:editId="5ECF6BEE">
                  <wp:extent cx="6350" cy="635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658BD" w14:paraId="2FB59E33"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093B3D0" w14:textId="76739869"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7.2</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D49FC39" w14:textId="4BAAEA02"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Confirm that the affected systems are functioning normally</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15E3B7F" w14:textId="77777777"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p>
        </w:tc>
      </w:tr>
      <w:tr w:rsidR="006658BD" w14:paraId="7B844056"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582D11C" w14:textId="76E01DEC"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lastRenderedPageBreak/>
              <w:t>7.3</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6029D53" w14:textId="0EE8E6B7"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If necessary, implement additional monitoring to look for future related activity</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C28CDBA" w14:textId="17E7B740"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r w:rsidRPr="00834B2F">
              <w:rPr>
                <w:rFonts w:cs="Times"/>
                <w:noProof/>
                <w:sz w:val="24"/>
                <w:szCs w:val="24"/>
                <w:lang w:val="en-US"/>
              </w:rPr>
              <w:drawing>
                <wp:inline distT="0" distB="0" distL="0" distR="0" wp14:anchorId="1D8E50AF" wp14:editId="60A7378C">
                  <wp:extent cx="6350" cy="635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8252B" w14:paraId="2AAA07F7" w14:textId="77777777" w:rsidTr="0068252B">
        <w:tc>
          <w:tcPr>
            <w:tcW w:w="8640" w:type="dxa"/>
            <w:gridSpan w:val="3"/>
            <w:tcBorders>
              <w:top w:val="single" w:sz="4" w:space="0" w:color="auto"/>
              <w:left w:val="single" w:sz="4" w:space="0" w:color="auto"/>
              <w:bottom w:val="single" w:sz="5" w:space="0" w:color="auto"/>
              <w:right w:val="single" w:sz="4" w:space="0" w:color="auto"/>
            </w:tcBorders>
            <w:shd w:val="clear" w:color="auto" w:fill="CCFFCC"/>
            <w:tcMar>
              <w:top w:w="20" w:type="nil"/>
              <w:left w:w="20" w:type="nil"/>
              <w:bottom w:w="20" w:type="nil"/>
              <w:right w:w="20" w:type="nil"/>
            </w:tcMar>
            <w:vAlign w:val="center"/>
          </w:tcPr>
          <w:p w14:paraId="2DFEFFDA" w14:textId="2F6DD1A4" w:rsidR="0068252B" w:rsidRPr="0068252B" w:rsidRDefault="0068252B" w:rsidP="0068252B">
            <w:pPr>
              <w:widowControl w:val="0"/>
              <w:autoSpaceDE w:val="0"/>
              <w:autoSpaceDN w:val="0"/>
              <w:adjustRightInd w:val="0"/>
              <w:spacing w:after="240" w:line="280" w:lineRule="atLeast"/>
              <w:jc w:val="center"/>
              <w:rPr>
                <w:rFonts w:cs="Times"/>
                <w:b/>
                <w:sz w:val="24"/>
                <w:szCs w:val="24"/>
                <w:lang w:val="en-US" w:eastAsia="en-GB"/>
              </w:rPr>
            </w:pPr>
            <w:r w:rsidRPr="0068252B">
              <w:rPr>
                <w:rFonts w:cs="Times"/>
                <w:b/>
                <w:sz w:val="24"/>
                <w:szCs w:val="24"/>
                <w:lang w:val="en-US" w:eastAsia="en-GB"/>
              </w:rPr>
              <w:t>Post-Incident Activity</w:t>
            </w:r>
          </w:p>
        </w:tc>
      </w:tr>
      <w:tr w:rsidR="006658BD" w14:paraId="7DCFB92D" w14:textId="77777777" w:rsidTr="0068252B">
        <w:tc>
          <w:tcPr>
            <w:tcW w:w="921" w:type="dxa"/>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8006A4B" w14:textId="23104DAE"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8.</w:t>
            </w:r>
          </w:p>
        </w:tc>
        <w:tc>
          <w:tcPr>
            <w:tcW w:w="6300" w:type="dxa"/>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4128B1E" w14:textId="4380E287"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Create a follow-up report</w:t>
            </w:r>
          </w:p>
        </w:tc>
        <w:tc>
          <w:tcPr>
            <w:tcW w:w="1419" w:type="dxa"/>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6FD9A5A" w14:textId="427F3879"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r w:rsidRPr="00834B2F">
              <w:rPr>
                <w:rFonts w:cs="Times"/>
                <w:noProof/>
                <w:sz w:val="24"/>
                <w:szCs w:val="24"/>
                <w:lang w:val="en-US"/>
              </w:rPr>
              <w:drawing>
                <wp:inline distT="0" distB="0" distL="0" distR="0" wp14:anchorId="12F4AA1C" wp14:editId="778101D3">
                  <wp:extent cx="6350" cy="635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658BD" w14:paraId="3AAAE21F" w14:textId="77777777" w:rsidTr="0068252B">
        <w:tblPrEx>
          <w:tblBorders>
            <w:top w:val="nil"/>
          </w:tblBorders>
        </w:tblPrEx>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5000024" w14:textId="25A65539"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9.</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705314E" w14:textId="79202852"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Hold a lessons learned meeting (mandatory for major incidents, optional otherwise)</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0F9BDDF" w14:textId="77777777"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p>
        </w:tc>
      </w:tr>
    </w:tbl>
    <w:p w14:paraId="389140F9" w14:textId="5188BD6E" w:rsidR="003736F0" w:rsidRDefault="003736F0" w:rsidP="003736F0">
      <w:pPr>
        <w:pStyle w:val="Heading1"/>
        <w:ind w:left="357" w:hanging="357"/>
        <w:rPr>
          <w:rFonts w:ascii="Calibri" w:hAnsi="Calibri"/>
          <w:b/>
          <w:sz w:val="24"/>
          <w:szCs w:val="24"/>
        </w:rPr>
      </w:pPr>
      <w:bookmarkStart w:id="37" w:name="_Toc349825889"/>
      <w:r w:rsidRPr="00834B2F">
        <w:rPr>
          <w:rFonts w:ascii="Calibri" w:hAnsi="Calibri"/>
          <w:b/>
          <w:sz w:val="24"/>
          <w:szCs w:val="24"/>
        </w:rPr>
        <w:t>References</w:t>
      </w:r>
      <w:bookmarkEnd w:id="37"/>
    </w:p>
    <w:p w14:paraId="57F14A86" w14:textId="5EC4D071" w:rsidR="007801FB" w:rsidRPr="007801FB" w:rsidRDefault="007801FB" w:rsidP="007801FB">
      <w:pPr>
        <w:pStyle w:val="BodyContent"/>
      </w:pPr>
      <w:r w:rsidRPr="00CB6163">
        <w:rPr>
          <w:rFonts w:ascii="Calibri" w:hAnsi="Calibri"/>
        </w:rPr>
        <w:t>National Institute of Standards and Technology (NIST) Computer Security Incident Handling Guide, Special Publication 800-61 Revision 2</w:t>
      </w:r>
    </w:p>
    <w:p w14:paraId="196DC419" w14:textId="03EDE63C" w:rsidR="00F7663D" w:rsidRDefault="003736F0" w:rsidP="003736F0">
      <w:pPr>
        <w:pStyle w:val="Heading1"/>
        <w:ind w:left="357" w:hanging="357"/>
        <w:rPr>
          <w:rFonts w:ascii="Calibri" w:hAnsi="Calibri"/>
          <w:b/>
          <w:sz w:val="24"/>
          <w:szCs w:val="24"/>
        </w:rPr>
      </w:pPr>
      <w:bookmarkStart w:id="38" w:name="_Toc349825890"/>
      <w:r w:rsidRPr="00834B2F">
        <w:rPr>
          <w:rFonts w:ascii="Calibri" w:hAnsi="Calibri"/>
          <w:b/>
          <w:sz w:val="24"/>
          <w:szCs w:val="24"/>
        </w:rPr>
        <w:t>Point of Contact (PoC)</w:t>
      </w:r>
      <w:bookmarkEnd w:id="38"/>
    </w:p>
    <w:p w14:paraId="15FB6706" w14:textId="5D1A7F14" w:rsidR="007801FB" w:rsidRPr="006A7456" w:rsidRDefault="007801FB" w:rsidP="007801FB">
      <w:pPr>
        <w:pStyle w:val="BodyContent"/>
        <w:spacing w:after="0"/>
        <w:rPr>
          <w:rFonts w:ascii="Calibri" w:hAnsi="Calibri"/>
        </w:rPr>
      </w:pPr>
      <w:r w:rsidRPr="006A7456">
        <w:rPr>
          <w:rFonts w:ascii="Calibri" w:hAnsi="Calibri"/>
        </w:rPr>
        <w:t>Bernard Krafsig</w:t>
      </w:r>
    </w:p>
    <w:p w14:paraId="5C8A1893" w14:textId="38DDB856" w:rsidR="007801FB" w:rsidRPr="006A7456" w:rsidRDefault="007801FB" w:rsidP="007801FB">
      <w:pPr>
        <w:pStyle w:val="BodyContent"/>
        <w:spacing w:after="0"/>
        <w:rPr>
          <w:rFonts w:ascii="Calibri" w:hAnsi="Calibri"/>
        </w:rPr>
      </w:pPr>
      <w:r w:rsidRPr="006A7456">
        <w:rPr>
          <w:rFonts w:ascii="Calibri" w:hAnsi="Calibri"/>
        </w:rPr>
        <w:t>Director of Information Technology (IT)</w:t>
      </w:r>
    </w:p>
    <w:p w14:paraId="7C3BE98A" w14:textId="111C744E" w:rsidR="007801FB" w:rsidRPr="006A7456" w:rsidRDefault="007801FB" w:rsidP="007801FB">
      <w:pPr>
        <w:pStyle w:val="BodyContent"/>
        <w:spacing w:after="0"/>
        <w:rPr>
          <w:rFonts w:ascii="Calibri" w:hAnsi="Calibri"/>
        </w:rPr>
      </w:pPr>
      <w:r w:rsidRPr="006A7456">
        <w:rPr>
          <w:rFonts w:ascii="Calibri" w:hAnsi="Calibri"/>
        </w:rPr>
        <w:t>Bishop Gadsden</w:t>
      </w:r>
    </w:p>
    <w:p w14:paraId="217B4540" w14:textId="10CE900E" w:rsidR="007801FB" w:rsidRPr="006A7456" w:rsidRDefault="007801FB" w:rsidP="007801FB">
      <w:pPr>
        <w:pStyle w:val="BodyContent"/>
        <w:spacing w:after="0"/>
        <w:rPr>
          <w:rFonts w:ascii="Calibri" w:hAnsi="Calibri"/>
        </w:rPr>
      </w:pPr>
      <w:r w:rsidRPr="006A7456">
        <w:rPr>
          <w:rFonts w:ascii="Calibri" w:hAnsi="Calibri"/>
        </w:rPr>
        <w:t>1 Bishop Gadsden Way</w:t>
      </w:r>
    </w:p>
    <w:p w14:paraId="0BA695D4" w14:textId="43B6F894" w:rsidR="007801FB" w:rsidRPr="006A7456" w:rsidRDefault="007801FB" w:rsidP="007801FB">
      <w:pPr>
        <w:pStyle w:val="BodyContent"/>
        <w:spacing w:after="0"/>
        <w:rPr>
          <w:rFonts w:ascii="Calibri" w:hAnsi="Calibri"/>
        </w:rPr>
      </w:pPr>
      <w:r w:rsidRPr="006A7456">
        <w:rPr>
          <w:rFonts w:ascii="Calibri" w:hAnsi="Calibri"/>
        </w:rPr>
        <w:t>Charleston, SC 29412</w:t>
      </w:r>
    </w:p>
    <w:p w14:paraId="5F7918BD" w14:textId="3EF5D217" w:rsidR="007801FB" w:rsidRPr="006A7456" w:rsidRDefault="006A7456" w:rsidP="007801FB">
      <w:pPr>
        <w:pStyle w:val="BodyContent"/>
        <w:spacing w:after="0"/>
        <w:rPr>
          <w:rFonts w:ascii="Calibri" w:hAnsi="Calibri"/>
        </w:rPr>
      </w:pPr>
      <w:r w:rsidRPr="006A7456">
        <w:rPr>
          <w:rFonts w:ascii="Calibri" w:hAnsi="Calibri"/>
        </w:rPr>
        <w:t>BERNARD.KRAFSIG@BISHOPGADSDEN.ORG</w:t>
      </w:r>
    </w:p>
    <w:sectPr w:rsidR="007801FB" w:rsidRPr="006A7456" w:rsidSect="00186BCC">
      <w:endnotePr>
        <w:numFmt w:val="decimal"/>
      </w:endnotePr>
      <w:pgSz w:w="11906" w:h="16838"/>
      <w:pgMar w:top="1440" w:right="1440" w:bottom="1440" w:left="1440" w:header="708" w:footer="104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11393C" w14:textId="77777777" w:rsidR="007801FB" w:rsidRDefault="007801FB" w:rsidP="0019160A">
      <w:pPr>
        <w:spacing w:after="0" w:line="240" w:lineRule="auto"/>
      </w:pPr>
      <w:r>
        <w:separator/>
      </w:r>
    </w:p>
  </w:endnote>
  <w:endnote w:type="continuationSeparator" w:id="0">
    <w:p w14:paraId="283AC1B0" w14:textId="77777777" w:rsidR="007801FB" w:rsidRDefault="007801FB" w:rsidP="00191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Perpetua">
    <w:panose1 w:val="02020502060401020303"/>
    <w:charset w:val="00"/>
    <w:family w:val="auto"/>
    <w:pitch w:val="variable"/>
    <w:sig w:usb0="00000003" w:usb1="00000000" w:usb2="00000000" w:usb3="00000000" w:csb0="00000001" w:csb1="00000000"/>
  </w:font>
  <w:font w:name="Franklin Gothic Book">
    <w:panose1 w:val="020B0503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ＭＳ 明朝">
    <w:charset w:val="4E"/>
    <w:family w:val="auto"/>
    <w:pitch w:val="variable"/>
    <w:sig w:usb0="00000001" w:usb1="08070000" w:usb2="00000010" w:usb3="00000000" w:csb0="00020000" w:csb1="00000000"/>
  </w:font>
  <w:font w:name="Times New Roman ;color:#1F497D">
    <w:panose1 w:val="00000000000000000000"/>
    <w:charset w:val="00"/>
    <w:family w:val="roman"/>
    <w:notTrueType/>
    <w:pitch w:val="default"/>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72" w:type="dxa"/>
      <w:tblInd w:w="-176" w:type="dxa"/>
      <w:tblBorders>
        <w:top w:val="thickThinSmallGap" w:sz="24" w:space="0" w:color="D9D9D9"/>
      </w:tblBorders>
      <w:tblLook w:val="04A0" w:firstRow="1" w:lastRow="0" w:firstColumn="1" w:lastColumn="0" w:noHBand="0" w:noVBand="1"/>
    </w:tblPr>
    <w:tblGrid>
      <w:gridCol w:w="3198"/>
      <w:gridCol w:w="3182"/>
      <w:gridCol w:w="3392"/>
    </w:tblGrid>
    <w:tr w:rsidR="007801FB" w:rsidRPr="00185A31" w14:paraId="07724085" w14:textId="77777777" w:rsidTr="00BF1AA6">
      <w:trPr>
        <w:trHeight w:val="227"/>
      </w:trPr>
      <w:tc>
        <w:tcPr>
          <w:tcW w:w="3198" w:type="dxa"/>
        </w:tcPr>
        <w:p w14:paraId="78B2B8D2" w14:textId="50D375D9" w:rsidR="007801FB" w:rsidRPr="00185A31" w:rsidRDefault="007801FB" w:rsidP="00C02FFB">
          <w:pPr>
            <w:pStyle w:val="Footer"/>
            <w:spacing w:before="20" w:after="20"/>
            <w:rPr>
              <w:szCs w:val="8"/>
            </w:rPr>
          </w:pPr>
          <w:r>
            <w:rPr>
              <w:rFonts w:cs="Arial"/>
              <w:sz w:val="16"/>
              <w:szCs w:val="16"/>
            </w:rPr>
            <w:t>V:\\Path\To\The\Policy</w:t>
          </w:r>
        </w:p>
      </w:tc>
      <w:tc>
        <w:tcPr>
          <w:tcW w:w="3182" w:type="dxa"/>
        </w:tcPr>
        <w:p w14:paraId="7B694C25" w14:textId="5F216514" w:rsidR="007801FB" w:rsidRPr="00185A31" w:rsidRDefault="00FF1056" w:rsidP="004F203D">
          <w:pPr>
            <w:pStyle w:val="Footer"/>
            <w:spacing w:before="20" w:after="20"/>
            <w:jc w:val="center"/>
            <w:rPr>
              <w:szCs w:val="8"/>
            </w:rPr>
          </w:pPr>
          <w:r>
            <w:rPr>
              <w:szCs w:val="8"/>
            </w:rPr>
            <w:t xml:space="preserve">Information Systems </w:t>
          </w:r>
          <w:r w:rsidR="007801FB">
            <w:rPr>
              <w:szCs w:val="8"/>
            </w:rPr>
            <w:t>Se</w:t>
          </w:r>
          <w:r>
            <w:rPr>
              <w:szCs w:val="8"/>
            </w:rPr>
            <w:t>curity Officer – Levin Ostapeck</w:t>
          </w:r>
        </w:p>
      </w:tc>
      <w:tc>
        <w:tcPr>
          <w:tcW w:w="3392" w:type="dxa"/>
        </w:tcPr>
        <w:p w14:paraId="119B21F4" w14:textId="7F58EDE3" w:rsidR="007801FB" w:rsidRPr="00C02FFB" w:rsidRDefault="007801FB" w:rsidP="002248CA">
          <w:pPr>
            <w:pStyle w:val="Footer"/>
            <w:spacing w:before="20" w:after="20"/>
            <w:jc w:val="right"/>
            <w:rPr>
              <w:sz w:val="16"/>
              <w:szCs w:val="16"/>
            </w:rPr>
          </w:pPr>
          <w:r>
            <w:rPr>
              <w:sz w:val="16"/>
              <w:szCs w:val="16"/>
            </w:rPr>
            <w:t xml:space="preserve">Last Revised </w:t>
          </w:r>
          <w:r w:rsidRPr="00C02FFB">
            <w:rPr>
              <w:sz w:val="16"/>
              <w:szCs w:val="16"/>
            </w:rPr>
            <w:t>Date</w:t>
          </w:r>
          <w:r w:rsidR="00FF1056">
            <w:rPr>
              <w:sz w:val="16"/>
              <w:szCs w:val="16"/>
            </w:rPr>
            <w:t>: 27</w:t>
          </w:r>
          <w:r>
            <w:rPr>
              <w:sz w:val="16"/>
              <w:szCs w:val="16"/>
            </w:rPr>
            <w:t>FEB2017</w:t>
          </w:r>
        </w:p>
      </w:tc>
    </w:tr>
    <w:tr w:rsidR="007801FB" w:rsidRPr="00185A31" w14:paraId="7A87CF3C" w14:textId="77777777" w:rsidTr="00BF1AA6">
      <w:trPr>
        <w:trHeight w:val="227"/>
      </w:trPr>
      <w:tc>
        <w:tcPr>
          <w:tcW w:w="3198" w:type="dxa"/>
        </w:tcPr>
        <w:p w14:paraId="4521EE9B" w14:textId="77777777" w:rsidR="007801FB" w:rsidRPr="00185A31" w:rsidRDefault="007801FB" w:rsidP="002248CA">
          <w:pPr>
            <w:pStyle w:val="Footer"/>
            <w:spacing w:before="20" w:after="20"/>
            <w:rPr>
              <w:rFonts w:cs="Arial"/>
              <w:sz w:val="16"/>
              <w:szCs w:val="16"/>
            </w:rPr>
          </w:pPr>
        </w:p>
      </w:tc>
      <w:tc>
        <w:tcPr>
          <w:tcW w:w="3182" w:type="dxa"/>
        </w:tcPr>
        <w:p w14:paraId="41CB844E" w14:textId="32E7C140" w:rsidR="007801FB" w:rsidRPr="00185A31" w:rsidRDefault="007801FB" w:rsidP="005016F1">
          <w:pPr>
            <w:pStyle w:val="Footer"/>
            <w:spacing w:before="20" w:after="20"/>
            <w:jc w:val="center"/>
            <w:rPr>
              <w:rFonts w:cs="Arial"/>
              <w:sz w:val="16"/>
              <w:szCs w:val="16"/>
            </w:rPr>
          </w:pPr>
        </w:p>
      </w:tc>
      <w:tc>
        <w:tcPr>
          <w:tcW w:w="3392" w:type="dxa"/>
        </w:tcPr>
        <w:p w14:paraId="379F6F91" w14:textId="53466A02" w:rsidR="007801FB" w:rsidRPr="00185A31" w:rsidRDefault="007801FB" w:rsidP="002248CA">
          <w:pPr>
            <w:pStyle w:val="Footer"/>
            <w:spacing w:before="20" w:after="20"/>
            <w:jc w:val="right"/>
            <w:rPr>
              <w:rFonts w:cs="Arial"/>
              <w:sz w:val="16"/>
              <w:szCs w:val="16"/>
            </w:rPr>
          </w:pPr>
          <w:r>
            <w:rPr>
              <w:rFonts w:cs="Arial"/>
              <w:sz w:val="16"/>
              <w:szCs w:val="16"/>
            </w:rPr>
            <w:t>Issue Date: 21FEB2017</w:t>
          </w:r>
        </w:p>
      </w:tc>
    </w:tr>
  </w:tbl>
  <w:p w14:paraId="47262E87" w14:textId="77777777" w:rsidR="007801FB" w:rsidRDefault="007801F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2" w:type="dxa"/>
      <w:tblInd w:w="-176" w:type="dxa"/>
      <w:tblBorders>
        <w:top w:val="thickThinSmallGap" w:sz="24" w:space="0" w:color="D9D9D9"/>
      </w:tblBorders>
      <w:tblLook w:val="04A0" w:firstRow="1" w:lastRow="0" w:firstColumn="1" w:lastColumn="0" w:noHBand="0" w:noVBand="1"/>
    </w:tblPr>
    <w:tblGrid>
      <w:gridCol w:w="3198"/>
      <w:gridCol w:w="3192"/>
      <w:gridCol w:w="3392"/>
    </w:tblGrid>
    <w:tr w:rsidR="007801FB" w:rsidRPr="00185A31" w14:paraId="0540B196" w14:textId="77777777" w:rsidTr="002248CA">
      <w:trPr>
        <w:trHeight w:val="227"/>
      </w:trPr>
      <w:tc>
        <w:tcPr>
          <w:tcW w:w="3198" w:type="dxa"/>
        </w:tcPr>
        <w:p w14:paraId="4E7D91F6" w14:textId="31B9EBB8" w:rsidR="007801FB" w:rsidRPr="00185A31" w:rsidRDefault="007801FB" w:rsidP="002248CA">
          <w:pPr>
            <w:pStyle w:val="Footer"/>
            <w:spacing w:before="20" w:after="20"/>
            <w:rPr>
              <w:szCs w:val="8"/>
            </w:rPr>
          </w:pPr>
        </w:p>
      </w:tc>
      <w:tc>
        <w:tcPr>
          <w:tcW w:w="3192" w:type="dxa"/>
        </w:tcPr>
        <w:p w14:paraId="42556841" w14:textId="2F963D49" w:rsidR="007801FB" w:rsidRPr="00185A31" w:rsidRDefault="007801FB" w:rsidP="002248CA">
          <w:pPr>
            <w:pStyle w:val="Footer"/>
            <w:spacing w:before="20" w:after="20"/>
            <w:jc w:val="center"/>
            <w:rPr>
              <w:szCs w:val="8"/>
            </w:rPr>
          </w:pPr>
        </w:p>
      </w:tc>
      <w:tc>
        <w:tcPr>
          <w:tcW w:w="3392" w:type="dxa"/>
        </w:tcPr>
        <w:p w14:paraId="618D4FF1" w14:textId="6653FD2D" w:rsidR="007801FB" w:rsidRPr="00185A31" w:rsidRDefault="007801FB" w:rsidP="002248CA">
          <w:pPr>
            <w:pStyle w:val="Footer"/>
            <w:spacing w:before="20" w:after="20"/>
            <w:jc w:val="right"/>
            <w:rPr>
              <w:szCs w:val="8"/>
            </w:rPr>
          </w:pPr>
        </w:p>
      </w:tc>
    </w:tr>
    <w:tr w:rsidR="007801FB" w:rsidRPr="00185A31" w14:paraId="497E69C3" w14:textId="77777777" w:rsidTr="002248CA">
      <w:trPr>
        <w:trHeight w:val="227"/>
      </w:trPr>
      <w:tc>
        <w:tcPr>
          <w:tcW w:w="3198" w:type="dxa"/>
        </w:tcPr>
        <w:p w14:paraId="1DE98396" w14:textId="17155B43" w:rsidR="007801FB" w:rsidRPr="00185A31" w:rsidRDefault="007801FB" w:rsidP="002248CA">
          <w:pPr>
            <w:pStyle w:val="Footer"/>
            <w:spacing w:before="20" w:after="20"/>
            <w:rPr>
              <w:rFonts w:cs="Arial"/>
              <w:sz w:val="16"/>
              <w:szCs w:val="16"/>
            </w:rPr>
          </w:pPr>
        </w:p>
      </w:tc>
      <w:tc>
        <w:tcPr>
          <w:tcW w:w="3192" w:type="dxa"/>
        </w:tcPr>
        <w:p w14:paraId="2269DEE5" w14:textId="4494AF49" w:rsidR="007801FB" w:rsidRPr="00185A31" w:rsidRDefault="007801FB" w:rsidP="002248CA">
          <w:pPr>
            <w:pStyle w:val="Footer"/>
            <w:spacing w:before="20" w:after="20"/>
            <w:jc w:val="center"/>
            <w:rPr>
              <w:rFonts w:cs="Arial"/>
              <w:sz w:val="16"/>
              <w:szCs w:val="16"/>
            </w:rPr>
          </w:pPr>
        </w:p>
      </w:tc>
      <w:tc>
        <w:tcPr>
          <w:tcW w:w="3392" w:type="dxa"/>
        </w:tcPr>
        <w:p w14:paraId="5298C305" w14:textId="77777777" w:rsidR="007801FB" w:rsidRPr="00185A31" w:rsidRDefault="007801FB" w:rsidP="002248CA">
          <w:pPr>
            <w:pStyle w:val="Footer"/>
            <w:spacing w:before="20" w:after="20"/>
            <w:jc w:val="right"/>
            <w:rPr>
              <w:rFonts w:cs="Arial"/>
              <w:sz w:val="16"/>
              <w:szCs w:val="16"/>
            </w:rPr>
          </w:pPr>
        </w:p>
      </w:tc>
    </w:tr>
  </w:tbl>
  <w:p w14:paraId="11AC3A9B" w14:textId="77777777" w:rsidR="007801FB" w:rsidRDefault="007801F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DA6DB4" w14:textId="77777777" w:rsidR="007801FB" w:rsidRDefault="007801FB" w:rsidP="0019160A">
      <w:pPr>
        <w:spacing w:after="0" w:line="240" w:lineRule="auto"/>
      </w:pPr>
      <w:r>
        <w:separator/>
      </w:r>
    </w:p>
  </w:footnote>
  <w:footnote w:type="continuationSeparator" w:id="0">
    <w:p w14:paraId="19C00C98" w14:textId="77777777" w:rsidR="007801FB" w:rsidRDefault="007801FB" w:rsidP="0019160A">
      <w:pPr>
        <w:spacing w:after="0" w:line="240" w:lineRule="auto"/>
      </w:pPr>
      <w:r>
        <w:continuationSeparator/>
      </w:r>
    </w:p>
  </w:footnote>
  <w:footnote w:id="1">
    <w:p w14:paraId="1F1BE9B2" w14:textId="742A1F70" w:rsidR="007801FB" w:rsidRPr="00E73ABD" w:rsidRDefault="007801FB">
      <w:pPr>
        <w:pStyle w:val="FootnoteText"/>
        <w:rPr>
          <w:sz w:val="16"/>
          <w:szCs w:val="16"/>
          <w:lang w:val="en-US"/>
        </w:rPr>
      </w:pPr>
      <w:r w:rsidRPr="00E73ABD">
        <w:rPr>
          <w:rStyle w:val="FootnoteReference"/>
          <w:sz w:val="16"/>
          <w:szCs w:val="16"/>
        </w:rPr>
        <w:footnoteRef/>
      </w:r>
      <w:r w:rsidRPr="00E73ABD">
        <w:rPr>
          <w:sz w:val="16"/>
          <w:szCs w:val="16"/>
        </w:rPr>
        <w:t xml:space="preserve"> http://nvlpubs.nist.gov/nistpubs/SpecialPublications/NIST.SP.800-61r2.pdf</w:t>
      </w:r>
    </w:p>
  </w:footnote>
  <w:footnote w:id="2">
    <w:p w14:paraId="7EC20D92" w14:textId="2CFB9752" w:rsidR="007801FB" w:rsidRPr="00042EB1" w:rsidRDefault="007801FB">
      <w:pPr>
        <w:pStyle w:val="FootnoteText"/>
        <w:rPr>
          <w:lang w:val="en-US"/>
        </w:rPr>
      </w:pPr>
      <w:r w:rsidRPr="00042EB1">
        <w:rPr>
          <w:rStyle w:val="FootnoteReference"/>
        </w:rPr>
        <w:footnoteRef/>
      </w:r>
      <w:r w:rsidRPr="00042EB1">
        <w:t xml:space="preserve"> </w:t>
      </w:r>
      <w:r w:rsidRPr="00E44ED5">
        <w:rPr>
          <w:sz w:val="16"/>
          <w:szCs w:val="16"/>
        </w:rPr>
        <w:t>http://www.dshield.org/diary/Day%2B4%2B-%2BPreparation%3A%2B%2BWhat%2BGoes%2BInto%2Ba%2BResponse%2BKit/5125</w:t>
      </w:r>
    </w:p>
  </w:footnote>
  <w:footnote w:id="3">
    <w:p w14:paraId="4651E568" w14:textId="438F0B5E" w:rsidR="007801FB" w:rsidRPr="00E73ABD" w:rsidRDefault="007801FB">
      <w:pPr>
        <w:pStyle w:val="FootnoteText"/>
        <w:rPr>
          <w:lang w:val="en-US"/>
        </w:rPr>
      </w:pPr>
      <w:r>
        <w:rPr>
          <w:rStyle w:val="FootnoteReference"/>
        </w:rPr>
        <w:footnoteRef/>
      </w:r>
      <w:r>
        <w:t xml:space="preserve"> </w:t>
      </w:r>
      <w:r w:rsidRPr="00E73ABD">
        <w:rPr>
          <w:sz w:val="16"/>
          <w:szCs w:val="16"/>
        </w:rPr>
        <w:t>http://nvlpubs.nist.gov/nistpubs/SpecialPublications/NIST.SP.800-61r2.pdf</w:t>
      </w:r>
    </w:p>
  </w:footnote>
  <w:footnote w:id="4">
    <w:p w14:paraId="3DEE88CF" w14:textId="3CB7F8C8" w:rsidR="007801FB" w:rsidRPr="00E73ABD" w:rsidRDefault="007801FB">
      <w:pPr>
        <w:pStyle w:val="FootnoteText"/>
        <w:rPr>
          <w:sz w:val="16"/>
          <w:szCs w:val="16"/>
          <w:lang w:val="en-US"/>
        </w:rPr>
      </w:pPr>
      <w:r w:rsidRPr="00E73ABD">
        <w:rPr>
          <w:rStyle w:val="FootnoteReference"/>
          <w:sz w:val="16"/>
          <w:szCs w:val="16"/>
        </w:rPr>
        <w:footnoteRef/>
      </w:r>
      <w:r w:rsidRPr="00E73ABD">
        <w:rPr>
          <w:sz w:val="16"/>
          <w:szCs w:val="16"/>
        </w:rPr>
        <w:t xml:space="preserve"> http://nvlpubs.nist.gov/nistpubs/SpecialPublications/NIST.SP.800-61r2.pdf</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0ACAD" w14:textId="77777777" w:rsidR="007801FB" w:rsidRDefault="007801FB" w:rsidP="00B84990">
    <w:pPr>
      <w:pStyle w:val="Header"/>
      <w:tabs>
        <w:tab w:val="center" w:pos="6447"/>
      </w:tabs>
      <w:spacing w:before="40" w:after="40"/>
      <w:rPr>
        <w:rFonts w:cs="Arial"/>
        <w:sz w:val="20"/>
      </w:rPr>
    </w:pPr>
  </w:p>
  <w:p w14:paraId="64ED63A7" w14:textId="77777777" w:rsidR="007801FB" w:rsidRDefault="007801F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01F39" w14:textId="14CAA782" w:rsidR="007801FB" w:rsidRPr="00C035C0" w:rsidRDefault="007801FB" w:rsidP="00BF1AA6">
    <w:pPr>
      <w:pStyle w:val="Header"/>
      <w:tabs>
        <w:tab w:val="center" w:pos="9072"/>
      </w:tabs>
      <w:spacing w:before="40" w:after="40"/>
      <w:rPr>
        <w:rFonts w:cs="Arial"/>
        <w:b/>
        <w:sz w:val="20"/>
      </w:rPr>
    </w:pPr>
    <w:r w:rsidRPr="00C035C0">
      <w:rPr>
        <w:rFonts w:cs="Arial"/>
        <w:b/>
        <w:sz w:val="20"/>
      </w:rPr>
      <w:t xml:space="preserve">Project Name: </w:t>
    </w:r>
    <w:r>
      <w:rPr>
        <w:sz w:val="20"/>
      </w:rPr>
      <w:t>BISHOP GADSDEN</w:t>
    </w:r>
    <w:r w:rsidRPr="00C035C0">
      <w:rPr>
        <w:sz w:val="20"/>
      </w:rPr>
      <w:t>x</w:t>
    </w:r>
    <w:r>
      <w:rPr>
        <w:sz w:val="20"/>
      </w:rPr>
      <w:tab/>
    </w:r>
    <w:r>
      <w:rPr>
        <w:sz w:val="20"/>
      </w:rPr>
      <w:tab/>
    </w:r>
    <w:r>
      <w:rPr>
        <w:rFonts w:cs="Arial"/>
        <w:b/>
        <w:sz w:val="20"/>
      </w:rPr>
      <w:t>ENEL Green Energy</w:t>
    </w:r>
    <w:r w:rsidRPr="00C035C0">
      <w:rPr>
        <w:rFonts w:cs="Arial"/>
        <w:b/>
        <w:sz w:val="20"/>
      </w:rPr>
      <w:t xml:space="preserve"> Name: </w:t>
    </w:r>
    <w:r>
      <w:rPr>
        <w:rFonts w:cs="Arial"/>
        <w:b/>
        <w:sz w:val="20"/>
      </w:rPr>
      <w:t>BISHOP GADSDEN</w:t>
    </w:r>
    <w:r w:rsidRPr="00C035C0">
      <w:rPr>
        <w:rFonts w:cs="Arial"/>
        <w:b/>
        <w:sz w:val="20"/>
      </w:rPr>
      <w:t>x</w:t>
    </w:r>
  </w:p>
  <w:p w14:paraId="62EAADB0" w14:textId="48AF820F" w:rsidR="007801FB" w:rsidRDefault="007801FB" w:rsidP="00BF1AA6">
    <w:pPr>
      <w:pStyle w:val="Header"/>
      <w:tabs>
        <w:tab w:val="center" w:pos="6447"/>
      </w:tabs>
      <w:spacing w:before="40" w:after="40"/>
      <w:rPr>
        <w:rFonts w:cs="Arial"/>
        <w:sz w:val="20"/>
      </w:rPr>
    </w:pPr>
    <w:r w:rsidRPr="00C035C0">
      <w:rPr>
        <w:rFonts w:cs="Arial"/>
        <w:b/>
        <w:sz w:val="20"/>
      </w:rPr>
      <w:t xml:space="preserve">Document Number / Version Number: </w:t>
    </w:r>
    <w:r>
      <w:rPr>
        <w:rFonts w:cs="Arial"/>
        <w:sz w:val="20"/>
      </w:rPr>
      <w:t>BISHOP GADSDEN</w:t>
    </w:r>
    <w:r w:rsidRPr="00C035C0">
      <w:rPr>
        <w:rFonts w:cs="Arial"/>
        <w:sz w:val="20"/>
      </w:rPr>
      <w:t>x</w:t>
    </w:r>
  </w:p>
  <w:p w14:paraId="60162CED" w14:textId="77777777" w:rsidR="007801FB" w:rsidRDefault="007801F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A928E024"/>
    <w:lvl w:ilvl="0">
      <w:start w:val="1"/>
      <w:numFmt w:val="bullet"/>
      <w:pStyle w:val="ListBullet3"/>
      <w:lvlText w:val="o"/>
      <w:lvlJc w:val="left"/>
      <w:pPr>
        <w:tabs>
          <w:tab w:val="num" w:pos="1494"/>
        </w:tabs>
        <w:ind w:left="1494" w:hanging="360"/>
      </w:pPr>
      <w:rPr>
        <w:rFonts w:ascii="Courier New" w:hAnsi="Courier New" w:cs="Courier New" w:hint="default"/>
      </w:rPr>
    </w:lvl>
  </w:abstractNum>
  <w:abstractNum w:abstractNumId="1">
    <w:nsid w:val="FFFFFF89"/>
    <w:multiLevelType w:val="singleLevel"/>
    <w:tmpl w:val="7E249CE2"/>
    <w:lvl w:ilvl="0">
      <w:start w:val="1"/>
      <w:numFmt w:val="bullet"/>
      <w:pStyle w:val="ListBullet"/>
      <w:lvlText w:val=""/>
      <w:lvlJc w:val="left"/>
      <w:pPr>
        <w:ind w:left="360" w:hanging="360"/>
      </w:pPr>
      <w:rPr>
        <w:rFonts w:ascii="Symbol" w:hAnsi="Symbol" w:hint="default"/>
        <w:color w:val="9D3511"/>
      </w:rPr>
    </w:lvl>
  </w:abstractNum>
  <w:abstractNum w:abstractNumId="2">
    <w:nsid w:val="016701A6"/>
    <w:multiLevelType w:val="hybridMultilevel"/>
    <w:tmpl w:val="5B0083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4D10F9"/>
    <w:multiLevelType w:val="hybridMultilevel"/>
    <w:tmpl w:val="826C11D2"/>
    <w:lvl w:ilvl="0" w:tplc="0409000F">
      <w:start w:val="1"/>
      <w:numFmt w:val="decimal"/>
      <w:lvlText w:val="%1."/>
      <w:lvlJc w:val="left"/>
      <w:pPr>
        <w:ind w:left="717" w:hanging="360"/>
      </w:pPr>
      <w:rPr>
        <w:rFonts w:hint="default"/>
      </w:rPr>
    </w:lvl>
    <w:lvl w:ilvl="1" w:tplc="0409000F">
      <w:start w:val="1"/>
      <w:numFmt w:val="decimal"/>
      <w:lvlText w:val="%2."/>
      <w:lvlJc w:val="left"/>
      <w:pPr>
        <w:ind w:left="1437" w:hanging="360"/>
      </w:pPr>
      <w:rPr>
        <w:rFonts w:hint="default"/>
      </w:rPr>
    </w:lvl>
    <w:lvl w:ilvl="2" w:tplc="04090005">
      <w:start w:val="1"/>
      <w:numFmt w:val="bullet"/>
      <w:lvlText w:val=""/>
      <w:lvlJc w:val="left"/>
      <w:pPr>
        <w:ind w:left="2157" w:hanging="360"/>
      </w:pPr>
      <w:rPr>
        <w:rFonts w:ascii="Wingdings" w:hAnsi="Wingdings" w:hint="default"/>
      </w:rPr>
    </w:lvl>
    <w:lvl w:ilvl="3" w:tplc="04090001">
      <w:start w:val="1"/>
      <w:numFmt w:val="bullet"/>
      <w:lvlText w:val=""/>
      <w:lvlJc w:val="left"/>
      <w:pPr>
        <w:ind w:left="2877" w:hanging="360"/>
      </w:pPr>
      <w:rPr>
        <w:rFonts w:ascii="Symbol" w:hAnsi="Symbol" w:hint="default"/>
      </w:rPr>
    </w:lvl>
    <w:lvl w:ilvl="4" w:tplc="04090003">
      <w:start w:val="1"/>
      <w:numFmt w:val="bullet"/>
      <w:lvlText w:val="o"/>
      <w:lvlJc w:val="left"/>
      <w:pPr>
        <w:ind w:left="3597" w:hanging="360"/>
      </w:pPr>
      <w:rPr>
        <w:rFonts w:ascii="Courier New" w:hAnsi="Courier New" w:hint="default"/>
      </w:rPr>
    </w:lvl>
    <w:lvl w:ilvl="5" w:tplc="04090005">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4">
    <w:nsid w:val="15877F61"/>
    <w:multiLevelType w:val="multilevel"/>
    <w:tmpl w:val="4734051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33D0858"/>
    <w:multiLevelType w:val="multilevel"/>
    <w:tmpl w:val="01E863B4"/>
    <w:lvl w:ilvl="0">
      <w:start w:val="1"/>
      <w:numFmt w:val="upperLetter"/>
      <w:pStyle w:val="AppendixHeading1"/>
      <w:suff w:val="space"/>
      <w:lvlText w:val="Appendix %1."/>
      <w:lvlJc w:val="left"/>
      <w:pPr>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6">
    <w:nsid w:val="2959088F"/>
    <w:multiLevelType w:val="hybridMultilevel"/>
    <w:tmpl w:val="99EA0E6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D4746A"/>
    <w:multiLevelType w:val="hybridMultilevel"/>
    <w:tmpl w:val="A3BAACAA"/>
    <w:lvl w:ilvl="0" w:tplc="04090001">
      <w:start w:val="1"/>
      <w:numFmt w:val="bullet"/>
      <w:lvlText w:val=""/>
      <w:lvlJc w:val="left"/>
      <w:pPr>
        <w:ind w:left="717" w:hanging="360"/>
      </w:pPr>
      <w:rPr>
        <w:rFonts w:ascii="Symbol" w:hAnsi="Symbol" w:hint="default"/>
      </w:rPr>
    </w:lvl>
    <w:lvl w:ilvl="1" w:tplc="0409000F">
      <w:start w:val="1"/>
      <w:numFmt w:val="decimal"/>
      <w:lvlText w:val="%2."/>
      <w:lvlJc w:val="left"/>
      <w:pPr>
        <w:ind w:left="1437" w:hanging="360"/>
      </w:pPr>
      <w:rPr>
        <w:rFonts w:hint="default"/>
      </w:rPr>
    </w:lvl>
    <w:lvl w:ilvl="2" w:tplc="04090005">
      <w:start w:val="1"/>
      <w:numFmt w:val="bullet"/>
      <w:lvlText w:val=""/>
      <w:lvlJc w:val="left"/>
      <w:pPr>
        <w:ind w:left="2157" w:hanging="360"/>
      </w:pPr>
      <w:rPr>
        <w:rFonts w:ascii="Wingdings" w:hAnsi="Wingdings" w:hint="default"/>
      </w:rPr>
    </w:lvl>
    <w:lvl w:ilvl="3" w:tplc="04090001">
      <w:start w:val="1"/>
      <w:numFmt w:val="bullet"/>
      <w:lvlText w:val=""/>
      <w:lvlJc w:val="left"/>
      <w:pPr>
        <w:ind w:left="2877" w:hanging="360"/>
      </w:pPr>
      <w:rPr>
        <w:rFonts w:ascii="Symbol" w:hAnsi="Symbol" w:hint="default"/>
      </w:rPr>
    </w:lvl>
    <w:lvl w:ilvl="4" w:tplc="04090003">
      <w:start w:val="1"/>
      <w:numFmt w:val="bullet"/>
      <w:lvlText w:val="o"/>
      <w:lvlJc w:val="left"/>
      <w:pPr>
        <w:ind w:left="3597" w:hanging="360"/>
      </w:pPr>
      <w:rPr>
        <w:rFonts w:ascii="Courier New" w:hAnsi="Courier New" w:hint="default"/>
      </w:rPr>
    </w:lvl>
    <w:lvl w:ilvl="5" w:tplc="04090005">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8">
    <w:nsid w:val="77264CA8"/>
    <w:multiLevelType w:val="hybridMultilevel"/>
    <w:tmpl w:val="07A47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0"/>
  </w:num>
  <w:num w:numId="5">
    <w:abstractNumId w:val="2"/>
  </w:num>
  <w:num w:numId="6">
    <w:abstractNumId w:val="6"/>
  </w:num>
  <w:num w:numId="7">
    <w:abstractNumId w:val="4"/>
  </w:num>
  <w:num w:numId="8">
    <w:abstractNumId w:val="4"/>
  </w:num>
  <w:num w:numId="9">
    <w:abstractNumId w:val="4"/>
  </w:num>
  <w:num w:numId="10">
    <w:abstractNumId w:val="8"/>
  </w:num>
  <w:num w:numId="11">
    <w:abstractNumId w:val="7"/>
  </w:num>
  <w:num w:numId="12">
    <w:abstractNumId w:val="3"/>
  </w:num>
  <w:numIdMacAtCleanup w:val="6"/>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activeWritingStyle w:appName="MSWord" w:lang="en-US" w:vendorID="64" w:dllVersion="131078" w:nlCheck="1" w:checkStyle="0"/>
  <w:activeWritingStyle w:appName="MSWord" w:lang="en-GB" w:vendorID="64" w:dllVersion="131078" w:nlCheck="1" w:checkStyle="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132"/>
    <w:rsid w:val="000006C6"/>
    <w:rsid w:val="00000BF8"/>
    <w:rsid w:val="000040A8"/>
    <w:rsid w:val="0000616E"/>
    <w:rsid w:val="000074F7"/>
    <w:rsid w:val="000108F2"/>
    <w:rsid w:val="000207D2"/>
    <w:rsid w:val="0003392A"/>
    <w:rsid w:val="00035406"/>
    <w:rsid w:val="000401E7"/>
    <w:rsid w:val="00042EB1"/>
    <w:rsid w:val="000442BB"/>
    <w:rsid w:val="00046FDC"/>
    <w:rsid w:val="00051AE7"/>
    <w:rsid w:val="00055C11"/>
    <w:rsid w:val="000570B4"/>
    <w:rsid w:val="0005720F"/>
    <w:rsid w:val="0006377F"/>
    <w:rsid w:val="000652D8"/>
    <w:rsid w:val="000654F5"/>
    <w:rsid w:val="00066ABC"/>
    <w:rsid w:val="0008157F"/>
    <w:rsid w:val="00082715"/>
    <w:rsid w:val="0008305A"/>
    <w:rsid w:val="00084982"/>
    <w:rsid w:val="00097423"/>
    <w:rsid w:val="00097E32"/>
    <w:rsid w:val="000A252C"/>
    <w:rsid w:val="000A6070"/>
    <w:rsid w:val="000B2007"/>
    <w:rsid w:val="000B66E7"/>
    <w:rsid w:val="000C1B83"/>
    <w:rsid w:val="000C28D1"/>
    <w:rsid w:val="000C2A82"/>
    <w:rsid w:val="000C7086"/>
    <w:rsid w:val="000D0141"/>
    <w:rsid w:val="000D36C5"/>
    <w:rsid w:val="000D5F4F"/>
    <w:rsid w:val="000E1740"/>
    <w:rsid w:val="000E6A23"/>
    <w:rsid w:val="000E7A46"/>
    <w:rsid w:val="000F51B3"/>
    <w:rsid w:val="001048A5"/>
    <w:rsid w:val="0011239D"/>
    <w:rsid w:val="00113F83"/>
    <w:rsid w:val="001303D3"/>
    <w:rsid w:val="00131357"/>
    <w:rsid w:val="00132025"/>
    <w:rsid w:val="00132BB4"/>
    <w:rsid w:val="00144B22"/>
    <w:rsid w:val="00146DC7"/>
    <w:rsid w:val="00147CA7"/>
    <w:rsid w:val="00150342"/>
    <w:rsid w:val="0015383A"/>
    <w:rsid w:val="00154EDD"/>
    <w:rsid w:val="00157888"/>
    <w:rsid w:val="00164C2C"/>
    <w:rsid w:val="00166220"/>
    <w:rsid w:val="00166E49"/>
    <w:rsid w:val="00170963"/>
    <w:rsid w:val="00185A31"/>
    <w:rsid w:val="00186BCC"/>
    <w:rsid w:val="0019160A"/>
    <w:rsid w:val="00195DE3"/>
    <w:rsid w:val="001A1447"/>
    <w:rsid w:val="001A64BA"/>
    <w:rsid w:val="001C1C9F"/>
    <w:rsid w:val="001D3A56"/>
    <w:rsid w:val="001D4D25"/>
    <w:rsid w:val="001E1BD0"/>
    <w:rsid w:val="001E299F"/>
    <w:rsid w:val="001E3645"/>
    <w:rsid w:val="001E3819"/>
    <w:rsid w:val="001E6D96"/>
    <w:rsid w:val="002033DF"/>
    <w:rsid w:val="00206599"/>
    <w:rsid w:val="0020741B"/>
    <w:rsid w:val="00214D5C"/>
    <w:rsid w:val="002162A9"/>
    <w:rsid w:val="00216631"/>
    <w:rsid w:val="002242A7"/>
    <w:rsid w:val="002248CA"/>
    <w:rsid w:val="002279C9"/>
    <w:rsid w:val="00232249"/>
    <w:rsid w:val="002345D9"/>
    <w:rsid w:val="00234DDB"/>
    <w:rsid w:val="00234F32"/>
    <w:rsid w:val="0023641F"/>
    <w:rsid w:val="00237DDC"/>
    <w:rsid w:val="002455EE"/>
    <w:rsid w:val="002544AA"/>
    <w:rsid w:val="00256592"/>
    <w:rsid w:val="00261EA1"/>
    <w:rsid w:val="00267397"/>
    <w:rsid w:val="0028196B"/>
    <w:rsid w:val="00281B7D"/>
    <w:rsid w:val="00281FEF"/>
    <w:rsid w:val="00293F4A"/>
    <w:rsid w:val="00293FCD"/>
    <w:rsid w:val="00296809"/>
    <w:rsid w:val="002A131A"/>
    <w:rsid w:val="002A669D"/>
    <w:rsid w:val="002A678E"/>
    <w:rsid w:val="002A698B"/>
    <w:rsid w:val="002A6FAB"/>
    <w:rsid w:val="002B0231"/>
    <w:rsid w:val="002B3A93"/>
    <w:rsid w:val="002B52E1"/>
    <w:rsid w:val="002C2EF0"/>
    <w:rsid w:val="002C4D2D"/>
    <w:rsid w:val="002C7C95"/>
    <w:rsid w:val="002D1059"/>
    <w:rsid w:val="002D2CF7"/>
    <w:rsid w:val="002D2F6E"/>
    <w:rsid w:val="002D69DC"/>
    <w:rsid w:val="002D6C29"/>
    <w:rsid w:val="002E1810"/>
    <w:rsid w:val="002E5BF8"/>
    <w:rsid w:val="002F1535"/>
    <w:rsid w:val="002F2789"/>
    <w:rsid w:val="002F4EDA"/>
    <w:rsid w:val="0030035E"/>
    <w:rsid w:val="003007C6"/>
    <w:rsid w:val="003011BE"/>
    <w:rsid w:val="00301B81"/>
    <w:rsid w:val="00302FD0"/>
    <w:rsid w:val="00305645"/>
    <w:rsid w:val="00305FAA"/>
    <w:rsid w:val="00306303"/>
    <w:rsid w:val="003113E1"/>
    <w:rsid w:val="00317B70"/>
    <w:rsid w:val="00320C11"/>
    <w:rsid w:val="00326384"/>
    <w:rsid w:val="00331929"/>
    <w:rsid w:val="0033245F"/>
    <w:rsid w:val="00341976"/>
    <w:rsid w:val="00344A7B"/>
    <w:rsid w:val="00346385"/>
    <w:rsid w:val="00350989"/>
    <w:rsid w:val="0035189B"/>
    <w:rsid w:val="003521EE"/>
    <w:rsid w:val="00361319"/>
    <w:rsid w:val="00366A09"/>
    <w:rsid w:val="003736F0"/>
    <w:rsid w:val="00376204"/>
    <w:rsid w:val="003806FB"/>
    <w:rsid w:val="00390EF5"/>
    <w:rsid w:val="00396230"/>
    <w:rsid w:val="003A07FF"/>
    <w:rsid w:val="003A737B"/>
    <w:rsid w:val="003B16D5"/>
    <w:rsid w:val="003C3B5A"/>
    <w:rsid w:val="003C77E7"/>
    <w:rsid w:val="003D5580"/>
    <w:rsid w:val="003D7D08"/>
    <w:rsid w:val="003E4DE8"/>
    <w:rsid w:val="003E6656"/>
    <w:rsid w:val="003E6CC8"/>
    <w:rsid w:val="00412ED2"/>
    <w:rsid w:val="00420E71"/>
    <w:rsid w:val="00430179"/>
    <w:rsid w:val="0044386D"/>
    <w:rsid w:val="004448C1"/>
    <w:rsid w:val="004454FE"/>
    <w:rsid w:val="00456DE5"/>
    <w:rsid w:val="00457A4C"/>
    <w:rsid w:val="00462AD6"/>
    <w:rsid w:val="00467F3F"/>
    <w:rsid w:val="00483C4E"/>
    <w:rsid w:val="00485723"/>
    <w:rsid w:val="004876E9"/>
    <w:rsid w:val="004959B7"/>
    <w:rsid w:val="004975D6"/>
    <w:rsid w:val="004A3347"/>
    <w:rsid w:val="004A40AC"/>
    <w:rsid w:val="004A567F"/>
    <w:rsid w:val="004B0DE2"/>
    <w:rsid w:val="004B194F"/>
    <w:rsid w:val="004B263B"/>
    <w:rsid w:val="004B30B5"/>
    <w:rsid w:val="004B4AFA"/>
    <w:rsid w:val="004B57F3"/>
    <w:rsid w:val="004B7FB1"/>
    <w:rsid w:val="004C1F05"/>
    <w:rsid w:val="004D004F"/>
    <w:rsid w:val="004D4F07"/>
    <w:rsid w:val="004E1454"/>
    <w:rsid w:val="004E2598"/>
    <w:rsid w:val="004E2BFC"/>
    <w:rsid w:val="004F006E"/>
    <w:rsid w:val="004F203D"/>
    <w:rsid w:val="004F326C"/>
    <w:rsid w:val="0050091A"/>
    <w:rsid w:val="005016F1"/>
    <w:rsid w:val="005109CE"/>
    <w:rsid w:val="00511461"/>
    <w:rsid w:val="00514733"/>
    <w:rsid w:val="0051631C"/>
    <w:rsid w:val="005231B3"/>
    <w:rsid w:val="0052689D"/>
    <w:rsid w:val="005272B9"/>
    <w:rsid w:val="005304FB"/>
    <w:rsid w:val="00532B63"/>
    <w:rsid w:val="0053593F"/>
    <w:rsid w:val="0053615C"/>
    <w:rsid w:val="00540431"/>
    <w:rsid w:val="00540EA1"/>
    <w:rsid w:val="00541D70"/>
    <w:rsid w:val="00542696"/>
    <w:rsid w:val="005531C0"/>
    <w:rsid w:val="00554D8A"/>
    <w:rsid w:val="0055738F"/>
    <w:rsid w:val="00563403"/>
    <w:rsid w:val="00564038"/>
    <w:rsid w:val="00564F51"/>
    <w:rsid w:val="00573941"/>
    <w:rsid w:val="00574924"/>
    <w:rsid w:val="0057622E"/>
    <w:rsid w:val="00585A5A"/>
    <w:rsid w:val="005928A8"/>
    <w:rsid w:val="005A01E1"/>
    <w:rsid w:val="005A4B33"/>
    <w:rsid w:val="005A50BD"/>
    <w:rsid w:val="005B16A2"/>
    <w:rsid w:val="005B2CD0"/>
    <w:rsid w:val="005B6E71"/>
    <w:rsid w:val="005C1191"/>
    <w:rsid w:val="005C1448"/>
    <w:rsid w:val="005C69C0"/>
    <w:rsid w:val="005D0318"/>
    <w:rsid w:val="005E2AB0"/>
    <w:rsid w:val="005E65B0"/>
    <w:rsid w:val="005F34E3"/>
    <w:rsid w:val="005F4B6E"/>
    <w:rsid w:val="005F510B"/>
    <w:rsid w:val="00603CDA"/>
    <w:rsid w:val="006044F8"/>
    <w:rsid w:val="00607ABE"/>
    <w:rsid w:val="00616FB6"/>
    <w:rsid w:val="006211F3"/>
    <w:rsid w:val="0062139D"/>
    <w:rsid w:val="006217EA"/>
    <w:rsid w:val="00622852"/>
    <w:rsid w:val="0062355E"/>
    <w:rsid w:val="0062730A"/>
    <w:rsid w:val="00627D50"/>
    <w:rsid w:val="00630504"/>
    <w:rsid w:val="0063483A"/>
    <w:rsid w:val="00636A22"/>
    <w:rsid w:val="0065237A"/>
    <w:rsid w:val="00656E7D"/>
    <w:rsid w:val="006609FA"/>
    <w:rsid w:val="006658BD"/>
    <w:rsid w:val="00675715"/>
    <w:rsid w:val="00676F16"/>
    <w:rsid w:val="00677B84"/>
    <w:rsid w:val="00680132"/>
    <w:rsid w:val="0068252B"/>
    <w:rsid w:val="00692815"/>
    <w:rsid w:val="006951EA"/>
    <w:rsid w:val="006A1808"/>
    <w:rsid w:val="006A1E36"/>
    <w:rsid w:val="006A385C"/>
    <w:rsid w:val="006A6994"/>
    <w:rsid w:val="006A7456"/>
    <w:rsid w:val="006A7BF1"/>
    <w:rsid w:val="006B78BF"/>
    <w:rsid w:val="006C06FF"/>
    <w:rsid w:val="006D225C"/>
    <w:rsid w:val="006D2C44"/>
    <w:rsid w:val="006D4CC7"/>
    <w:rsid w:val="006D64D9"/>
    <w:rsid w:val="006E7D97"/>
    <w:rsid w:val="006F17F2"/>
    <w:rsid w:val="006F521C"/>
    <w:rsid w:val="00711552"/>
    <w:rsid w:val="00711D51"/>
    <w:rsid w:val="007138BC"/>
    <w:rsid w:val="007174F2"/>
    <w:rsid w:val="00720845"/>
    <w:rsid w:val="007331F8"/>
    <w:rsid w:val="0073404A"/>
    <w:rsid w:val="0074131B"/>
    <w:rsid w:val="007455EE"/>
    <w:rsid w:val="00745982"/>
    <w:rsid w:val="007565CE"/>
    <w:rsid w:val="007609EC"/>
    <w:rsid w:val="0076747B"/>
    <w:rsid w:val="007706BC"/>
    <w:rsid w:val="00772345"/>
    <w:rsid w:val="00776174"/>
    <w:rsid w:val="00777292"/>
    <w:rsid w:val="007801FB"/>
    <w:rsid w:val="00792A4E"/>
    <w:rsid w:val="00793ADD"/>
    <w:rsid w:val="00794813"/>
    <w:rsid w:val="00794980"/>
    <w:rsid w:val="007A0889"/>
    <w:rsid w:val="007A2432"/>
    <w:rsid w:val="007A288F"/>
    <w:rsid w:val="007B0BF6"/>
    <w:rsid w:val="007B6276"/>
    <w:rsid w:val="007C00DE"/>
    <w:rsid w:val="007C4DFB"/>
    <w:rsid w:val="007C6293"/>
    <w:rsid w:val="007C7881"/>
    <w:rsid w:val="007D6D5C"/>
    <w:rsid w:val="007E0940"/>
    <w:rsid w:val="007E2546"/>
    <w:rsid w:val="007E3281"/>
    <w:rsid w:val="007E40EE"/>
    <w:rsid w:val="007F24AD"/>
    <w:rsid w:val="007F2F09"/>
    <w:rsid w:val="007F3723"/>
    <w:rsid w:val="007F6E4E"/>
    <w:rsid w:val="00810F20"/>
    <w:rsid w:val="00813355"/>
    <w:rsid w:val="00817D3D"/>
    <w:rsid w:val="00820EEB"/>
    <w:rsid w:val="00823056"/>
    <w:rsid w:val="008243AC"/>
    <w:rsid w:val="0082736B"/>
    <w:rsid w:val="00831D4A"/>
    <w:rsid w:val="0083283A"/>
    <w:rsid w:val="00834B2F"/>
    <w:rsid w:val="00835670"/>
    <w:rsid w:val="008403CE"/>
    <w:rsid w:val="008426F0"/>
    <w:rsid w:val="008427FB"/>
    <w:rsid w:val="00843DD1"/>
    <w:rsid w:val="00854DDC"/>
    <w:rsid w:val="008600F7"/>
    <w:rsid w:val="0087121B"/>
    <w:rsid w:val="0088234A"/>
    <w:rsid w:val="008878D3"/>
    <w:rsid w:val="00897B6C"/>
    <w:rsid w:val="008A1562"/>
    <w:rsid w:val="008A219D"/>
    <w:rsid w:val="008A3C6E"/>
    <w:rsid w:val="008A59D3"/>
    <w:rsid w:val="008A6483"/>
    <w:rsid w:val="008A6B1F"/>
    <w:rsid w:val="008A73A7"/>
    <w:rsid w:val="008A7F9F"/>
    <w:rsid w:val="008B5653"/>
    <w:rsid w:val="008C47A2"/>
    <w:rsid w:val="008C59CA"/>
    <w:rsid w:val="008C7BC1"/>
    <w:rsid w:val="008C7CFA"/>
    <w:rsid w:val="008D2D87"/>
    <w:rsid w:val="008D4C2D"/>
    <w:rsid w:val="008E064C"/>
    <w:rsid w:val="008E3F79"/>
    <w:rsid w:val="008E63FD"/>
    <w:rsid w:val="008F40FA"/>
    <w:rsid w:val="008F6DBB"/>
    <w:rsid w:val="00904F33"/>
    <w:rsid w:val="0090564A"/>
    <w:rsid w:val="00907C4F"/>
    <w:rsid w:val="00914C65"/>
    <w:rsid w:val="00916068"/>
    <w:rsid w:val="00920505"/>
    <w:rsid w:val="00921400"/>
    <w:rsid w:val="00924BDE"/>
    <w:rsid w:val="009316AE"/>
    <w:rsid w:val="00931805"/>
    <w:rsid w:val="00932689"/>
    <w:rsid w:val="00933AB5"/>
    <w:rsid w:val="00942510"/>
    <w:rsid w:val="00942BA0"/>
    <w:rsid w:val="00943249"/>
    <w:rsid w:val="00945033"/>
    <w:rsid w:val="0095467B"/>
    <w:rsid w:val="00955065"/>
    <w:rsid w:val="009561ED"/>
    <w:rsid w:val="00956DD5"/>
    <w:rsid w:val="00961A93"/>
    <w:rsid w:val="009749AD"/>
    <w:rsid w:val="00980ED6"/>
    <w:rsid w:val="009849D1"/>
    <w:rsid w:val="009874EE"/>
    <w:rsid w:val="009915ED"/>
    <w:rsid w:val="00991BBC"/>
    <w:rsid w:val="00994940"/>
    <w:rsid w:val="009A081D"/>
    <w:rsid w:val="009B22B0"/>
    <w:rsid w:val="009B421C"/>
    <w:rsid w:val="009B43F9"/>
    <w:rsid w:val="009C0709"/>
    <w:rsid w:val="009C7B1C"/>
    <w:rsid w:val="009D070D"/>
    <w:rsid w:val="009D1384"/>
    <w:rsid w:val="009D148B"/>
    <w:rsid w:val="009D27D3"/>
    <w:rsid w:val="009D52C7"/>
    <w:rsid w:val="009D5667"/>
    <w:rsid w:val="009E02DF"/>
    <w:rsid w:val="009E410D"/>
    <w:rsid w:val="009E4C14"/>
    <w:rsid w:val="009F02F9"/>
    <w:rsid w:val="009F6B66"/>
    <w:rsid w:val="00A03A0F"/>
    <w:rsid w:val="00A1348A"/>
    <w:rsid w:val="00A143A5"/>
    <w:rsid w:val="00A14735"/>
    <w:rsid w:val="00A14883"/>
    <w:rsid w:val="00A1679B"/>
    <w:rsid w:val="00A171AC"/>
    <w:rsid w:val="00A22E7C"/>
    <w:rsid w:val="00A271FA"/>
    <w:rsid w:val="00A3146E"/>
    <w:rsid w:val="00A317AA"/>
    <w:rsid w:val="00A33631"/>
    <w:rsid w:val="00A404CC"/>
    <w:rsid w:val="00A40ED3"/>
    <w:rsid w:val="00A44511"/>
    <w:rsid w:val="00A547C6"/>
    <w:rsid w:val="00A54C8E"/>
    <w:rsid w:val="00A57A72"/>
    <w:rsid w:val="00A6207A"/>
    <w:rsid w:val="00A6443C"/>
    <w:rsid w:val="00A80022"/>
    <w:rsid w:val="00A801C1"/>
    <w:rsid w:val="00A81351"/>
    <w:rsid w:val="00A83EFE"/>
    <w:rsid w:val="00A85F05"/>
    <w:rsid w:val="00A922D3"/>
    <w:rsid w:val="00A97CB4"/>
    <w:rsid w:val="00AA355D"/>
    <w:rsid w:val="00AA3844"/>
    <w:rsid w:val="00AA5293"/>
    <w:rsid w:val="00AB2D9D"/>
    <w:rsid w:val="00AB6CBF"/>
    <w:rsid w:val="00AC4357"/>
    <w:rsid w:val="00AC6660"/>
    <w:rsid w:val="00AC7208"/>
    <w:rsid w:val="00AD6C3A"/>
    <w:rsid w:val="00AE0D2B"/>
    <w:rsid w:val="00AE6B0F"/>
    <w:rsid w:val="00AF4E37"/>
    <w:rsid w:val="00B02438"/>
    <w:rsid w:val="00B06280"/>
    <w:rsid w:val="00B06F87"/>
    <w:rsid w:val="00B11201"/>
    <w:rsid w:val="00B177D9"/>
    <w:rsid w:val="00B31FE8"/>
    <w:rsid w:val="00B32D0F"/>
    <w:rsid w:val="00B33864"/>
    <w:rsid w:val="00B36AE0"/>
    <w:rsid w:val="00B45FED"/>
    <w:rsid w:val="00B52467"/>
    <w:rsid w:val="00B53347"/>
    <w:rsid w:val="00B53F10"/>
    <w:rsid w:val="00B60F97"/>
    <w:rsid w:val="00B70AEA"/>
    <w:rsid w:val="00B75223"/>
    <w:rsid w:val="00B825AE"/>
    <w:rsid w:val="00B84990"/>
    <w:rsid w:val="00B91306"/>
    <w:rsid w:val="00B91DBA"/>
    <w:rsid w:val="00B93E7A"/>
    <w:rsid w:val="00BA0372"/>
    <w:rsid w:val="00BA0C63"/>
    <w:rsid w:val="00BB02F9"/>
    <w:rsid w:val="00BB5559"/>
    <w:rsid w:val="00BB77C7"/>
    <w:rsid w:val="00BC127A"/>
    <w:rsid w:val="00BC5D13"/>
    <w:rsid w:val="00BD235F"/>
    <w:rsid w:val="00BD4933"/>
    <w:rsid w:val="00BD6664"/>
    <w:rsid w:val="00BD74A9"/>
    <w:rsid w:val="00BE1B2A"/>
    <w:rsid w:val="00BE4729"/>
    <w:rsid w:val="00BE5017"/>
    <w:rsid w:val="00BE7395"/>
    <w:rsid w:val="00BF1AA6"/>
    <w:rsid w:val="00BF4A98"/>
    <w:rsid w:val="00BF5F0A"/>
    <w:rsid w:val="00C018EC"/>
    <w:rsid w:val="00C02FFB"/>
    <w:rsid w:val="00C0331F"/>
    <w:rsid w:val="00C10BD9"/>
    <w:rsid w:val="00C115C8"/>
    <w:rsid w:val="00C13C04"/>
    <w:rsid w:val="00C1652D"/>
    <w:rsid w:val="00C166D4"/>
    <w:rsid w:val="00C17AA2"/>
    <w:rsid w:val="00C32987"/>
    <w:rsid w:val="00C3495B"/>
    <w:rsid w:val="00C36534"/>
    <w:rsid w:val="00C47CD1"/>
    <w:rsid w:val="00C64273"/>
    <w:rsid w:val="00C70664"/>
    <w:rsid w:val="00C82444"/>
    <w:rsid w:val="00C849DF"/>
    <w:rsid w:val="00C84D66"/>
    <w:rsid w:val="00C85181"/>
    <w:rsid w:val="00C93AA7"/>
    <w:rsid w:val="00CA0D72"/>
    <w:rsid w:val="00CA2305"/>
    <w:rsid w:val="00CA47F1"/>
    <w:rsid w:val="00CB28F6"/>
    <w:rsid w:val="00CB6163"/>
    <w:rsid w:val="00CB7ED9"/>
    <w:rsid w:val="00CC036E"/>
    <w:rsid w:val="00CC070B"/>
    <w:rsid w:val="00CC1B21"/>
    <w:rsid w:val="00CD0FEC"/>
    <w:rsid w:val="00CD1BD0"/>
    <w:rsid w:val="00CD4C42"/>
    <w:rsid w:val="00CE4080"/>
    <w:rsid w:val="00CE5E17"/>
    <w:rsid w:val="00CE6885"/>
    <w:rsid w:val="00CF150C"/>
    <w:rsid w:val="00D12996"/>
    <w:rsid w:val="00D21ECF"/>
    <w:rsid w:val="00D21FEE"/>
    <w:rsid w:val="00D24154"/>
    <w:rsid w:val="00D24674"/>
    <w:rsid w:val="00D258C5"/>
    <w:rsid w:val="00D30157"/>
    <w:rsid w:val="00D406E9"/>
    <w:rsid w:val="00D45F59"/>
    <w:rsid w:val="00D530B9"/>
    <w:rsid w:val="00D60AC7"/>
    <w:rsid w:val="00D61000"/>
    <w:rsid w:val="00D71056"/>
    <w:rsid w:val="00D72B04"/>
    <w:rsid w:val="00D74702"/>
    <w:rsid w:val="00D77525"/>
    <w:rsid w:val="00D77917"/>
    <w:rsid w:val="00D808DE"/>
    <w:rsid w:val="00D811A0"/>
    <w:rsid w:val="00D84027"/>
    <w:rsid w:val="00D845DD"/>
    <w:rsid w:val="00D8483A"/>
    <w:rsid w:val="00D86EE3"/>
    <w:rsid w:val="00D93417"/>
    <w:rsid w:val="00D949D2"/>
    <w:rsid w:val="00DA2C07"/>
    <w:rsid w:val="00DA5556"/>
    <w:rsid w:val="00DA56DA"/>
    <w:rsid w:val="00DB2249"/>
    <w:rsid w:val="00DB2E96"/>
    <w:rsid w:val="00DB65A3"/>
    <w:rsid w:val="00DC0464"/>
    <w:rsid w:val="00DC0AA6"/>
    <w:rsid w:val="00DC3DDC"/>
    <w:rsid w:val="00DD1EC6"/>
    <w:rsid w:val="00DE0310"/>
    <w:rsid w:val="00DF12C0"/>
    <w:rsid w:val="00DF6E94"/>
    <w:rsid w:val="00DF7C06"/>
    <w:rsid w:val="00E04BD0"/>
    <w:rsid w:val="00E04FD7"/>
    <w:rsid w:val="00E14A1C"/>
    <w:rsid w:val="00E156A3"/>
    <w:rsid w:val="00E17BE2"/>
    <w:rsid w:val="00E26A51"/>
    <w:rsid w:val="00E313AA"/>
    <w:rsid w:val="00E35B2A"/>
    <w:rsid w:val="00E36A9C"/>
    <w:rsid w:val="00E44ED5"/>
    <w:rsid w:val="00E56743"/>
    <w:rsid w:val="00E607CF"/>
    <w:rsid w:val="00E6155E"/>
    <w:rsid w:val="00E639BB"/>
    <w:rsid w:val="00E64091"/>
    <w:rsid w:val="00E662BB"/>
    <w:rsid w:val="00E67D6D"/>
    <w:rsid w:val="00E73ABD"/>
    <w:rsid w:val="00E741C1"/>
    <w:rsid w:val="00E74756"/>
    <w:rsid w:val="00E75926"/>
    <w:rsid w:val="00E80183"/>
    <w:rsid w:val="00E84BDC"/>
    <w:rsid w:val="00E900D5"/>
    <w:rsid w:val="00E95DCA"/>
    <w:rsid w:val="00EA1A4C"/>
    <w:rsid w:val="00EA4DC0"/>
    <w:rsid w:val="00EA5279"/>
    <w:rsid w:val="00EA6E90"/>
    <w:rsid w:val="00EB05A1"/>
    <w:rsid w:val="00EB3249"/>
    <w:rsid w:val="00EB39E2"/>
    <w:rsid w:val="00EB52B2"/>
    <w:rsid w:val="00EB5866"/>
    <w:rsid w:val="00EB684F"/>
    <w:rsid w:val="00EC7691"/>
    <w:rsid w:val="00ED57A5"/>
    <w:rsid w:val="00ED66E2"/>
    <w:rsid w:val="00EE0499"/>
    <w:rsid w:val="00EE1EAA"/>
    <w:rsid w:val="00EE2D48"/>
    <w:rsid w:val="00EE7CF8"/>
    <w:rsid w:val="00EF2EBD"/>
    <w:rsid w:val="00EF4121"/>
    <w:rsid w:val="00EF4A23"/>
    <w:rsid w:val="00F0589F"/>
    <w:rsid w:val="00F07382"/>
    <w:rsid w:val="00F07F6E"/>
    <w:rsid w:val="00F114E8"/>
    <w:rsid w:val="00F11C33"/>
    <w:rsid w:val="00F130DA"/>
    <w:rsid w:val="00F13D60"/>
    <w:rsid w:val="00F1557C"/>
    <w:rsid w:val="00F178CA"/>
    <w:rsid w:val="00F17FAD"/>
    <w:rsid w:val="00F2142E"/>
    <w:rsid w:val="00F228BC"/>
    <w:rsid w:val="00F2447F"/>
    <w:rsid w:val="00F24804"/>
    <w:rsid w:val="00F3233B"/>
    <w:rsid w:val="00F379A8"/>
    <w:rsid w:val="00F41531"/>
    <w:rsid w:val="00F45B01"/>
    <w:rsid w:val="00F52B25"/>
    <w:rsid w:val="00F530C8"/>
    <w:rsid w:val="00F5655B"/>
    <w:rsid w:val="00F63AC8"/>
    <w:rsid w:val="00F65031"/>
    <w:rsid w:val="00F676D0"/>
    <w:rsid w:val="00F7128C"/>
    <w:rsid w:val="00F71414"/>
    <w:rsid w:val="00F72DAA"/>
    <w:rsid w:val="00F7663D"/>
    <w:rsid w:val="00F767FE"/>
    <w:rsid w:val="00F80058"/>
    <w:rsid w:val="00F80262"/>
    <w:rsid w:val="00F84131"/>
    <w:rsid w:val="00F924A7"/>
    <w:rsid w:val="00F927E0"/>
    <w:rsid w:val="00F93B60"/>
    <w:rsid w:val="00F94403"/>
    <w:rsid w:val="00FA2FF8"/>
    <w:rsid w:val="00FA3865"/>
    <w:rsid w:val="00FA69B3"/>
    <w:rsid w:val="00FA7EC8"/>
    <w:rsid w:val="00FB12AD"/>
    <w:rsid w:val="00FB536D"/>
    <w:rsid w:val="00FC06A0"/>
    <w:rsid w:val="00FC6DE3"/>
    <w:rsid w:val="00FD0170"/>
    <w:rsid w:val="00FD0972"/>
    <w:rsid w:val="00FD22CC"/>
    <w:rsid w:val="00FE6904"/>
    <w:rsid w:val="00FE769E"/>
    <w:rsid w:val="00FF1056"/>
    <w:rsid w:val="00FF1C41"/>
    <w:rsid w:val="00FF399A"/>
    <w:rsid w:val="00FF462E"/>
    <w:rsid w:val="00FF5CEB"/>
    <w:rsid w:val="00FF64D1"/>
    <w:rsid w:val="00FF77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7D71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endnote text" w:uiPriority="0"/>
    <w:lsdException w:name="List Bullet" w:uiPriority="36" w:qFormat="1"/>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AA6"/>
    <w:pPr>
      <w:spacing w:after="200" w:line="276" w:lineRule="auto"/>
    </w:pPr>
    <w:rPr>
      <w:sz w:val="22"/>
      <w:szCs w:val="22"/>
      <w:lang w:eastAsia="en-US"/>
    </w:rPr>
  </w:style>
  <w:style w:type="paragraph" w:styleId="Heading1">
    <w:name w:val="heading 1"/>
    <w:next w:val="BodyContent"/>
    <w:link w:val="Heading1Char"/>
    <w:qFormat/>
    <w:rsid w:val="00ED66E2"/>
    <w:pPr>
      <w:keepNext/>
      <w:numPr>
        <w:numId w:val="1"/>
      </w:numPr>
      <w:spacing w:before="480" w:after="180"/>
      <w:outlineLvl w:val="0"/>
    </w:pPr>
    <w:rPr>
      <w:rFonts w:ascii="Tahoma" w:eastAsia="Perpetua" w:hAnsi="Tahoma" w:cs="Tahoma"/>
      <w:spacing w:val="20"/>
      <w:sz w:val="28"/>
      <w:szCs w:val="32"/>
      <w:lang w:val="en-US" w:eastAsia="en-US"/>
    </w:rPr>
  </w:style>
  <w:style w:type="paragraph" w:styleId="Heading2">
    <w:name w:val="heading 2"/>
    <w:aliases w:val="2"/>
    <w:basedOn w:val="Normal"/>
    <w:next w:val="BodyContent"/>
    <w:link w:val="Heading2Char"/>
    <w:qFormat/>
    <w:rsid w:val="0019160A"/>
    <w:pPr>
      <w:numPr>
        <w:ilvl w:val="1"/>
        <w:numId w:val="1"/>
      </w:numPr>
      <w:spacing w:before="240" w:after="40" w:line="240" w:lineRule="auto"/>
      <w:outlineLvl w:val="1"/>
    </w:pPr>
    <w:rPr>
      <w:rFonts w:ascii="Franklin Gothic Book" w:eastAsia="Perpetua" w:hAnsi="Franklin Gothic Book"/>
      <w:spacing w:val="20"/>
      <w:sz w:val="26"/>
      <w:szCs w:val="26"/>
      <w:lang w:val="en-US"/>
    </w:rPr>
  </w:style>
  <w:style w:type="paragraph" w:styleId="Heading3">
    <w:name w:val="heading 3"/>
    <w:basedOn w:val="Heading2"/>
    <w:next w:val="Normal"/>
    <w:link w:val="Heading3Char"/>
    <w:unhideWhenUsed/>
    <w:qFormat/>
    <w:rsid w:val="0019160A"/>
    <w:pPr>
      <w:numPr>
        <w:ilvl w:val="2"/>
      </w:numPr>
      <w:outlineLvl w:val="2"/>
    </w:pPr>
  </w:style>
  <w:style w:type="paragraph" w:styleId="Heading4">
    <w:name w:val="heading 4"/>
    <w:basedOn w:val="Normal"/>
    <w:next w:val="Normal"/>
    <w:link w:val="Heading4Char"/>
    <w:qFormat/>
    <w:rsid w:val="007D6D5C"/>
    <w:pPr>
      <w:keepNext/>
      <w:tabs>
        <w:tab w:val="num" w:pos="864"/>
      </w:tabs>
      <w:spacing w:before="240" w:after="60" w:line="240" w:lineRule="auto"/>
      <w:ind w:left="864" w:hanging="864"/>
      <w:outlineLvl w:val="3"/>
    </w:pPr>
    <w:rPr>
      <w:rFonts w:ascii="Arial" w:eastAsia="Times New Roman" w:hAnsi="Arial"/>
      <w:b/>
      <w:bCs/>
      <w:szCs w:val="28"/>
      <w:u w:val="single"/>
    </w:rPr>
  </w:style>
  <w:style w:type="paragraph" w:styleId="Heading5">
    <w:name w:val="heading 5"/>
    <w:basedOn w:val="Normal"/>
    <w:next w:val="Normal"/>
    <w:link w:val="Heading5Char"/>
    <w:qFormat/>
    <w:rsid w:val="007D6D5C"/>
    <w:pPr>
      <w:tabs>
        <w:tab w:val="num" w:pos="1008"/>
      </w:tabs>
      <w:spacing w:before="240" w:after="60" w:line="240" w:lineRule="auto"/>
      <w:ind w:left="1008" w:hanging="1008"/>
      <w:outlineLvl w:val="4"/>
    </w:pPr>
    <w:rPr>
      <w:rFonts w:ascii="Arial" w:eastAsia="Times New Roman" w:hAnsi="Arial"/>
      <w:b/>
      <w:bCs/>
      <w:i/>
      <w:iCs/>
      <w:sz w:val="26"/>
      <w:szCs w:val="26"/>
    </w:rPr>
  </w:style>
  <w:style w:type="paragraph" w:styleId="Heading6">
    <w:name w:val="heading 6"/>
    <w:basedOn w:val="Normal"/>
    <w:next w:val="Normal"/>
    <w:link w:val="Heading6Char"/>
    <w:qFormat/>
    <w:rsid w:val="007D6D5C"/>
    <w:pPr>
      <w:tabs>
        <w:tab w:val="num" w:pos="1152"/>
      </w:tabs>
      <w:spacing w:before="240" w:after="60" w:line="240" w:lineRule="auto"/>
      <w:ind w:left="1152" w:hanging="1152"/>
      <w:outlineLvl w:val="5"/>
    </w:pPr>
    <w:rPr>
      <w:rFonts w:ascii="Arial" w:eastAsia="Times New Roman" w:hAnsi="Arial"/>
      <w:b/>
      <w:bCs/>
    </w:rPr>
  </w:style>
  <w:style w:type="paragraph" w:styleId="Heading7">
    <w:name w:val="heading 7"/>
    <w:basedOn w:val="Normal"/>
    <w:next w:val="Normal"/>
    <w:link w:val="Heading7Char"/>
    <w:qFormat/>
    <w:rsid w:val="007D6D5C"/>
    <w:pPr>
      <w:tabs>
        <w:tab w:val="num" w:pos="1296"/>
      </w:tabs>
      <w:spacing w:before="240" w:after="60" w:line="240" w:lineRule="auto"/>
      <w:ind w:left="1296" w:hanging="1296"/>
      <w:outlineLvl w:val="6"/>
    </w:pPr>
    <w:rPr>
      <w:rFonts w:ascii="Arial" w:eastAsia="Times New Roman" w:hAnsi="Arial"/>
      <w:szCs w:val="24"/>
    </w:rPr>
  </w:style>
  <w:style w:type="paragraph" w:styleId="Heading8">
    <w:name w:val="heading 8"/>
    <w:basedOn w:val="Normal"/>
    <w:next w:val="Normal"/>
    <w:link w:val="Heading8Char"/>
    <w:qFormat/>
    <w:rsid w:val="007D6D5C"/>
    <w:pPr>
      <w:tabs>
        <w:tab w:val="num" w:pos="1440"/>
      </w:tabs>
      <w:spacing w:before="240" w:after="60" w:line="240" w:lineRule="auto"/>
      <w:ind w:left="1440" w:hanging="1440"/>
      <w:outlineLvl w:val="7"/>
    </w:pPr>
    <w:rPr>
      <w:rFonts w:ascii="Arial" w:eastAsia="Times New Roman" w:hAnsi="Arial"/>
      <w:i/>
      <w:iCs/>
      <w:szCs w:val="24"/>
    </w:rPr>
  </w:style>
  <w:style w:type="paragraph" w:styleId="Heading9">
    <w:name w:val="heading 9"/>
    <w:basedOn w:val="Normal"/>
    <w:next w:val="Normal"/>
    <w:link w:val="Heading9Char"/>
    <w:qFormat/>
    <w:rsid w:val="007D6D5C"/>
    <w:pPr>
      <w:tabs>
        <w:tab w:val="num" w:pos="1584"/>
      </w:tabs>
      <w:spacing w:before="240" w:after="60" w:line="240" w:lineRule="auto"/>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16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60A"/>
    <w:rPr>
      <w:rFonts w:ascii="Tahoma" w:hAnsi="Tahoma" w:cs="Tahoma"/>
      <w:sz w:val="16"/>
      <w:szCs w:val="16"/>
    </w:rPr>
  </w:style>
  <w:style w:type="paragraph" w:styleId="NoSpacing">
    <w:name w:val="No Spacing"/>
    <w:link w:val="NoSpacingChar"/>
    <w:uiPriority w:val="1"/>
    <w:qFormat/>
    <w:rsid w:val="0019160A"/>
    <w:rPr>
      <w:rFonts w:eastAsia="Times New Roman"/>
      <w:sz w:val="22"/>
      <w:szCs w:val="22"/>
      <w:lang w:val="en-US" w:eastAsia="en-US"/>
    </w:rPr>
  </w:style>
  <w:style w:type="character" w:customStyle="1" w:styleId="NoSpacingChar">
    <w:name w:val="No Spacing Char"/>
    <w:basedOn w:val="DefaultParagraphFont"/>
    <w:link w:val="NoSpacing"/>
    <w:uiPriority w:val="1"/>
    <w:rsid w:val="0019160A"/>
    <w:rPr>
      <w:rFonts w:eastAsia="Times New Roman"/>
      <w:sz w:val="22"/>
      <w:szCs w:val="22"/>
      <w:lang w:val="en-US" w:eastAsia="en-US" w:bidi="ar-SA"/>
    </w:rPr>
  </w:style>
  <w:style w:type="paragraph" w:styleId="Header">
    <w:name w:val="header"/>
    <w:basedOn w:val="Normal"/>
    <w:link w:val="HeaderChar"/>
    <w:uiPriority w:val="99"/>
    <w:unhideWhenUsed/>
    <w:rsid w:val="001916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160A"/>
  </w:style>
  <w:style w:type="paragraph" w:styleId="Footer">
    <w:name w:val="footer"/>
    <w:basedOn w:val="Normal"/>
    <w:link w:val="FooterChar"/>
    <w:unhideWhenUsed/>
    <w:rsid w:val="0019160A"/>
    <w:pPr>
      <w:tabs>
        <w:tab w:val="center" w:pos="4513"/>
        <w:tab w:val="right" w:pos="9026"/>
      </w:tabs>
      <w:spacing w:after="0" w:line="240" w:lineRule="auto"/>
    </w:pPr>
  </w:style>
  <w:style w:type="character" w:customStyle="1" w:styleId="FooterChar">
    <w:name w:val="Footer Char"/>
    <w:basedOn w:val="DefaultParagraphFont"/>
    <w:link w:val="Footer"/>
    <w:rsid w:val="0019160A"/>
  </w:style>
  <w:style w:type="character" w:customStyle="1" w:styleId="Heading1Char">
    <w:name w:val="Heading 1 Char"/>
    <w:basedOn w:val="DefaultParagraphFont"/>
    <w:link w:val="Heading1"/>
    <w:rsid w:val="00ED66E2"/>
    <w:rPr>
      <w:rFonts w:ascii="Tahoma" w:eastAsia="Perpetua" w:hAnsi="Tahoma" w:cs="Tahoma"/>
      <w:spacing w:val="20"/>
      <w:sz w:val="28"/>
      <w:szCs w:val="32"/>
      <w:lang w:val="en-US" w:eastAsia="en-US"/>
    </w:rPr>
  </w:style>
  <w:style w:type="character" w:customStyle="1" w:styleId="Heading2Char">
    <w:name w:val="Heading 2 Char"/>
    <w:aliases w:val="2 Char"/>
    <w:basedOn w:val="DefaultParagraphFont"/>
    <w:link w:val="Heading2"/>
    <w:rsid w:val="0019160A"/>
    <w:rPr>
      <w:rFonts w:ascii="Franklin Gothic Book" w:eastAsia="Perpetua" w:hAnsi="Franklin Gothic Book"/>
      <w:spacing w:val="20"/>
      <w:sz w:val="26"/>
      <w:szCs w:val="26"/>
      <w:lang w:val="en-US" w:eastAsia="en-US"/>
    </w:rPr>
  </w:style>
  <w:style w:type="character" w:customStyle="1" w:styleId="Heading3Char">
    <w:name w:val="Heading 3 Char"/>
    <w:basedOn w:val="DefaultParagraphFont"/>
    <w:link w:val="Heading3"/>
    <w:rsid w:val="0019160A"/>
    <w:rPr>
      <w:rFonts w:ascii="Franklin Gothic Book" w:eastAsia="Perpetua" w:hAnsi="Franklin Gothic Book"/>
      <w:spacing w:val="20"/>
      <w:sz w:val="26"/>
      <w:szCs w:val="26"/>
      <w:lang w:val="en-US" w:eastAsia="en-US"/>
    </w:rPr>
  </w:style>
  <w:style w:type="paragraph" w:styleId="Title">
    <w:name w:val="Title"/>
    <w:basedOn w:val="Normal"/>
    <w:link w:val="TitleChar"/>
    <w:uiPriority w:val="10"/>
    <w:qFormat/>
    <w:rsid w:val="0019160A"/>
    <w:pPr>
      <w:pBdr>
        <w:bottom w:val="thickThinLargeGap" w:sz="24" w:space="4" w:color="auto"/>
      </w:pBdr>
      <w:spacing w:after="160" w:line="240" w:lineRule="auto"/>
      <w:contextualSpacing/>
      <w:jc w:val="center"/>
    </w:pPr>
    <w:rPr>
      <w:rFonts w:ascii="Franklin Gothic Book" w:eastAsia="Perpetua" w:hAnsi="Franklin Gothic Book"/>
      <w:b/>
      <w:color w:val="000000"/>
      <w:sz w:val="48"/>
      <w:szCs w:val="48"/>
    </w:rPr>
  </w:style>
  <w:style w:type="character" w:customStyle="1" w:styleId="TitleChar">
    <w:name w:val="Title Char"/>
    <w:basedOn w:val="DefaultParagraphFont"/>
    <w:link w:val="Title"/>
    <w:uiPriority w:val="10"/>
    <w:rsid w:val="0019160A"/>
    <w:rPr>
      <w:rFonts w:ascii="Franklin Gothic Book" w:eastAsia="Perpetua" w:hAnsi="Franklin Gothic Book" w:cs="Times New Roman"/>
      <w:b/>
      <w:color w:val="000000"/>
      <w:sz w:val="48"/>
      <w:szCs w:val="48"/>
    </w:rPr>
  </w:style>
  <w:style w:type="paragraph" w:customStyle="1" w:styleId="BodyContent">
    <w:name w:val="Body Content"/>
    <w:basedOn w:val="Normal"/>
    <w:qFormat/>
    <w:rsid w:val="0019160A"/>
    <w:pPr>
      <w:spacing w:after="160"/>
    </w:pPr>
    <w:rPr>
      <w:rFonts w:ascii="Perpetua" w:eastAsia="Perpetua" w:hAnsi="Perpetua"/>
      <w:color w:val="000000"/>
      <w:sz w:val="24"/>
      <w:szCs w:val="24"/>
      <w:lang w:val="en-US"/>
    </w:rPr>
  </w:style>
  <w:style w:type="character" w:styleId="PageNumber">
    <w:name w:val="page number"/>
    <w:basedOn w:val="DefaultParagraphFont"/>
    <w:rsid w:val="00B84990"/>
  </w:style>
  <w:style w:type="paragraph" w:styleId="FootnoteText">
    <w:name w:val="footnote text"/>
    <w:basedOn w:val="Normal"/>
    <w:link w:val="FootnoteTextChar"/>
    <w:unhideWhenUsed/>
    <w:rsid w:val="00FD0972"/>
    <w:pPr>
      <w:spacing w:after="0" w:line="240" w:lineRule="auto"/>
    </w:pPr>
    <w:rPr>
      <w:sz w:val="20"/>
      <w:szCs w:val="20"/>
    </w:rPr>
  </w:style>
  <w:style w:type="character" w:customStyle="1" w:styleId="FootnoteTextChar">
    <w:name w:val="Footnote Text Char"/>
    <w:basedOn w:val="DefaultParagraphFont"/>
    <w:link w:val="FootnoteText"/>
    <w:uiPriority w:val="99"/>
    <w:rsid w:val="00FD0972"/>
    <w:rPr>
      <w:sz w:val="20"/>
      <w:szCs w:val="20"/>
    </w:rPr>
  </w:style>
  <w:style w:type="paragraph" w:styleId="ListBullet">
    <w:name w:val="List Bullet"/>
    <w:basedOn w:val="Normal"/>
    <w:uiPriority w:val="36"/>
    <w:unhideWhenUsed/>
    <w:qFormat/>
    <w:rsid w:val="00FD0972"/>
    <w:pPr>
      <w:numPr>
        <w:numId w:val="2"/>
      </w:numPr>
      <w:spacing w:after="0"/>
      <w:contextualSpacing/>
    </w:pPr>
    <w:rPr>
      <w:rFonts w:ascii="Perpetua" w:eastAsia="Perpetua" w:hAnsi="Perpetua"/>
      <w:color w:val="000000"/>
      <w:szCs w:val="20"/>
      <w:lang w:val="en-US"/>
    </w:rPr>
  </w:style>
  <w:style w:type="character" w:styleId="FootnoteReference">
    <w:name w:val="footnote reference"/>
    <w:basedOn w:val="DefaultParagraphFont"/>
    <w:rsid w:val="00FD0972"/>
    <w:rPr>
      <w:vertAlign w:val="superscript"/>
    </w:rPr>
  </w:style>
  <w:style w:type="paragraph" w:customStyle="1" w:styleId="GuidanceText">
    <w:name w:val="Guidance Text"/>
    <w:basedOn w:val="Normal"/>
    <w:qFormat/>
    <w:rsid w:val="00FD0972"/>
    <w:rPr>
      <w:i/>
      <w:color w:val="FF0000"/>
    </w:rPr>
  </w:style>
  <w:style w:type="paragraph" w:customStyle="1" w:styleId="AppendixHeading1">
    <w:name w:val="Appendix Heading 1"/>
    <w:basedOn w:val="Heading1"/>
    <w:next w:val="Normal"/>
    <w:link w:val="AppendixHeading1CharChar"/>
    <w:rsid w:val="0055738F"/>
    <w:pPr>
      <w:numPr>
        <w:numId w:val="3"/>
      </w:numPr>
      <w:suppressAutoHyphens/>
      <w:spacing w:before="0" w:after="240"/>
    </w:pPr>
    <w:rPr>
      <w:rFonts w:ascii="Trebuchet MS" w:eastAsia="Times New Roman" w:hAnsi="Trebuchet MS" w:cs="Arial"/>
      <w:bCs/>
      <w:color w:val="004179"/>
      <w:spacing w:val="0"/>
      <w:kern w:val="28"/>
      <w:szCs w:val="28"/>
      <w:lang w:val="en-GB" w:eastAsia="ar-SA"/>
    </w:rPr>
  </w:style>
  <w:style w:type="character" w:customStyle="1" w:styleId="AppendixHeading1CharChar">
    <w:name w:val="Appendix Heading 1 Char Char"/>
    <w:basedOn w:val="Heading1Char"/>
    <w:link w:val="AppendixHeading1"/>
    <w:rsid w:val="0055738F"/>
    <w:rPr>
      <w:rFonts w:ascii="Trebuchet MS" w:eastAsia="Times New Roman" w:hAnsi="Trebuchet MS" w:cs="Arial"/>
      <w:bCs/>
      <w:color w:val="004179"/>
      <w:spacing w:val="20"/>
      <w:kern w:val="28"/>
      <w:sz w:val="28"/>
      <w:szCs w:val="28"/>
      <w:lang w:val="en-US" w:eastAsia="ar-SA"/>
    </w:rPr>
  </w:style>
  <w:style w:type="paragraph" w:styleId="EndnoteText">
    <w:name w:val="endnote text"/>
    <w:basedOn w:val="Normal"/>
    <w:link w:val="EndnoteTextChar"/>
    <w:unhideWhenUsed/>
    <w:rsid w:val="00EB39E2"/>
    <w:pPr>
      <w:spacing w:after="0" w:line="240" w:lineRule="auto"/>
    </w:pPr>
    <w:rPr>
      <w:sz w:val="20"/>
      <w:szCs w:val="20"/>
    </w:rPr>
  </w:style>
  <w:style w:type="character" w:customStyle="1" w:styleId="EndnoteTextChar">
    <w:name w:val="Endnote Text Char"/>
    <w:basedOn w:val="DefaultParagraphFont"/>
    <w:link w:val="EndnoteText"/>
    <w:rsid w:val="00EB39E2"/>
    <w:rPr>
      <w:sz w:val="20"/>
      <w:szCs w:val="20"/>
    </w:rPr>
  </w:style>
  <w:style w:type="character" w:styleId="EndnoteReference">
    <w:name w:val="endnote reference"/>
    <w:basedOn w:val="DefaultParagraphFont"/>
    <w:uiPriority w:val="99"/>
    <w:semiHidden/>
    <w:unhideWhenUsed/>
    <w:rsid w:val="00EB39E2"/>
    <w:rPr>
      <w:vertAlign w:val="superscript"/>
    </w:rPr>
  </w:style>
  <w:style w:type="paragraph" w:styleId="Caption">
    <w:name w:val="caption"/>
    <w:basedOn w:val="Normal"/>
    <w:next w:val="Normal"/>
    <w:unhideWhenUsed/>
    <w:qFormat/>
    <w:rsid w:val="00EB39E2"/>
    <w:pPr>
      <w:spacing w:after="120" w:line="240" w:lineRule="auto"/>
    </w:pPr>
    <w:rPr>
      <w:rFonts w:ascii="Trebuchet MS" w:eastAsia="Times New Roman" w:hAnsi="Trebuchet MS"/>
      <w:b/>
      <w:bCs/>
      <w:sz w:val="20"/>
      <w:szCs w:val="20"/>
    </w:rPr>
  </w:style>
  <w:style w:type="paragraph" w:customStyle="1" w:styleId="Indentedbodytext">
    <w:name w:val="Indented body text"/>
    <w:basedOn w:val="Normal"/>
    <w:rsid w:val="00A03A0F"/>
    <w:pPr>
      <w:overflowPunct w:val="0"/>
      <w:autoSpaceDE w:val="0"/>
      <w:autoSpaceDN w:val="0"/>
      <w:adjustRightInd w:val="0"/>
      <w:spacing w:after="240" w:line="240" w:lineRule="auto"/>
      <w:ind w:left="1134"/>
      <w:jc w:val="both"/>
      <w:textAlignment w:val="baseline"/>
    </w:pPr>
    <w:rPr>
      <w:rFonts w:ascii="Arial" w:eastAsia="Times New Roman" w:hAnsi="Arial"/>
      <w:sz w:val="24"/>
      <w:szCs w:val="24"/>
    </w:rPr>
  </w:style>
  <w:style w:type="table" w:styleId="TableGrid">
    <w:name w:val="Table Grid"/>
    <w:basedOn w:val="TableNormal"/>
    <w:uiPriority w:val="59"/>
    <w:rsid w:val="00C13C0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Text">
    <w:name w:val="Table Text"/>
    <w:basedOn w:val="Normal"/>
    <w:rsid w:val="00C13C04"/>
    <w:pPr>
      <w:spacing w:before="60" w:after="60" w:line="240" w:lineRule="auto"/>
    </w:pPr>
    <w:rPr>
      <w:rFonts w:ascii="Times New Roman" w:eastAsia="Times New Roman" w:hAnsi="Times New Roman"/>
      <w:sz w:val="20"/>
      <w:szCs w:val="24"/>
    </w:rPr>
  </w:style>
  <w:style w:type="paragraph" w:customStyle="1" w:styleId="TableHeaderRow">
    <w:name w:val="Table Header Row"/>
    <w:basedOn w:val="Normal"/>
    <w:next w:val="Normal"/>
    <w:rsid w:val="00C13C04"/>
    <w:pPr>
      <w:spacing w:before="40" w:after="40" w:line="240" w:lineRule="auto"/>
    </w:pPr>
    <w:rPr>
      <w:rFonts w:ascii="Arial" w:eastAsia="Times New Roman" w:hAnsi="Arial"/>
      <w:b/>
      <w:color w:val="FFFFFF"/>
      <w:szCs w:val="24"/>
    </w:rPr>
  </w:style>
  <w:style w:type="paragraph" w:styleId="ListParagraph">
    <w:name w:val="List Paragraph"/>
    <w:basedOn w:val="Normal"/>
    <w:uiPriority w:val="34"/>
    <w:qFormat/>
    <w:rsid w:val="00A57A72"/>
    <w:pPr>
      <w:ind w:left="720"/>
      <w:contextualSpacing/>
    </w:pPr>
  </w:style>
  <w:style w:type="paragraph" w:styleId="ListBullet3">
    <w:name w:val="List Bullet 3"/>
    <w:basedOn w:val="Normal"/>
    <w:rsid w:val="00CB28F6"/>
    <w:pPr>
      <w:numPr>
        <w:numId w:val="4"/>
      </w:numPr>
      <w:tabs>
        <w:tab w:val="clear" w:pos="1494"/>
        <w:tab w:val="num" w:pos="936"/>
      </w:tabs>
      <w:spacing w:before="120" w:after="0" w:line="240" w:lineRule="auto"/>
      <w:ind w:left="936"/>
    </w:pPr>
    <w:rPr>
      <w:rFonts w:ascii="Arial" w:eastAsia="Times New Roman" w:hAnsi="Arial"/>
      <w:szCs w:val="24"/>
    </w:rPr>
  </w:style>
  <w:style w:type="character" w:customStyle="1" w:styleId="Heading4Char">
    <w:name w:val="Heading 4 Char"/>
    <w:basedOn w:val="DefaultParagraphFont"/>
    <w:link w:val="Heading4"/>
    <w:rsid w:val="007D6D5C"/>
    <w:rPr>
      <w:rFonts w:ascii="Arial" w:eastAsia="Times New Roman" w:hAnsi="Arial"/>
      <w:b/>
      <w:bCs/>
      <w:sz w:val="22"/>
      <w:szCs w:val="28"/>
      <w:u w:val="single"/>
      <w:lang w:eastAsia="en-US"/>
    </w:rPr>
  </w:style>
  <w:style w:type="character" w:customStyle="1" w:styleId="Heading5Char">
    <w:name w:val="Heading 5 Char"/>
    <w:basedOn w:val="DefaultParagraphFont"/>
    <w:link w:val="Heading5"/>
    <w:rsid w:val="007D6D5C"/>
    <w:rPr>
      <w:rFonts w:ascii="Arial" w:eastAsia="Times New Roman" w:hAnsi="Arial"/>
      <w:b/>
      <w:bCs/>
      <w:i/>
      <w:iCs/>
      <w:sz w:val="26"/>
      <w:szCs w:val="26"/>
      <w:lang w:eastAsia="en-US"/>
    </w:rPr>
  </w:style>
  <w:style w:type="character" w:customStyle="1" w:styleId="Heading6Char">
    <w:name w:val="Heading 6 Char"/>
    <w:basedOn w:val="DefaultParagraphFont"/>
    <w:link w:val="Heading6"/>
    <w:rsid w:val="007D6D5C"/>
    <w:rPr>
      <w:rFonts w:ascii="Arial" w:eastAsia="Times New Roman" w:hAnsi="Arial"/>
      <w:b/>
      <w:bCs/>
      <w:sz w:val="22"/>
      <w:szCs w:val="22"/>
      <w:lang w:eastAsia="en-US"/>
    </w:rPr>
  </w:style>
  <w:style w:type="character" w:customStyle="1" w:styleId="Heading7Char">
    <w:name w:val="Heading 7 Char"/>
    <w:basedOn w:val="DefaultParagraphFont"/>
    <w:link w:val="Heading7"/>
    <w:rsid w:val="007D6D5C"/>
    <w:rPr>
      <w:rFonts w:ascii="Arial" w:eastAsia="Times New Roman" w:hAnsi="Arial"/>
      <w:sz w:val="22"/>
      <w:szCs w:val="24"/>
      <w:lang w:eastAsia="en-US"/>
    </w:rPr>
  </w:style>
  <w:style w:type="character" w:customStyle="1" w:styleId="Heading8Char">
    <w:name w:val="Heading 8 Char"/>
    <w:basedOn w:val="DefaultParagraphFont"/>
    <w:link w:val="Heading8"/>
    <w:rsid w:val="007D6D5C"/>
    <w:rPr>
      <w:rFonts w:ascii="Arial" w:eastAsia="Times New Roman" w:hAnsi="Arial"/>
      <w:i/>
      <w:iCs/>
      <w:sz w:val="22"/>
      <w:szCs w:val="24"/>
      <w:lang w:eastAsia="en-US"/>
    </w:rPr>
  </w:style>
  <w:style w:type="character" w:customStyle="1" w:styleId="Heading9Char">
    <w:name w:val="Heading 9 Char"/>
    <w:basedOn w:val="DefaultParagraphFont"/>
    <w:link w:val="Heading9"/>
    <w:rsid w:val="007D6D5C"/>
    <w:rPr>
      <w:rFonts w:ascii="Arial" w:eastAsia="Times New Roman" w:hAnsi="Arial" w:cs="Arial"/>
      <w:sz w:val="22"/>
      <w:szCs w:val="22"/>
      <w:lang w:eastAsia="en-US"/>
    </w:rPr>
  </w:style>
  <w:style w:type="paragraph" w:styleId="NormalWeb">
    <w:name w:val="Normal (Web)"/>
    <w:basedOn w:val="Normal"/>
    <w:uiPriority w:val="99"/>
    <w:semiHidden/>
    <w:unhideWhenUsed/>
    <w:rsid w:val="00A3146E"/>
    <w:pPr>
      <w:spacing w:before="100" w:beforeAutospacing="1" w:after="100" w:afterAutospacing="1" w:line="240" w:lineRule="auto"/>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C849DF"/>
    <w:rPr>
      <w:sz w:val="18"/>
      <w:szCs w:val="18"/>
    </w:rPr>
  </w:style>
  <w:style w:type="paragraph" w:styleId="CommentText">
    <w:name w:val="annotation text"/>
    <w:basedOn w:val="Normal"/>
    <w:link w:val="CommentTextChar"/>
    <w:uiPriority w:val="99"/>
    <w:semiHidden/>
    <w:unhideWhenUsed/>
    <w:rsid w:val="00C849DF"/>
    <w:pPr>
      <w:spacing w:line="240" w:lineRule="auto"/>
    </w:pPr>
    <w:rPr>
      <w:sz w:val="24"/>
      <w:szCs w:val="24"/>
    </w:rPr>
  </w:style>
  <w:style w:type="character" w:customStyle="1" w:styleId="CommentTextChar">
    <w:name w:val="Comment Text Char"/>
    <w:basedOn w:val="DefaultParagraphFont"/>
    <w:link w:val="CommentText"/>
    <w:uiPriority w:val="99"/>
    <w:semiHidden/>
    <w:rsid w:val="00C849DF"/>
    <w:rPr>
      <w:sz w:val="24"/>
      <w:szCs w:val="24"/>
      <w:lang w:eastAsia="en-US"/>
    </w:rPr>
  </w:style>
  <w:style w:type="paragraph" w:styleId="CommentSubject">
    <w:name w:val="annotation subject"/>
    <w:basedOn w:val="CommentText"/>
    <w:next w:val="CommentText"/>
    <w:link w:val="CommentSubjectChar"/>
    <w:uiPriority w:val="99"/>
    <w:semiHidden/>
    <w:unhideWhenUsed/>
    <w:rsid w:val="00C849DF"/>
    <w:rPr>
      <w:b/>
      <w:bCs/>
      <w:sz w:val="20"/>
      <w:szCs w:val="20"/>
    </w:rPr>
  </w:style>
  <w:style w:type="character" w:customStyle="1" w:styleId="CommentSubjectChar">
    <w:name w:val="Comment Subject Char"/>
    <w:basedOn w:val="CommentTextChar"/>
    <w:link w:val="CommentSubject"/>
    <w:uiPriority w:val="99"/>
    <w:semiHidden/>
    <w:rsid w:val="00C849DF"/>
    <w:rPr>
      <w:b/>
      <w:bCs/>
      <w:sz w:val="24"/>
      <w:szCs w:val="24"/>
      <w:lang w:eastAsia="en-US"/>
    </w:rPr>
  </w:style>
  <w:style w:type="table" w:customStyle="1" w:styleId="GridTable1Light-Accent21">
    <w:name w:val="Grid Table 1 Light - Accent 21"/>
    <w:basedOn w:val="TableNormal"/>
    <w:uiPriority w:val="46"/>
    <w:rsid w:val="00A143A5"/>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A143A5"/>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7Colorful1">
    <w:name w:val="Grid Table 7 Colorful1"/>
    <w:basedOn w:val="TableNormal"/>
    <w:uiPriority w:val="52"/>
    <w:rsid w:val="00A143A5"/>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5Dark1">
    <w:name w:val="Grid Table 5 Dark1"/>
    <w:basedOn w:val="TableNormal"/>
    <w:uiPriority w:val="50"/>
    <w:rsid w:val="00A143A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Hyperlink">
    <w:name w:val="Hyperlink"/>
    <w:basedOn w:val="DefaultParagraphFont"/>
    <w:uiPriority w:val="99"/>
    <w:unhideWhenUsed/>
    <w:rsid w:val="00FF399A"/>
    <w:rPr>
      <w:color w:val="0000FF" w:themeColor="hyperlink"/>
      <w:u w:val="single"/>
    </w:rPr>
  </w:style>
  <w:style w:type="character" w:styleId="Strong">
    <w:name w:val="Strong"/>
    <w:basedOn w:val="DefaultParagraphFont"/>
    <w:uiPriority w:val="22"/>
    <w:qFormat/>
    <w:rsid w:val="00042EB1"/>
    <w:rPr>
      <w:b/>
      <w:bCs/>
    </w:rPr>
  </w:style>
  <w:style w:type="paragraph" w:styleId="TOC1">
    <w:name w:val="toc 1"/>
    <w:basedOn w:val="Normal"/>
    <w:next w:val="Normal"/>
    <w:autoRedefine/>
    <w:uiPriority w:val="39"/>
    <w:unhideWhenUsed/>
    <w:rsid w:val="008A219D"/>
  </w:style>
  <w:style w:type="paragraph" w:styleId="TOC2">
    <w:name w:val="toc 2"/>
    <w:basedOn w:val="Normal"/>
    <w:next w:val="Normal"/>
    <w:autoRedefine/>
    <w:uiPriority w:val="39"/>
    <w:unhideWhenUsed/>
    <w:rsid w:val="008A219D"/>
    <w:pPr>
      <w:ind w:left="220"/>
    </w:pPr>
  </w:style>
  <w:style w:type="paragraph" w:styleId="TOC3">
    <w:name w:val="toc 3"/>
    <w:basedOn w:val="Normal"/>
    <w:next w:val="Normal"/>
    <w:autoRedefine/>
    <w:uiPriority w:val="39"/>
    <w:unhideWhenUsed/>
    <w:rsid w:val="008A219D"/>
    <w:pPr>
      <w:ind w:left="440"/>
    </w:pPr>
  </w:style>
  <w:style w:type="paragraph" w:styleId="TOC4">
    <w:name w:val="toc 4"/>
    <w:basedOn w:val="Normal"/>
    <w:next w:val="Normal"/>
    <w:autoRedefine/>
    <w:uiPriority w:val="39"/>
    <w:unhideWhenUsed/>
    <w:rsid w:val="008A219D"/>
    <w:pPr>
      <w:ind w:left="660"/>
    </w:pPr>
  </w:style>
  <w:style w:type="paragraph" w:styleId="TOC5">
    <w:name w:val="toc 5"/>
    <w:basedOn w:val="Normal"/>
    <w:next w:val="Normal"/>
    <w:autoRedefine/>
    <w:uiPriority w:val="39"/>
    <w:unhideWhenUsed/>
    <w:rsid w:val="008A219D"/>
    <w:pPr>
      <w:ind w:left="880"/>
    </w:pPr>
  </w:style>
  <w:style w:type="paragraph" w:styleId="TOC6">
    <w:name w:val="toc 6"/>
    <w:basedOn w:val="Normal"/>
    <w:next w:val="Normal"/>
    <w:autoRedefine/>
    <w:uiPriority w:val="39"/>
    <w:unhideWhenUsed/>
    <w:rsid w:val="008A219D"/>
    <w:pPr>
      <w:ind w:left="1100"/>
    </w:pPr>
  </w:style>
  <w:style w:type="paragraph" w:styleId="TOC7">
    <w:name w:val="toc 7"/>
    <w:basedOn w:val="Normal"/>
    <w:next w:val="Normal"/>
    <w:autoRedefine/>
    <w:uiPriority w:val="39"/>
    <w:unhideWhenUsed/>
    <w:rsid w:val="008A219D"/>
    <w:pPr>
      <w:ind w:left="1320"/>
    </w:pPr>
  </w:style>
  <w:style w:type="paragraph" w:styleId="TOC8">
    <w:name w:val="toc 8"/>
    <w:basedOn w:val="Normal"/>
    <w:next w:val="Normal"/>
    <w:autoRedefine/>
    <w:uiPriority w:val="39"/>
    <w:unhideWhenUsed/>
    <w:rsid w:val="008A219D"/>
    <w:pPr>
      <w:ind w:left="1540"/>
    </w:pPr>
  </w:style>
  <w:style w:type="paragraph" w:styleId="TOC9">
    <w:name w:val="toc 9"/>
    <w:basedOn w:val="Normal"/>
    <w:next w:val="Normal"/>
    <w:autoRedefine/>
    <w:uiPriority w:val="39"/>
    <w:unhideWhenUsed/>
    <w:rsid w:val="008A219D"/>
    <w:pPr>
      <w:ind w:left="176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endnote text" w:uiPriority="0"/>
    <w:lsdException w:name="List Bullet" w:uiPriority="36" w:qFormat="1"/>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AA6"/>
    <w:pPr>
      <w:spacing w:after="200" w:line="276" w:lineRule="auto"/>
    </w:pPr>
    <w:rPr>
      <w:sz w:val="22"/>
      <w:szCs w:val="22"/>
      <w:lang w:eastAsia="en-US"/>
    </w:rPr>
  </w:style>
  <w:style w:type="paragraph" w:styleId="Heading1">
    <w:name w:val="heading 1"/>
    <w:next w:val="BodyContent"/>
    <w:link w:val="Heading1Char"/>
    <w:qFormat/>
    <w:rsid w:val="00ED66E2"/>
    <w:pPr>
      <w:keepNext/>
      <w:numPr>
        <w:numId w:val="1"/>
      </w:numPr>
      <w:spacing w:before="480" w:after="180"/>
      <w:outlineLvl w:val="0"/>
    </w:pPr>
    <w:rPr>
      <w:rFonts w:ascii="Tahoma" w:eastAsia="Perpetua" w:hAnsi="Tahoma" w:cs="Tahoma"/>
      <w:spacing w:val="20"/>
      <w:sz w:val="28"/>
      <w:szCs w:val="32"/>
      <w:lang w:val="en-US" w:eastAsia="en-US"/>
    </w:rPr>
  </w:style>
  <w:style w:type="paragraph" w:styleId="Heading2">
    <w:name w:val="heading 2"/>
    <w:aliases w:val="2"/>
    <w:basedOn w:val="Normal"/>
    <w:next w:val="BodyContent"/>
    <w:link w:val="Heading2Char"/>
    <w:qFormat/>
    <w:rsid w:val="0019160A"/>
    <w:pPr>
      <w:numPr>
        <w:ilvl w:val="1"/>
        <w:numId w:val="1"/>
      </w:numPr>
      <w:spacing w:before="240" w:after="40" w:line="240" w:lineRule="auto"/>
      <w:outlineLvl w:val="1"/>
    </w:pPr>
    <w:rPr>
      <w:rFonts w:ascii="Franklin Gothic Book" w:eastAsia="Perpetua" w:hAnsi="Franklin Gothic Book"/>
      <w:spacing w:val="20"/>
      <w:sz w:val="26"/>
      <w:szCs w:val="26"/>
      <w:lang w:val="en-US"/>
    </w:rPr>
  </w:style>
  <w:style w:type="paragraph" w:styleId="Heading3">
    <w:name w:val="heading 3"/>
    <w:basedOn w:val="Heading2"/>
    <w:next w:val="Normal"/>
    <w:link w:val="Heading3Char"/>
    <w:unhideWhenUsed/>
    <w:qFormat/>
    <w:rsid w:val="0019160A"/>
    <w:pPr>
      <w:numPr>
        <w:ilvl w:val="2"/>
      </w:numPr>
      <w:outlineLvl w:val="2"/>
    </w:pPr>
  </w:style>
  <w:style w:type="paragraph" w:styleId="Heading4">
    <w:name w:val="heading 4"/>
    <w:basedOn w:val="Normal"/>
    <w:next w:val="Normal"/>
    <w:link w:val="Heading4Char"/>
    <w:qFormat/>
    <w:rsid w:val="007D6D5C"/>
    <w:pPr>
      <w:keepNext/>
      <w:tabs>
        <w:tab w:val="num" w:pos="864"/>
      </w:tabs>
      <w:spacing w:before="240" w:after="60" w:line="240" w:lineRule="auto"/>
      <w:ind w:left="864" w:hanging="864"/>
      <w:outlineLvl w:val="3"/>
    </w:pPr>
    <w:rPr>
      <w:rFonts w:ascii="Arial" w:eastAsia="Times New Roman" w:hAnsi="Arial"/>
      <w:b/>
      <w:bCs/>
      <w:szCs w:val="28"/>
      <w:u w:val="single"/>
    </w:rPr>
  </w:style>
  <w:style w:type="paragraph" w:styleId="Heading5">
    <w:name w:val="heading 5"/>
    <w:basedOn w:val="Normal"/>
    <w:next w:val="Normal"/>
    <w:link w:val="Heading5Char"/>
    <w:qFormat/>
    <w:rsid w:val="007D6D5C"/>
    <w:pPr>
      <w:tabs>
        <w:tab w:val="num" w:pos="1008"/>
      </w:tabs>
      <w:spacing w:before="240" w:after="60" w:line="240" w:lineRule="auto"/>
      <w:ind w:left="1008" w:hanging="1008"/>
      <w:outlineLvl w:val="4"/>
    </w:pPr>
    <w:rPr>
      <w:rFonts w:ascii="Arial" w:eastAsia="Times New Roman" w:hAnsi="Arial"/>
      <w:b/>
      <w:bCs/>
      <w:i/>
      <w:iCs/>
      <w:sz w:val="26"/>
      <w:szCs w:val="26"/>
    </w:rPr>
  </w:style>
  <w:style w:type="paragraph" w:styleId="Heading6">
    <w:name w:val="heading 6"/>
    <w:basedOn w:val="Normal"/>
    <w:next w:val="Normal"/>
    <w:link w:val="Heading6Char"/>
    <w:qFormat/>
    <w:rsid w:val="007D6D5C"/>
    <w:pPr>
      <w:tabs>
        <w:tab w:val="num" w:pos="1152"/>
      </w:tabs>
      <w:spacing w:before="240" w:after="60" w:line="240" w:lineRule="auto"/>
      <w:ind w:left="1152" w:hanging="1152"/>
      <w:outlineLvl w:val="5"/>
    </w:pPr>
    <w:rPr>
      <w:rFonts w:ascii="Arial" w:eastAsia="Times New Roman" w:hAnsi="Arial"/>
      <w:b/>
      <w:bCs/>
    </w:rPr>
  </w:style>
  <w:style w:type="paragraph" w:styleId="Heading7">
    <w:name w:val="heading 7"/>
    <w:basedOn w:val="Normal"/>
    <w:next w:val="Normal"/>
    <w:link w:val="Heading7Char"/>
    <w:qFormat/>
    <w:rsid w:val="007D6D5C"/>
    <w:pPr>
      <w:tabs>
        <w:tab w:val="num" w:pos="1296"/>
      </w:tabs>
      <w:spacing w:before="240" w:after="60" w:line="240" w:lineRule="auto"/>
      <w:ind w:left="1296" w:hanging="1296"/>
      <w:outlineLvl w:val="6"/>
    </w:pPr>
    <w:rPr>
      <w:rFonts w:ascii="Arial" w:eastAsia="Times New Roman" w:hAnsi="Arial"/>
      <w:szCs w:val="24"/>
    </w:rPr>
  </w:style>
  <w:style w:type="paragraph" w:styleId="Heading8">
    <w:name w:val="heading 8"/>
    <w:basedOn w:val="Normal"/>
    <w:next w:val="Normal"/>
    <w:link w:val="Heading8Char"/>
    <w:qFormat/>
    <w:rsid w:val="007D6D5C"/>
    <w:pPr>
      <w:tabs>
        <w:tab w:val="num" w:pos="1440"/>
      </w:tabs>
      <w:spacing w:before="240" w:after="60" w:line="240" w:lineRule="auto"/>
      <w:ind w:left="1440" w:hanging="1440"/>
      <w:outlineLvl w:val="7"/>
    </w:pPr>
    <w:rPr>
      <w:rFonts w:ascii="Arial" w:eastAsia="Times New Roman" w:hAnsi="Arial"/>
      <w:i/>
      <w:iCs/>
      <w:szCs w:val="24"/>
    </w:rPr>
  </w:style>
  <w:style w:type="paragraph" w:styleId="Heading9">
    <w:name w:val="heading 9"/>
    <w:basedOn w:val="Normal"/>
    <w:next w:val="Normal"/>
    <w:link w:val="Heading9Char"/>
    <w:qFormat/>
    <w:rsid w:val="007D6D5C"/>
    <w:pPr>
      <w:tabs>
        <w:tab w:val="num" w:pos="1584"/>
      </w:tabs>
      <w:spacing w:before="240" w:after="60" w:line="240" w:lineRule="auto"/>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16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60A"/>
    <w:rPr>
      <w:rFonts w:ascii="Tahoma" w:hAnsi="Tahoma" w:cs="Tahoma"/>
      <w:sz w:val="16"/>
      <w:szCs w:val="16"/>
    </w:rPr>
  </w:style>
  <w:style w:type="paragraph" w:styleId="NoSpacing">
    <w:name w:val="No Spacing"/>
    <w:link w:val="NoSpacingChar"/>
    <w:uiPriority w:val="1"/>
    <w:qFormat/>
    <w:rsid w:val="0019160A"/>
    <w:rPr>
      <w:rFonts w:eastAsia="Times New Roman"/>
      <w:sz w:val="22"/>
      <w:szCs w:val="22"/>
      <w:lang w:val="en-US" w:eastAsia="en-US"/>
    </w:rPr>
  </w:style>
  <w:style w:type="character" w:customStyle="1" w:styleId="NoSpacingChar">
    <w:name w:val="No Spacing Char"/>
    <w:basedOn w:val="DefaultParagraphFont"/>
    <w:link w:val="NoSpacing"/>
    <w:uiPriority w:val="1"/>
    <w:rsid w:val="0019160A"/>
    <w:rPr>
      <w:rFonts w:eastAsia="Times New Roman"/>
      <w:sz w:val="22"/>
      <w:szCs w:val="22"/>
      <w:lang w:val="en-US" w:eastAsia="en-US" w:bidi="ar-SA"/>
    </w:rPr>
  </w:style>
  <w:style w:type="paragraph" w:styleId="Header">
    <w:name w:val="header"/>
    <w:basedOn w:val="Normal"/>
    <w:link w:val="HeaderChar"/>
    <w:uiPriority w:val="99"/>
    <w:unhideWhenUsed/>
    <w:rsid w:val="001916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160A"/>
  </w:style>
  <w:style w:type="paragraph" w:styleId="Footer">
    <w:name w:val="footer"/>
    <w:basedOn w:val="Normal"/>
    <w:link w:val="FooterChar"/>
    <w:unhideWhenUsed/>
    <w:rsid w:val="0019160A"/>
    <w:pPr>
      <w:tabs>
        <w:tab w:val="center" w:pos="4513"/>
        <w:tab w:val="right" w:pos="9026"/>
      </w:tabs>
      <w:spacing w:after="0" w:line="240" w:lineRule="auto"/>
    </w:pPr>
  </w:style>
  <w:style w:type="character" w:customStyle="1" w:styleId="FooterChar">
    <w:name w:val="Footer Char"/>
    <w:basedOn w:val="DefaultParagraphFont"/>
    <w:link w:val="Footer"/>
    <w:rsid w:val="0019160A"/>
  </w:style>
  <w:style w:type="character" w:customStyle="1" w:styleId="Heading1Char">
    <w:name w:val="Heading 1 Char"/>
    <w:basedOn w:val="DefaultParagraphFont"/>
    <w:link w:val="Heading1"/>
    <w:rsid w:val="00ED66E2"/>
    <w:rPr>
      <w:rFonts w:ascii="Tahoma" w:eastAsia="Perpetua" w:hAnsi="Tahoma" w:cs="Tahoma"/>
      <w:spacing w:val="20"/>
      <w:sz w:val="28"/>
      <w:szCs w:val="32"/>
      <w:lang w:val="en-US" w:eastAsia="en-US"/>
    </w:rPr>
  </w:style>
  <w:style w:type="character" w:customStyle="1" w:styleId="Heading2Char">
    <w:name w:val="Heading 2 Char"/>
    <w:aliases w:val="2 Char"/>
    <w:basedOn w:val="DefaultParagraphFont"/>
    <w:link w:val="Heading2"/>
    <w:rsid w:val="0019160A"/>
    <w:rPr>
      <w:rFonts w:ascii="Franklin Gothic Book" w:eastAsia="Perpetua" w:hAnsi="Franklin Gothic Book"/>
      <w:spacing w:val="20"/>
      <w:sz w:val="26"/>
      <w:szCs w:val="26"/>
      <w:lang w:val="en-US" w:eastAsia="en-US"/>
    </w:rPr>
  </w:style>
  <w:style w:type="character" w:customStyle="1" w:styleId="Heading3Char">
    <w:name w:val="Heading 3 Char"/>
    <w:basedOn w:val="DefaultParagraphFont"/>
    <w:link w:val="Heading3"/>
    <w:rsid w:val="0019160A"/>
    <w:rPr>
      <w:rFonts w:ascii="Franklin Gothic Book" w:eastAsia="Perpetua" w:hAnsi="Franklin Gothic Book"/>
      <w:spacing w:val="20"/>
      <w:sz w:val="26"/>
      <w:szCs w:val="26"/>
      <w:lang w:val="en-US" w:eastAsia="en-US"/>
    </w:rPr>
  </w:style>
  <w:style w:type="paragraph" w:styleId="Title">
    <w:name w:val="Title"/>
    <w:basedOn w:val="Normal"/>
    <w:link w:val="TitleChar"/>
    <w:uiPriority w:val="10"/>
    <w:qFormat/>
    <w:rsid w:val="0019160A"/>
    <w:pPr>
      <w:pBdr>
        <w:bottom w:val="thickThinLargeGap" w:sz="24" w:space="4" w:color="auto"/>
      </w:pBdr>
      <w:spacing w:after="160" w:line="240" w:lineRule="auto"/>
      <w:contextualSpacing/>
      <w:jc w:val="center"/>
    </w:pPr>
    <w:rPr>
      <w:rFonts w:ascii="Franklin Gothic Book" w:eastAsia="Perpetua" w:hAnsi="Franklin Gothic Book"/>
      <w:b/>
      <w:color w:val="000000"/>
      <w:sz w:val="48"/>
      <w:szCs w:val="48"/>
    </w:rPr>
  </w:style>
  <w:style w:type="character" w:customStyle="1" w:styleId="TitleChar">
    <w:name w:val="Title Char"/>
    <w:basedOn w:val="DefaultParagraphFont"/>
    <w:link w:val="Title"/>
    <w:uiPriority w:val="10"/>
    <w:rsid w:val="0019160A"/>
    <w:rPr>
      <w:rFonts w:ascii="Franklin Gothic Book" w:eastAsia="Perpetua" w:hAnsi="Franklin Gothic Book" w:cs="Times New Roman"/>
      <w:b/>
      <w:color w:val="000000"/>
      <w:sz w:val="48"/>
      <w:szCs w:val="48"/>
    </w:rPr>
  </w:style>
  <w:style w:type="paragraph" w:customStyle="1" w:styleId="BodyContent">
    <w:name w:val="Body Content"/>
    <w:basedOn w:val="Normal"/>
    <w:qFormat/>
    <w:rsid w:val="0019160A"/>
    <w:pPr>
      <w:spacing w:after="160"/>
    </w:pPr>
    <w:rPr>
      <w:rFonts w:ascii="Perpetua" w:eastAsia="Perpetua" w:hAnsi="Perpetua"/>
      <w:color w:val="000000"/>
      <w:sz w:val="24"/>
      <w:szCs w:val="24"/>
      <w:lang w:val="en-US"/>
    </w:rPr>
  </w:style>
  <w:style w:type="character" w:styleId="PageNumber">
    <w:name w:val="page number"/>
    <w:basedOn w:val="DefaultParagraphFont"/>
    <w:rsid w:val="00B84990"/>
  </w:style>
  <w:style w:type="paragraph" w:styleId="FootnoteText">
    <w:name w:val="footnote text"/>
    <w:basedOn w:val="Normal"/>
    <w:link w:val="FootnoteTextChar"/>
    <w:unhideWhenUsed/>
    <w:rsid w:val="00FD0972"/>
    <w:pPr>
      <w:spacing w:after="0" w:line="240" w:lineRule="auto"/>
    </w:pPr>
    <w:rPr>
      <w:sz w:val="20"/>
      <w:szCs w:val="20"/>
    </w:rPr>
  </w:style>
  <w:style w:type="character" w:customStyle="1" w:styleId="FootnoteTextChar">
    <w:name w:val="Footnote Text Char"/>
    <w:basedOn w:val="DefaultParagraphFont"/>
    <w:link w:val="FootnoteText"/>
    <w:uiPriority w:val="99"/>
    <w:rsid w:val="00FD0972"/>
    <w:rPr>
      <w:sz w:val="20"/>
      <w:szCs w:val="20"/>
    </w:rPr>
  </w:style>
  <w:style w:type="paragraph" w:styleId="ListBullet">
    <w:name w:val="List Bullet"/>
    <w:basedOn w:val="Normal"/>
    <w:uiPriority w:val="36"/>
    <w:unhideWhenUsed/>
    <w:qFormat/>
    <w:rsid w:val="00FD0972"/>
    <w:pPr>
      <w:numPr>
        <w:numId w:val="2"/>
      </w:numPr>
      <w:spacing w:after="0"/>
      <w:contextualSpacing/>
    </w:pPr>
    <w:rPr>
      <w:rFonts w:ascii="Perpetua" w:eastAsia="Perpetua" w:hAnsi="Perpetua"/>
      <w:color w:val="000000"/>
      <w:szCs w:val="20"/>
      <w:lang w:val="en-US"/>
    </w:rPr>
  </w:style>
  <w:style w:type="character" w:styleId="FootnoteReference">
    <w:name w:val="footnote reference"/>
    <w:basedOn w:val="DefaultParagraphFont"/>
    <w:rsid w:val="00FD0972"/>
    <w:rPr>
      <w:vertAlign w:val="superscript"/>
    </w:rPr>
  </w:style>
  <w:style w:type="paragraph" w:customStyle="1" w:styleId="GuidanceText">
    <w:name w:val="Guidance Text"/>
    <w:basedOn w:val="Normal"/>
    <w:qFormat/>
    <w:rsid w:val="00FD0972"/>
    <w:rPr>
      <w:i/>
      <w:color w:val="FF0000"/>
    </w:rPr>
  </w:style>
  <w:style w:type="paragraph" w:customStyle="1" w:styleId="AppendixHeading1">
    <w:name w:val="Appendix Heading 1"/>
    <w:basedOn w:val="Heading1"/>
    <w:next w:val="Normal"/>
    <w:link w:val="AppendixHeading1CharChar"/>
    <w:rsid w:val="0055738F"/>
    <w:pPr>
      <w:numPr>
        <w:numId w:val="3"/>
      </w:numPr>
      <w:suppressAutoHyphens/>
      <w:spacing w:before="0" w:after="240"/>
    </w:pPr>
    <w:rPr>
      <w:rFonts w:ascii="Trebuchet MS" w:eastAsia="Times New Roman" w:hAnsi="Trebuchet MS" w:cs="Arial"/>
      <w:bCs/>
      <w:color w:val="004179"/>
      <w:spacing w:val="0"/>
      <w:kern w:val="28"/>
      <w:szCs w:val="28"/>
      <w:lang w:val="en-GB" w:eastAsia="ar-SA"/>
    </w:rPr>
  </w:style>
  <w:style w:type="character" w:customStyle="1" w:styleId="AppendixHeading1CharChar">
    <w:name w:val="Appendix Heading 1 Char Char"/>
    <w:basedOn w:val="Heading1Char"/>
    <w:link w:val="AppendixHeading1"/>
    <w:rsid w:val="0055738F"/>
    <w:rPr>
      <w:rFonts w:ascii="Trebuchet MS" w:eastAsia="Times New Roman" w:hAnsi="Trebuchet MS" w:cs="Arial"/>
      <w:bCs/>
      <w:color w:val="004179"/>
      <w:spacing w:val="20"/>
      <w:kern w:val="28"/>
      <w:sz w:val="28"/>
      <w:szCs w:val="28"/>
      <w:lang w:val="en-US" w:eastAsia="ar-SA"/>
    </w:rPr>
  </w:style>
  <w:style w:type="paragraph" w:styleId="EndnoteText">
    <w:name w:val="endnote text"/>
    <w:basedOn w:val="Normal"/>
    <w:link w:val="EndnoteTextChar"/>
    <w:unhideWhenUsed/>
    <w:rsid w:val="00EB39E2"/>
    <w:pPr>
      <w:spacing w:after="0" w:line="240" w:lineRule="auto"/>
    </w:pPr>
    <w:rPr>
      <w:sz w:val="20"/>
      <w:szCs w:val="20"/>
    </w:rPr>
  </w:style>
  <w:style w:type="character" w:customStyle="1" w:styleId="EndnoteTextChar">
    <w:name w:val="Endnote Text Char"/>
    <w:basedOn w:val="DefaultParagraphFont"/>
    <w:link w:val="EndnoteText"/>
    <w:rsid w:val="00EB39E2"/>
    <w:rPr>
      <w:sz w:val="20"/>
      <w:szCs w:val="20"/>
    </w:rPr>
  </w:style>
  <w:style w:type="character" w:styleId="EndnoteReference">
    <w:name w:val="endnote reference"/>
    <w:basedOn w:val="DefaultParagraphFont"/>
    <w:uiPriority w:val="99"/>
    <w:semiHidden/>
    <w:unhideWhenUsed/>
    <w:rsid w:val="00EB39E2"/>
    <w:rPr>
      <w:vertAlign w:val="superscript"/>
    </w:rPr>
  </w:style>
  <w:style w:type="paragraph" w:styleId="Caption">
    <w:name w:val="caption"/>
    <w:basedOn w:val="Normal"/>
    <w:next w:val="Normal"/>
    <w:unhideWhenUsed/>
    <w:qFormat/>
    <w:rsid w:val="00EB39E2"/>
    <w:pPr>
      <w:spacing w:after="120" w:line="240" w:lineRule="auto"/>
    </w:pPr>
    <w:rPr>
      <w:rFonts w:ascii="Trebuchet MS" w:eastAsia="Times New Roman" w:hAnsi="Trebuchet MS"/>
      <w:b/>
      <w:bCs/>
      <w:sz w:val="20"/>
      <w:szCs w:val="20"/>
    </w:rPr>
  </w:style>
  <w:style w:type="paragraph" w:customStyle="1" w:styleId="Indentedbodytext">
    <w:name w:val="Indented body text"/>
    <w:basedOn w:val="Normal"/>
    <w:rsid w:val="00A03A0F"/>
    <w:pPr>
      <w:overflowPunct w:val="0"/>
      <w:autoSpaceDE w:val="0"/>
      <w:autoSpaceDN w:val="0"/>
      <w:adjustRightInd w:val="0"/>
      <w:spacing w:after="240" w:line="240" w:lineRule="auto"/>
      <w:ind w:left="1134"/>
      <w:jc w:val="both"/>
      <w:textAlignment w:val="baseline"/>
    </w:pPr>
    <w:rPr>
      <w:rFonts w:ascii="Arial" w:eastAsia="Times New Roman" w:hAnsi="Arial"/>
      <w:sz w:val="24"/>
      <w:szCs w:val="24"/>
    </w:rPr>
  </w:style>
  <w:style w:type="table" w:styleId="TableGrid">
    <w:name w:val="Table Grid"/>
    <w:basedOn w:val="TableNormal"/>
    <w:uiPriority w:val="59"/>
    <w:rsid w:val="00C13C0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Text">
    <w:name w:val="Table Text"/>
    <w:basedOn w:val="Normal"/>
    <w:rsid w:val="00C13C04"/>
    <w:pPr>
      <w:spacing w:before="60" w:after="60" w:line="240" w:lineRule="auto"/>
    </w:pPr>
    <w:rPr>
      <w:rFonts w:ascii="Times New Roman" w:eastAsia="Times New Roman" w:hAnsi="Times New Roman"/>
      <w:sz w:val="20"/>
      <w:szCs w:val="24"/>
    </w:rPr>
  </w:style>
  <w:style w:type="paragraph" w:customStyle="1" w:styleId="TableHeaderRow">
    <w:name w:val="Table Header Row"/>
    <w:basedOn w:val="Normal"/>
    <w:next w:val="Normal"/>
    <w:rsid w:val="00C13C04"/>
    <w:pPr>
      <w:spacing w:before="40" w:after="40" w:line="240" w:lineRule="auto"/>
    </w:pPr>
    <w:rPr>
      <w:rFonts w:ascii="Arial" w:eastAsia="Times New Roman" w:hAnsi="Arial"/>
      <w:b/>
      <w:color w:val="FFFFFF"/>
      <w:szCs w:val="24"/>
    </w:rPr>
  </w:style>
  <w:style w:type="paragraph" w:styleId="ListParagraph">
    <w:name w:val="List Paragraph"/>
    <w:basedOn w:val="Normal"/>
    <w:uiPriority w:val="34"/>
    <w:qFormat/>
    <w:rsid w:val="00A57A72"/>
    <w:pPr>
      <w:ind w:left="720"/>
      <w:contextualSpacing/>
    </w:pPr>
  </w:style>
  <w:style w:type="paragraph" w:styleId="ListBullet3">
    <w:name w:val="List Bullet 3"/>
    <w:basedOn w:val="Normal"/>
    <w:rsid w:val="00CB28F6"/>
    <w:pPr>
      <w:numPr>
        <w:numId w:val="4"/>
      </w:numPr>
      <w:tabs>
        <w:tab w:val="clear" w:pos="1494"/>
        <w:tab w:val="num" w:pos="936"/>
      </w:tabs>
      <w:spacing w:before="120" w:after="0" w:line="240" w:lineRule="auto"/>
      <w:ind w:left="936"/>
    </w:pPr>
    <w:rPr>
      <w:rFonts w:ascii="Arial" w:eastAsia="Times New Roman" w:hAnsi="Arial"/>
      <w:szCs w:val="24"/>
    </w:rPr>
  </w:style>
  <w:style w:type="character" w:customStyle="1" w:styleId="Heading4Char">
    <w:name w:val="Heading 4 Char"/>
    <w:basedOn w:val="DefaultParagraphFont"/>
    <w:link w:val="Heading4"/>
    <w:rsid w:val="007D6D5C"/>
    <w:rPr>
      <w:rFonts w:ascii="Arial" w:eastAsia="Times New Roman" w:hAnsi="Arial"/>
      <w:b/>
      <w:bCs/>
      <w:sz w:val="22"/>
      <w:szCs w:val="28"/>
      <w:u w:val="single"/>
      <w:lang w:eastAsia="en-US"/>
    </w:rPr>
  </w:style>
  <w:style w:type="character" w:customStyle="1" w:styleId="Heading5Char">
    <w:name w:val="Heading 5 Char"/>
    <w:basedOn w:val="DefaultParagraphFont"/>
    <w:link w:val="Heading5"/>
    <w:rsid w:val="007D6D5C"/>
    <w:rPr>
      <w:rFonts w:ascii="Arial" w:eastAsia="Times New Roman" w:hAnsi="Arial"/>
      <w:b/>
      <w:bCs/>
      <w:i/>
      <w:iCs/>
      <w:sz w:val="26"/>
      <w:szCs w:val="26"/>
      <w:lang w:eastAsia="en-US"/>
    </w:rPr>
  </w:style>
  <w:style w:type="character" w:customStyle="1" w:styleId="Heading6Char">
    <w:name w:val="Heading 6 Char"/>
    <w:basedOn w:val="DefaultParagraphFont"/>
    <w:link w:val="Heading6"/>
    <w:rsid w:val="007D6D5C"/>
    <w:rPr>
      <w:rFonts w:ascii="Arial" w:eastAsia="Times New Roman" w:hAnsi="Arial"/>
      <w:b/>
      <w:bCs/>
      <w:sz w:val="22"/>
      <w:szCs w:val="22"/>
      <w:lang w:eastAsia="en-US"/>
    </w:rPr>
  </w:style>
  <w:style w:type="character" w:customStyle="1" w:styleId="Heading7Char">
    <w:name w:val="Heading 7 Char"/>
    <w:basedOn w:val="DefaultParagraphFont"/>
    <w:link w:val="Heading7"/>
    <w:rsid w:val="007D6D5C"/>
    <w:rPr>
      <w:rFonts w:ascii="Arial" w:eastAsia="Times New Roman" w:hAnsi="Arial"/>
      <w:sz w:val="22"/>
      <w:szCs w:val="24"/>
      <w:lang w:eastAsia="en-US"/>
    </w:rPr>
  </w:style>
  <w:style w:type="character" w:customStyle="1" w:styleId="Heading8Char">
    <w:name w:val="Heading 8 Char"/>
    <w:basedOn w:val="DefaultParagraphFont"/>
    <w:link w:val="Heading8"/>
    <w:rsid w:val="007D6D5C"/>
    <w:rPr>
      <w:rFonts w:ascii="Arial" w:eastAsia="Times New Roman" w:hAnsi="Arial"/>
      <w:i/>
      <w:iCs/>
      <w:sz w:val="22"/>
      <w:szCs w:val="24"/>
      <w:lang w:eastAsia="en-US"/>
    </w:rPr>
  </w:style>
  <w:style w:type="character" w:customStyle="1" w:styleId="Heading9Char">
    <w:name w:val="Heading 9 Char"/>
    <w:basedOn w:val="DefaultParagraphFont"/>
    <w:link w:val="Heading9"/>
    <w:rsid w:val="007D6D5C"/>
    <w:rPr>
      <w:rFonts w:ascii="Arial" w:eastAsia="Times New Roman" w:hAnsi="Arial" w:cs="Arial"/>
      <w:sz w:val="22"/>
      <w:szCs w:val="22"/>
      <w:lang w:eastAsia="en-US"/>
    </w:rPr>
  </w:style>
  <w:style w:type="paragraph" w:styleId="NormalWeb">
    <w:name w:val="Normal (Web)"/>
    <w:basedOn w:val="Normal"/>
    <w:uiPriority w:val="99"/>
    <w:semiHidden/>
    <w:unhideWhenUsed/>
    <w:rsid w:val="00A3146E"/>
    <w:pPr>
      <w:spacing w:before="100" w:beforeAutospacing="1" w:after="100" w:afterAutospacing="1" w:line="240" w:lineRule="auto"/>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C849DF"/>
    <w:rPr>
      <w:sz w:val="18"/>
      <w:szCs w:val="18"/>
    </w:rPr>
  </w:style>
  <w:style w:type="paragraph" w:styleId="CommentText">
    <w:name w:val="annotation text"/>
    <w:basedOn w:val="Normal"/>
    <w:link w:val="CommentTextChar"/>
    <w:uiPriority w:val="99"/>
    <w:semiHidden/>
    <w:unhideWhenUsed/>
    <w:rsid w:val="00C849DF"/>
    <w:pPr>
      <w:spacing w:line="240" w:lineRule="auto"/>
    </w:pPr>
    <w:rPr>
      <w:sz w:val="24"/>
      <w:szCs w:val="24"/>
    </w:rPr>
  </w:style>
  <w:style w:type="character" w:customStyle="1" w:styleId="CommentTextChar">
    <w:name w:val="Comment Text Char"/>
    <w:basedOn w:val="DefaultParagraphFont"/>
    <w:link w:val="CommentText"/>
    <w:uiPriority w:val="99"/>
    <w:semiHidden/>
    <w:rsid w:val="00C849DF"/>
    <w:rPr>
      <w:sz w:val="24"/>
      <w:szCs w:val="24"/>
      <w:lang w:eastAsia="en-US"/>
    </w:rPr>
  </w:style>
  <w:style w:type="paragraph" w:styleId="CommentSubject">
    <w:name w:val="annotation subject"/>
    <w:basedOn w:val="CommentText"/>
    <w:next w:val="CommentText"/>
    <w:link w:val="CommentSubjectChar"/>
    <w:uiPriority w:val="99"/>
    <w:semiHidden/>
    <w:unhideWhenUsed/>
    <w:rsid w:val="00C849DF"/>
    <w:rPr>
      <w:b/>
      <w:bCs/>
      <w:sz w:val="20"/>
      <w:szCs w:val="20"/>
    </w:rPr>
  </w:style>
  <w:style w:type="character" w:customStyle="1" w:styleId="CommentSubjectChar">
    <w:name w:val="Comment Subject Char"/>
    <w:basedOn w:val="CommentTextChar"/>
    <w:link w:val="CommentSubject"/>
    <w:uiPriority w:val="99"/>
    <w:semiHidden/>
    <w:rsid w:val="00C849DF"/>
    <w:rPr>
      <w:b/>
      <w:bCs/>
      <w:sz w:val="24"/>
      <w:szCs w:val="24"/>
      <w:lang w:eastAsia="en-US"/>
    </w:rPr>
  </w:style>
  <w:style w:type="table" w:customStyle="1" w:styleId="GridTable1Light-Accent21">
    <w:name w:val="Grid Table 1 Light - Accent 21"/>
    <w:basedOn w:val="TableNormal"/>
    <w:uiPriority w:val="46"/>
    <w:rsid w:val="00A143A5"/>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A143A5"/>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7Colorful1">
    <w:name w:val="Grid Table 7 Colorful1"/>
    <w:basedOn w:val="TableNormal"/>
    <w:uiPriority w:val="52"/>
    <w:rsid w:val="00A143A5"/>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5Dark1">
    <w:name w:val="Grid Table 5 Dark1"/>
    <w:basedOn w:val="TableNormal"/>
    <w:uiPriority w:val="50"/>
    <w:rsid w:val="00A143A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Hyperlink">
    <w:name w:val="Hyperlink"/>
    <w:basedOn w:val="DefaultParagraphFont"/>
    <w:uiPriority w:val="99"/>
    <w:unhideWhenUsed/>
    <w:rsid w:val="00FF399A"/>
    <w:rPr>
      <w:color w:val="0000FF" w:themeColor="hyperlink"/>
      <w:u w:val="single"/>
    </w:rPr>
  </w:style>
  <w:style w:type="character" w:styleId="Strong">
    <w:name w:val="Strong"/>
    <w:basedOn w:val="DefaultParagraphFont"/>
    <w:uiPriority w:val="22"/>
    <w:qFormat/>
    <w:rsid w:val="00042EB1"/>
    <w:rPr>
      <w:b/>
      <w:bCs/>
    </w:rPr>
  </w:style>
  <w:style w:type="paragraph" w:styleId="TOC1">
    <w:name w:val="toc 1"/>
    <w:basedOn w:val="Normal"/>
    <w:next w:val="Normal"/>
    <w:autoRedefine/>
    <w:uiPriority w:val="39"/>
    <w:unhideWhenUsed/>
    <w:rsid w:val="008A219D"/>
  </w:style>
  <w:style w:type="paragraph" w:styleId="TOC2">
    <w:name w:val="toc 2"/>
    <w:basedOn w:val="Normal"/>
    <w:next w:val="Normal"/>
    <w:autoRedefine/>
    <w:uiPriority w:val="39"/>
    <w:unhideWhenUsed/>
    <w:rsid w:val="008A219D"/>
    <w:pPr>
      <w:ind w:left="220"/>
    </w:pPr>
  </w:style>
  <w:style w:type="paragraph" w:styleId="TOC3">
    <w:name w:val="toc 3"/>
    <w:basedOn w:val="Normal"/>
    <w:next w:val="Normal"/>
    <w:autoRedefine/>
    <w:uiPriority w:val="39"/>
    <w:unhideWhenUsed/>
    <w:rsid w:val="008A219D"/>
    <w:pPr>
      <w:ind w:left="440"/>
    </w:pPr>
  </w:style>
  <w:style w:type="paragraph" w:styleId="TOC4">
    <w:name w:val="toc 4"/>
    <w:basedOn w:val="Normal"/>
    <w:next w:val="Normal"/>
    <w:autoRedefine/>
    <w:uiPriority w:val="39"/>
    <w:unhideWhenUsed/>
    <w:rsid w:val="008A219D"/>
    <w:pPr>
      <w:ind w:left="660"/>
    </w:pPr>
  </w:style>
  <w:style w:type="paragraph" w:styleId="TOC5">
    <w:name w:val="toc 5"/>
    <w:basedOn w:val="Normal"/>
    <w:next w:val="Normal"/>
    <w:autoRedefine/>
    <w:uiPriority w:val="39"/>
    <w:unhideWhenUsed/>
    <w:rsid w:val="008A219D"/>
    <w:pPr>
      <w:ind w:left="880"/>
    </w:pPr>
  </w:style>
  <w:style w:type="paragraph" w:styleId="TOC6">
    <w:name w:val="toc 6"/>
    <w:basedOn w:val="Normal"/>
    <w:next w:val="Normal"/>
    <w:autoRedefine/>
    <w:uiPriority w:val="39"/>
    <w:unhideWhenUsed/>
    <w:rsid w:val="008A219D"/>
    <w:pPr>
      <w:ind w:left="1100"/>
    </w:pPr>
  </w:style>
  <w:style w:type="paragraph" w:styleId="TOC7">
    <w:name w:val="toc 7"/>
    <w:basedOn w:val="Normal"/>
    <w:next w:val="Normal"/>
    <w:autoRedefine/>
    <w:uiPriority w:val="39"/>
    <w:unhideWhenUsed/>
    <w:rsid w:val="008A219D"/>
    <w:pPr>
      <w:ind w:left="1320"/>
    </w:pPr>
  </w:style>
  <w:style w:type="paragraph" w:styleId="TOC8">
    <w:name w:val="toc 8"/>
    <w:basedOn w:val="Normal"/>
    <w:next w:val="Normal"/>
    <w:autoRedefine/>
    <w:uiPriority w:val="39"/>
    <w:unhideWhenUsed/>
    <w:rsid w:val="008A219D"/>
    <w:pPr>
      <w:ind w:left="1540"/>
    </w:pPr>
  </w:style>
  <w:style w:type="paragraph" w:styleId="TOC9">
    <w:name w:val="toc 9"/>
    <w:basedOn w:val="Normal"/>
    <w:next w:val="Normal"/>
    <w:autoRedefine/>
    <w:uiPriority w:val="39"/>
    <w:unhideWhenUsed/>
    <w:rsid w:val="008A219D"/>
    <w:pPr>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3062">
      <w:bodyDiv w:val="1"/>
      <w:marLeft w:val="0"/>
      <w:marRight w:val="0"/>
      <w:marTop w:val="0"/>
      <w:marBottom w:val="0"/>
      <w:divBdr>
        <w:top w:val="none" w:sz="0" w:space="0" w:color="auto"/>
        <w:left w:val="none" w:sz="0" w:space="0" w:color="auto"/>
        <w:bottom w:val="none" w:sz="0" w:space="0" w:color="auto"/>
        <w:right w:val="none" w:sz="0" w:space="0" w:color="auto"/>
      </w:divBdr>
    </w:div>
    <w:div w:id="274366180">
      <w:bodyDiv w:val="1"/>
      <w:marLeft w:val="0"/>
      <w:marRight w:val="0"/>
      <w:marTop w:val="0"/>
      <w:marBottom w:val="0"/>
      <w:divBdr>
        <w:top w:val="none" w:sz="0" w:space="0" w:color="auto"/>
        <w:left w:val="none" w:sz="0" w:space="0" w:color="auto"/>
        <w:bottom w:val="none" w:sz="0" w:space="0" w:color="auto"/>
        <w:right w:val="none" w:sz="0" w:space="0" w:color="auto"/>
      </w:divBdr>
    </w:div>
    <w:div w:id="149175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microsoft.com/office/2011/relationships/people" Target="people.xml"/><Relationship Id="rId10" Type="http://schemas.openxmlformats.org/officeDocument/2006/relationships/endnotes" Target="endnotes.xml"/><Relationship Id="rId11" Type="http://schemas.openxmlformats.org/officeDocument/2006/relationships/image" Target="media/image1.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hyperlink" Target="mailto:BGIT.SUPPORT@bishopgadsden.org" TargetMode="External"/><Relationship Id="rId17" Type="http://schemas.openxmlformats.org/officeDocument/2006/relationships/image" Target="media/image2.png"/><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22347\Desktop\sync\TS03000949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2017-02-20T00:00:00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9F4A86-E7A7-47AF-A1A8-613FC7DA9949}">
  <ds:schemaRefs>
    <ds:schemaRef ds:uri="http://schemas.microsoft.com/sharepoint/v3/contenttype/forms"/>
  </ds:schemaRefs>
</ds:datastoreItem>
</file>

<file path=customXml/itemProps3.xml><?xml version="1.0" encoding="utf-8"?>
<ds:datastoreItem xmlns:ds="http://schemas.openxmlformats.org/officeDocument/2006/customXml" ds:itemID="{19CD348C-41D2-3849-B4E8-07ED1808C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\Users\jo22347\Desktop\sync\TS030009490.dotx</Template>
  <TotalTime>0</TotalTime>
  <Pages>19</Pages>
  <Words>4078</Words>
  <Characters>23251</Characters>
  <Application>Microsoft Macintosh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Statement of Work</vt:lpstr>
    </vt:vector>
  </TitlesOfParts>
  <Company>United States Army</Company>
  <LinksUpToDate>false</LinksUpToDate>
  <CharactersWithSpaces>27275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Incident Handling and Response Policy and Procedure </dc:title>
  <dc:subject>Bishop Gadsden</dc:subject>
  <dc:creator>Dr. Philip Hartlieb</dc:creator>
  <cp:lastModifiedBy>Phobos</cp:lastModifiedBy>
  <cp:revision>2</cp:revision>
  <cp:lastPrinted>2016-09-01T00:14:00Z</cp:lastPrinted>
  <dcterms:created xsi:type="dcterms:W3CDTF">2017-02-28T16:59:00Z</dcterms:created>
  <dcterms:modified xsi:type="dcterms:W3CDTF">2017-02-28T16:59:00Z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TC300094909990</vt:lpwstr>
  </property>
</Properties>
</file>