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
      <w:pPr>
        <w:jc w:val="center"/>
      </w:pPr>
      <w:r>
        <w:rPr>
          <w:rFonts w:ascii="Calibri" w:hAnsi="Calibri"/>
          <w:b/>
          <w:color w:val="1A3C6E"/>
          <w:sz w:val="84"/>
        </w:rPr>
        <w:t>NeuralMind</w:t>
      </w:r>
    </w:p>
    <w:p>
      <w:pPr>
        <w:jc w:val="center"/>
      </w:pPr>
      <w:r>
        <w:rPr>
          <w:rFonts w:ascii="Calibri" w:hAnsi="Calibri"/>
          <w:color w:val="1A3C6E"/>
          <w:sz w:val="48"/>
        </w:rPr>
        <w:t>Commercial License Agreement</w:t>
      </w:r>
    </w:p>
    <w:p/>
    <w:p>
      <w:pPr>
        <w:jc w:val="center"/>
      </w:pPr>
      <w:r>
        <w:rPr>
          <w:rFonts w:ascii="Calibri" w:hAnsi="Calibri"/>
          <w:color w:val="808080"/>
          <w:sz w:val="24"/>
        </w:rPr>
        <w:t>Version 1.0 — Effective [Date]</w:t>
      </w:r>
    </w:p>
    <w:p/>
    <w:p/>
    <w:p/>
    <w:p/>
    <w:p/>
    <w:p>
      <w:pPr>
        <w:jc w:val="center"/>
      </w:pPr>
      <w:r>
        <w:rPr>
          <w:rFonts w:ascii="Calibri" w:hAnsi="Calibri"/>
          <w:b/>
          <w:color w:val="CC0000"/>
          <w:sz w:val="28"/>
        </w:rPr>
        <w:t>CONFIDENTIAL</w:t>
      </w:r>
    </w:p>
    <w:p>
      <w:pPr>
        <w:jc w:val="center"/>
      </w:pPr>
      <w:r>
        <w:rPr>
          <w:rFonts w:ascii="Calibri" w:hAnsi="Calibri"/>
          <w:color w:val="808080"/>
          <w:sz w:val="22"/>
        </w:rPr>
        <w:t>NeuralMind, Inc. — contact@neuralmind.io</w:t>
      </w:r>
    </w:p>
    <w:p>
      <w:r>
        <w:br w:type="page"/>
      </w:r>
    </w:p>
    <w:p>
      <w:pPr>
        <w:pStyle w:val="Heading1"/>
      </w:pPr>
      <w:r>
        <w:rPr>
          <w:rFonts w:ascii="Calibri" w:hAnsi="Calibri"/>
          <w:b/>
          <w:color w:val="1A3C6E"/>
          <w:sz w:val="32"/>
        </w:rPr>
        <w:t>Table of Contents</w:t>
      </w:r>
    </w:p>
    <w:p>
      <w:r>
        <w:fldChar w:fldCharType="begin"/>
        <w:instrText xml:space="preserve"> TOC \o "1-3" \h \z \u </w:instrText>
        <w:fldChar w:fldCharType="separate"/>
        <w:fldChar w:fldCharType="end"/>
      </w:r>
      <w:r>
        <w:rPr>
          <w:rFonts w:ascii="Calibri" w:hAnsi="Calibri"/>
          <w:i/>
          <w:color w:val="808080"/>
          <w:sz w:val="20"/>
        </w:rPr>
        <w:t>Right-click and select 'Update Field' to populate the Table of Contents.</w:t>
      </w:r>
    </w:p>
    <w:p>
      <w:r>
        <w:br w:type="page"/>
      </w:r>
    </w:p>
    <w:p>
      <w:pPr>
        <w:pStyle w:val="Heading1"/>
      </w:pPr>
      <w:r>
        <w:rPr>
          <w:rFonts w:ascii="Calibri" w:hAnsi="Calibri"/>
          <w:b/>
          <w:color w:val="1A3C6E"/>
          <w:sz w:val="32"/>
        </w:rPr>
        <w:t>1. Eligibility &amp; Grant of Use</w:t>
      </w:r>
    </w:p>
    <w:p>
      <w:r>
        <w:rPr>
          <w:rFonts w:ascii="Calibri" w:hAnsi="Calibri"/>
          <w:sz w:val="22"/>
        </w:rPr>
        <w:t>This commercial license applies to NeuralMind Enterprise (the "Software") deployed in environments exceeding five (5) users or where enterprise features are used.</w:t>
      </w:r>
    </w:p>
    <w:p>
      <w:r>
        <w:rPr>
          <w:rFonts w:ascii="Calibri" w:hAnsi="Calibri"/>
          <w:sz w:val="22"/>
        </w:rPr>
        <w:t>Subject to payment of applicable fees and compliance with this Agreement, Licensor grants Licensee a non-exclusive, non-transferable (except as a whole-entity transfer) right to:</w:t>
      </w:r>
    </w:p>
    <w:p>
      <w:pPr>
        <w:pStyle w:val="ListBullet"/>
      </w:pPr>
    </w:p>
    <w:p>
      <w:pPr>
        <w:pStyle w:val="ListBullet"/>
      </w:pPr>
    </w:p>
    <w:p>
      <w:pPr>
        <w:pStyle w:val="ListBullet"/>
      </w:pPr>
    </w:p>
    <w:p>
      <w:pPr>
        <w:pStyle w:val="ListBullet"/>
      </w:pPr>
    </w:p>
    <w:p>
      <w:r>
        <w:rPr>
          <w:rFonts w:ascii="Calibri" w:hAnsi="Calibri"/>
          <w:sz w:val="22"/>
        </w:rPr>
        <w:t>Free tier remains available for individuals, non-commercial use, and teams under five users via the standard MIT License included in the repository.</w:t>
      </w:r>
    </w:p>
    <w:p>
      <w:r>
        <w:br w:type="page"/>
      </w:r>
    </w:p>
    <w:p>
      <w:pPr>
        <w:pStyle w:val="Heading1"/>
      </w:pPr>
      <w:r>
        <w:rPr>
          <w:rFonts w:ascii="Calibri" w:hAnsi="Calibri"/>
          <w:b/>
          <w:color w:val="1A3C6E"/>
          <w:sz w:val="32"/>
        </w:rPr>
        <w:t>2. Pricing &amp; Payment</w:t>
      </w:r>
    </w:p>
    <w:tbl>
      <w:tblPr>
        <w:tblStyle w:val="LightGrid-Accent1"/>
        <w:tblW w:type="auto" w:w="0"/>
        <w:jc w:val="center"/>
        <w:tblLook w:firstColumn="1" w:firstRow="1" w:lastColumn="0" w:lastRow="0" w:noHBand="0" w:noVBand="1" w:val="04A0"/>
      </w:tblPr>
      <w:tblGrid>
        <w:gridCol w:w="3135"/>
        <w:gridCol w:w="3135"/>
        <w:gridCol w:w="3135"/>
      </w:tblGrid>
      <w:tr>
        <w:tc>
          <w:tcPr>
            <w:tcW w:type="dxa" w:w="3135"/>
            <w:shd w:val="clear" w:color="auto" w:fill="1A3C6E"/>
          </w:tcPr>
          <w:p>
            <w:pPr>
              <w:jc w:val="center"/>
            </w:pPr>
            <w:r>
              <w:rPr>
                <w:rFonts w:ascii="Calibri" w:hAnsi="Calibri"/>
                <w:b/>
                <w:color w:val="FFFFFF"/>
                <w:sz w:val="20"/>
              </w:rPr>
              <w:t>Model</w:t>
            </w:r>
          </w:p>
        </w:tc>
        <w:tc>
          <w:tcPr>
            <w:tcW w:type="dxa" w:w="3135"/>
            <w:shd w:val="clear" w:color="auto" w:fill="1A3C6E"/>
          </w:tcPr>
          <w:p>
            <w:pPr>
              <w:jc w:val="center"/>
            </w:pPr>
            <w:r>
              <w:rPr>
                <w:rFonts w:ascii="Calibri" w:hAnsi="Calibri"/>
                <w:b/>
                <w:color w:val="FFFFFF"/>
                <w:sz w:val="20"/>
              </w:rPr>
              <w:t>Rate</w:t>
            </w:r>
          </w:p>
        </w:tc>
        <w:tc>
          <w:tcPr>
            <w:tcW w:type="dxa" w:w="3135"/>
            <w:shd w:val="clear" w:color="auto" w:fill="1A3C6E"/>
          </w:tcPr>
          <w:p>
            <w:pPr>
              <w:jc w:val="center"/>
            </w:pPr>
            <w:r>
              <w:rPr>
                <w:rFonts w:ascii="Calibri" w:hAnsi="Calibri"/>
                <w:b/>
                <w:color w:val="FFFFFF"/>
                <w:sz w:val="20"/>
              </w:rPr>
              <w:t>Minimum</w:t>
            </w:r>
          </w:p>
        </w:tc>
      </w:tr>
      <w:tr>
        <w:tc>
          <w:tcPr>
            <w:tcW w:type="dxa" w:w="3135"/>
          </w:tcPr>
          <w:p>
            <w:r>
              <w:rPr>
                <w:rFonts w:ascii="Calibri" w:hAnsi="Calibri"/>
                <w:sz w:val="20"/>
              </w:rPr>
              <w:t>Per-Seat</w:t>
            </w:r>
          </w:p>
        </w:tc>
        <w:tc>
          <w:tcPr>
            <w:tcW w:type="dxa" w:w="3135"/>
          </w:tcPr>
          <w:p>
            <w:r>
              <w:rPr>
                <w:rFonts w:ascii="Calibri" w:hAnsi="Calibri"/>
                <w:sz w:val="20"/>
              </w:rPr>
              <w:t>$15 / user / month</w:t>
            </w:r>
          </w:p>
        </w:tc>
        <w:tc>
          <w:tcPr>
            <w:tcW w:type="dxa" w:w="3135"/>
          </w:tcPr>
          <w:p>
            <w:r>
              <w:rPr>
                <w:rFonts w:ascii="Calibri" w:hAnsi="Calibri"/>
                <w:sz w:val="20"/>
              </w:rPr>
              <w:t>25 seats</w:t>
            </w:r>
          </w:p>
        </w:tc>
      </w:tr>
      <w:tr>
        <w:tc>
          <w:tcPr>
            <w:tcW w:type="dxa" w:w="3135"/>
            <w:shd w:val="clear" w:color="auto" w:fill="F2F2F2"/>
          </w:tcPr>
          <w:p>
            <w:r>
              <w:rPr>
                <w:rFonts w:ascii="Calibri" w:hAnsi="Calibri"/>
                <w:sz w:val="20"/>
              </w:rPr>
              <w:t>Site License</w:t>
            </w:r>
          </w:p>
        </w:tc>
        <w:tc>
          <w:tcPr>
            <w:tcW w:type="dxa" w:w="3135"/>
            <w:shd w:val="clear" w:color="auto" w:fill="F2F2F2"/>
          </w:tcPr>
          <w:p>
            <w:r>
              <w:rPr>
                <w:rFonts w:ascii="Calibri" w:hAnsi="Calibri"/>
                <w:sz w:val="20"/>
              </w:rPr>
              <w:t>$85,000 / year</w:t>
            </w:r>
          </w:p>
        </w:tc>
        <w:tc>
          <w:tcPr>
            <w:tcW w:type="dxa" w:w="3135"/>
            <w:shd w:val="clear" w:color="auto" w:fill="F2F2F2"/>
          </w:tcPr>
          <w:p>
            <w:r>
              <w:rPr>
                <w:rFonts w:ascii="Calibri" w:hAnsi="Calibri"/>
                <w:sz w:val="20"/>
              </w:rPr>
              <w:t>Unlimited seats</w:t>
            </w:r>
          </w:p>
        </w:tc>
      </w:tr>
    </w:tbl>
    <w:p/>
    <w:p>
      <w:r>
        <w:rPr>
          <w:rFonts w:ascii="Calibri" w:hAnsi="Calibri"/>
          <w:sz w:val="22"/>
        </w:rPr>
        <w:t>Annual payment includes all updates, patches, and support during the term. Per-seat licenses are invoiced monthly in arrears.</w:t>
      </w:r>
    </w:p>
    <w:p>
      <w:r>
        <w:br w:type="page"/>
      </w:r>
    </w:p>
    <w:p>
      <w:pPr>
        <w:pStyle w:val="Heading1"/>
      </w:pPr>
      <w:r>
        <w:rPr>
          <w:rFonts w:ascii="Calibri" w:hAnsi="Calibri"/>
          <w:b/>
          <w:color w:val="1A3C6E"/>
          <w:sz w:val="32"/>
        </w:rPr>
        <w:t>3. Restrictions</w:t>
      </w:r>
    </w:p>
    <w:p>
      <w:r>
        <w:rPr>
          <w:rFonts w:ascii="Calibri" w:hAnsi="Calibri"/>
          <w:sz w:val="22"/>
        </w:rPr>
        <w:t>Licensee shall not:</w:t>
      </w:r>
    </w:p>
    <w:p>
      <w:pPr>
        <w:pStyle w:val="ListBullet"/>
      </w:pPr>
    </w:p>
    <w:p>
      <w:pPr>
        <w:pStyle w:val="ListBullet"/>
      </w:pPr>
    </w:p>
    <w:p>
      <w:pPr>
        <w:pStyle w:val="ListBullet"/>
      </w:pPr>
    </w:p>
    <w:p>
      <w:pPr>
        <w:pStyle w:val="ListBullet"/>
      </w:pPr>
    </w:p>
    <w:p>
      <w:pPr>
        <w:pStyle w:val="ListBullet"/>
      </w:pPr>
    </w:p>
    <w:p>
      <w:r>
        <w:rPr>
          <w:rFonts w:ascii="Calibri" w:hAnsi="Calibri"/>
          <w:sz w:val="22"/>
        </w:rPr>
        <w:t>Enterprise modules may include authentication/telemetry that verifies license validity. Circumvention is prohibited.</w:t>
      </w:r>
    </w:p>
    <w:p>
      <w:r>
        <w:br w:type="page"/>
      </w:r>
    </w:p>
    <w:p>
      <w:pPr>
        <w:pStyle w:val="Heading1"/>
      </w:pPr>
      <w:r>
        <w:rPr>
          <w:rFonts w:ascii="Calibri" w:hAnsi="Calibri"/>
          <w:b/>
          <w:color w:val="1A3C6E"/>
          <w:sz w:val="32"/>
        </w:rPr>
        <w:t>4. Ownership &amp; Intellectual Property</w:t>
      </w:r>
    </w:p>
    <w:p>
      <w:r>
        <w:rPr>
          <w:rFonts w:ascii="Calibri" w:hAnsi="Calibri"/>
          <w:sz w:val="22"/>
        </w:rPr>
        <w:t>Licensor retains all right, title, and interest in the Software, including modifications, enhancements, and derivative works created by Licensor. Licensee retains ownership of its own data and models. Licensor does not claim rights to Licensee's outputs or proprietary models trained using the Software.</w:t>
      </w:r>
    </w:p>
    <w:p>
      <w:r>
        <w:br w:type="page"/>
      </w:r>
    </w:p>
    <w:p>
      <w:pPr>
        <w:pStyle w:val="Heading1"/>
      </w:pPr>
      <w:r>
        <w:rPr>
          <w:rFonts w:ascii="Calibri" w:hAnsi="Calibri"/>
          <w:b/>
          <w:color w:val="1A3C6E"/>
          <w:sz w:val="32"/>
        </w:rPr>
        <w:t>5. Term &amp; Termination</w:t>
      </w:r>
    </w:p>
    <w:p>
      <w:pPr>
        <w:pStyle w:val="Heading2"/>
      </w:pPr>
      <w:r>
        <w:rPr>
          <w:rFonts w:ascii="Calibri" w:hAnsi="Calibri"/>
          <w:b/>
          <w:color w:val="1A3C6E"/>
          <w:sz w:val="26"/>
        </w:rPr>
        <w:t>Term</w:t>
      </w:r>
    </w:p>
    <w:p>
      <w:r>
        <w:rPr>
          <w:rFonts w:ascii="Calibri" w:hAnsi="Calibri"/>
          <w:sz w:val="22"/>
        </w:rPr>
        <w:t>This Agreement begins on the effective date and continues for the purchased period. Auto-renewal occurs unless either party provides 30 days' written notice.</w:t>
      </w:r>
    </w:p>
    <w:p>
      <w:pPr>
        <w:pStyle w:val="Heading2"/>
      </w:pPr>
      <w:r>
        <w:rPr>
          <w:rFonts w:ascii="Calibri" w:hAnsi="Calibri"/>
          <w:b/>
          <w:color w:val="1A3C6E"/>
          <w:sz w:val="26"/>
        </w:rPr>
        <w:t>Termination for Cause</w:t>
      </w:r>
    </w:p>
    <w:p>
      <w:r>
        <w:rPr>
          <w:rFonts w:ascii="Calibri" w:hAnsi="Calibri"/>
          <w:sz w:val="22"/>
        </w:rPr>
        <w:t>Either party may terminate for material breach uncured within 30 days. Licensee may terminate at any time; fees paid are non-refundable except for Licensor's uncured material breach.</w:t>
      </w:r>
    </w:p>
    <w:p>
      <w:pPr>
        <w:pStyle w:val="Heading2"/>
      </w:pPr>
      <w:r>
        <w:rPr>
          <w:rFonts w:ascii="Calibri" w:hAnsi="Calibri"/>
          <w:b/>
          <w:color w:val="1A3C6E"/>
          <w:sz w:val="26"/>
        </w:rPr>
        <w:t>Effects of Termination</w:t>
      </w:r>
    </w:p>
    <w:p>
      <w:r>
        <w:rPr>
          <w:rFonts w:ascii="Calibri" w:hAnsi="Calibri"/>
          <w:sz w:val="22"/>
        </w:rPr>
        <w:t>Upon termination, Licensee must cease enterprise-feature use, delete all copies and activation keys, and certify deletion in writing within 30 days. Licensor may retain Licensee's payment records per standard accounting. Perpetual obligations (Confidentiality, Indemnity, Limitation of Liability) survive termination.</w:t>
      </w:r>
    </w:p>
    <w:p>
      <w:r>
        <w:br w:type="page"/>
      </w:r>
    </w:p>
    <w:p>
      <w:pPr>
        <w:pStyle w:val="Heading1"/>
      </w:pPr>
      <w:r>
        <w:rPr>
          <w:rFonts w:ascii="Calibri" w:hAnsi="Calibri"/>
          <w:b/>
          <w:color w:val="1A3C6E"/>
          <w:sz w:val="32"/>
        </w:rPr>
        <w:t>6. Confidentiality</w:t>
      </w:r>
    </w:p>
    <w:p>
      <w:r>
        <w:rPr>
          <w:rFonts w:ascii="Calibri" w:hAnsi="Calibri"/>
          <w:sz w:val="22"/>
        </w:rPr>
        <w:t>Licensee's deployment configuration and model weights are Licensee's confidential information. Licensor's pricing and product roadmap are Licensor's confidential information. Neither party shall disclose the other's confidential information except to employees/contractors with a need-to-know under equivalent obligations.</w:t>
      </w:r>
    </w:p>
    <w:p>
      <w:r>
        <w:br w:type="page"/>
      </w:r>
    </w:p>
    <w:p>
      <w:pPr>
        <w:pStyle w:val="Heading1"/>
      </w:pPr>
      <w:r>
        <w:rPr>
          <w:rFonts w:ascii="Calibri" w:hAnsi="Calibri"/>
          <w:b/>
          <w:color w:val="1A3C6E"/>
          <w:sz w:val="32"/>
        </w:rPr>
        <w:t>7. Indemnification</w:t>
      </w:r>
    </w:p>
    <w:p>
      <w:r>
        <w:rPr>
          <w:rFonts w:ascii="Calibri" w:hAnsi="Calibri"/>
          <w:sz w:val="22"/>
        </w:rPr>
        <w:t>Licensor shall defend Licensee against third-party claims that the Software infringes a U.S. copyright or trade secret, provided Licensee gives prompt notice, sole control, and reasonable assistance. Licensor liability is capped under Section 8.</w:t>
      </w:r>
    </w:p>
    <w:p>
      <w:r>
        <w:br w:type="page"/>
      </w:r>
    </w:p>
    <w:p>
      <w:pPr>
        <w:pStyle w:val="Heading1"/>
      </w:pPr>
      <w:r>
        <w:rPr>
          <w:rFonts w:ascii="Calibri" w:hAnsi="Calibri"/>
          <w:b/>
          <w:color w:val="1A3C6E"/>
          <w:sz w:val="32"/>
        </w:rPr>
        <w:t>8. Limitation of Liability</w:t>
      </w:r>
    </w:p>
    <w:p>
      <w:r>
        <w:rPr>
          <w:rFonts w:ascii="Calibri" w:hAnsi="Calibri"/>
          <w:sz w:val="22"/>
        </w:rPr>
        <w:t>TO THE MAXIMUM EXTENT PERMITTED BY LAW, LICENSOR'S TOTAL AGGREGATE LIABILITY UNDER THIS AGREEMENT SHALL NOT EXCEED THE FEES PAID BY LICENSEE IN THE TWELVE (12) MONTHS PRECEDING THE CLAIM. IN NO EVENT SHALL LICENSOR BE LIABLE FOR INDIRECT, INCIDENTAL, SPECIAL, OR CONSEQUENTIAL DAMAGES, INCLUDING LOST PROFITS, LOST DATA, OR BUSINESS INTERRUPTION, EVEN IF ADVISED OF POSSIBILITY.</w:t>
      </w:r>
    </w:p>
    <w:p>
      <w:r>
        <w:br w:type="page"/>
      </w:r>
    </w:p>
    <w:p>
      <w:pPr>
        <w:pStyle w:val="Heading1"/>
      </w:pPr>
      <w:r>
        <w:rPr>
          <w:rFonts w:ascii="Calibri" w:hAnsi="Calibri"/>
          <w:b/>
          <w:color w:val="1A3C6E"/>
          <w:sz w:val="32"/>
        </w:rPr>
        <w:t>9. Governing Law &amp; Dispute Resolution</w:t>
      </w:r>
    </w:p>
    <w:p>
      <w:r>
        <w:rPr>
          <w:rFonts w:ascii="Calibri" w:hAnsi="Calibri"/>
          <w:sz w:val="22"/>
        </w:rPr>
        <w:t>This Agreement is governed by the laws of the State of Delaware, without regard to conflict-of-law principles. Disputes shall be resolved by binding arbitration in Wilmington, Delaware, under the rules of the American Arbitration Association, with each party bearing its own costs unless the arbitrator awards otherwise.</w:t>
      </w:r>
    </w:p>
    <w:p>
      <w:r>
        <w:br w:type="page"/>
      </w:r>
    </w:p>
    <w:p>
      <w:pPr>
        <w:pStyle w:val="Heading1"/>
      </w:pPr>
      <w:r>
        <w:rPr>
          <w:rFonts w:ascii="Calibri" w:hAnsi="Calibri"/>
          <w:b/>
          <w:color w:val="1A3C6E"/>
          <w:sz w:val="32"/>
        </w:rPr>
        <w:t>10. General</w:t>
      </w:r>
    </w:p>
    <w:p>
      <w:pPr>
        <w:pStyle w:val="ListBullet"/>
      </w:pPr>
    </w:p>
    <w:p>
      <w:pPr>
        <w:pStyle w:val="ListBullet"/>
      </w:pPr>
    </w:p>
    <w:p>
      <w:pPr>
        <w:pStyle w:val="ListBullet"/>
      </w:pPr>
    </w:p>
    <w:p>
      <w:pPr>
        <w:pStyle w:val="ListBullet"/>
      </w:pPr>
    </w:p>
    <w:p>
      <w:pPr>
        <w:spacing w:after="160"/>
        <w:pBdr>
          <w:bottom w:val="single" w:sz="6" w:space="1" w:color="1A3C6E"/>
        </w:pBdr>
      </w:pPr>
    </w:p>
    <w:p>
      <w:r>
        <w:rPr>
          <w:rFonts w:ascii="Calibri" w:hAnsi="Calibri"/>
          <w:sz w:val="22"/>
        </w:rPr>
        <w:t>By using NeuralMind Enterprise features or signing an Order Form referencing this Agreement, Licensee agrees to these terms.</w:t>
      </w:r>
    </w:p>
    <w:p/>
    <w:p>
      <w:pPr>
        <w:jc w:val="left"/>
      </w:pPr>
      <w:r>
        <w:rPr>
          <w:rFonts w:ascii="Calibri" w:hAnsi="Calibri"/>
          <w:b/>
          <w:color w:val="1A3C6E"/>
          <w:sz w:val="22"/>
        </w:rPr>
        <w:t>NeuralMind, Inc. — contact@neuralmind.io</w:t>
      </w:r>
    </w:p>
    <w:sectPr w:rsidR="00FC693F" w:rsidRPr="0006063C" w:rsidSect="00034616">
      <w:headerReference w:type="default" r:id="rId9"/>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Bdr>
        <w:bottom w:val="single" w:sz="6" w:space="1" w:color="1A3C6E"/>
      </w:pBdr>
    </w:pPr>
    <w:r>
      <w:rPr>
        <w:rFonts w:ascii="Calibri" w:hAnsi="Calibri"/>
        <w:b/>
        <w:color w:val="1A3C6E"/>
        <w:sz w:val="18"/>
      </w:rPr>
      <w:t>NeuralMind | Commercial License | Confidential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