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Annual Report 2026</w:t>
      </w:r>
    </w:p>
    <w:p>
      <w:pPr>
        <w:pStyle w:val="Heading1"/>
      </w:pPr>
      <w:r>
        <w:t>Introduction</w:t>
      </w:r>
    </w:p>
    <w:p>
      <w:r>
        <w:t>This annual report provides an overview of company performance for 2026. Revenue grew by 25 percent year-over-year driven by new product launches and geographic expansion across multiple markets.</w:t>
      </w:r>
    </w:p>
    <w:p>
      <w:pPr>
        <w:pStyle w:val="Heading1"/>
      </w:pPr>
      <w:r>
        <w:t>Financial Summary</w:t>
      </w:r>
    </w:p>
    <w:p>
      <w:r>
        <w:t>The company reported strong financial results. Total revenue reached 50 million USD representing a 25 percent increase from the previous year.</w:t>
      </w:r>
    </w:p>
    <w:p>
      <w:pPr>
        <w:pStyle w:val="Heading2"/>
      </w:pPr>
      <w:r>
        <w:t>Revenue Details</w:t>
      </w:r>
    </w:p>
    <w:p>
      <w:r>
        <w:t>Product revenue accounted for 70 percent of total revenue while services contributed 30 percent.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Region</w:t>
            </w:r>
          </w:p>
        </w:tc>
        <w:tc>
          <w:tcPr>
            <w:tcW w:type="dxa" w:w="2880"/>
          </w:tcPr>
          <w:p>
            <w:r>
              <w:t>Q1</w:t>
            </w:r>
          </w:p>
        </w:tc>
        <w:tc>
          <w:tcPr>
            <w:tcW w:type="dxa" w:w="2880"/>
          </w:tcPr>
          <w:p>
            <w:r>
              <w:t>Q2</w:t>
            </w:r>
          </w:p>
        </w:tc>
      </w:tr>
      <w:tr>
        <w:tc>
          <w:tcPr>
            <w:tcW w:type="dxa" w:w="2880"/>
          </w:tcPr>
          <w:p>
            <w:r>
              <w:t>North America</w:t>
            </w:r>
          </w:p>
        </w:tc>
        <w:tc>
          <w:tcPr>
            <w:tcW w:type="dxa" w:w="2880"/>
          </w:tcPr>
          <w:p>
            <w:r>
              <w:t>5.2M</w:t>
            </w:r>
          </w:p>
        </w:tc>
        <w:tc>
          <w:tcPr>
            <w:tcW w:type="dxa" w:w="2880"/>
          </w:tcPr>
          <w:p>
            <w:r>
              <w:t>6.1M</w:t>
            </w:r>
          </w:p>
        </w:tc>
      </w:tr>
      <w:tr>
        <w:tc>
          <w:tcPr>
            <w:tcW w:type="dxa" w:w="2880"/>
          </w:tcPr>
          <w:p>
            <w:r>
              <w:t>Europe</w:t>
            </w:r>
          </w:p>
        </w:tc>
        <w:tc>
          <w:tcPr>
            <w:tcW w:type="dxa" w:w="2880"/>
          </w:tcPr>
          <w:p>
            <w:r>
              <w:t>3.1M</w:t>
            </w:r>
          </w:p>
        </w:tc>
        <w:tc>
          <w:tcPr>
            <w:tcW w:type="dxa" w:w="2880"/>
          </w:tcPr>
          <w:p>
            <w:r>
              <w:t>3.8M</w:t>
            </w:r>
          </w:p>
        </w:tc>
      </w:tr>
    </w:tbl>
    <w:p>
      <w:pPr>
        <w:pStyle w:val="Heading1"/>
      </w:pPr>
      <w:r>
        <w:t>Methods</w:t>
      </w:r>
    </w:p>
    <w:p>
      <w:r>
        <w:t>Our methodology combines quantitative analysis with qualitative research to provide comprehensive insights.</w:t>
      </w:r>
    </w:p>
    <w:p>
      <w:pPr>
        <w:pStyle w:val="Heading1"/>
      </w:pPr>
      <w:r>
        <w:t>Results</w:t>
      </w:r>
    </w:p>
    <w:p>
      <w:r>
        <w:t>Key results include 25 percent revenue growth and successful launch of three new products.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