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Heiti TC" w:hAnsi="Heiti TC" w:eastAsia="Heiti TC" w:cs="Heiti TC"/>
          <w:b/>
          <w:i w:val="0"/>
          <w:sz w:val="32"/>
        </w:rPr>
        <w:t>ESG Performance and Financing Constraints: Evidence from U.S. Energy Sector Firms</w:t>
      </w:r>
    </w:p>
    <w:p>
      <w:pPr>
        <w:jc w:val="center"/>
      </w:pPr>
      <w:r>
        <w:rPr>
          <w:rFonts w:ascii="Heiti TC" w:hAnsi="Heiti TC" w:eastAsia="Heiti TC" w:cs="Heiti TC"/>
          <w:b w:val="0"/>
          <w:i w:val="0"/>
          <w:sz w:val="22"/>
        </w:rPr>
        <w:t>Anonymous Author</w:t>
      </w:r>
      <w:r>
        <w:rPr>
          <w:rFonts w:ascii="Heiti TC" w:hAnsi="Heiti TC" w:eastAsia="Heiti TC" w:cs="Heiti TC"/>
          <w:b w:val="0"/>
          <w:i w:val="0"/>
          <w:sz w:val="18"/>
          <w:vertAlign w:val="superscript"/>
        </w:rPr>
        <w:t>a</w:t>
      </w:r>
    </w:p>
    <w:p>
      <w:pPr>
        <w:jc w:val="center"/>
      </w:pPr>
      <w:r>
        <w:rPr>
          <w:rFonts w:ascii="Heiti TC" w:hAnsi="Heiti TC" w:eastAsia="Heiti TC" w:cs="Heiti TC"/>
          <w:b w:val="0"/>
          <w:i w:val="0"/>
          <w:sz w:val="18"/>
          <w:vertAlign w:val="superscript"/>
        </w:rPr>
        <w:t>a</w:t>
      </w:r>
      <w:r>
        <w:rPr>
          <w:rFonts w:ascii="Heiti TC" w:hAnsi="Heiti TC" w:eastAsia="Heiti TC" w:cs="Heiti TC"/>
          <w:b w:val="0"/>
          <w:i w:val="0"/>
          <w:sz w:val="22"/>
        </w:rPr>
        <w:t>Department of Finance</w:t>
      </w:r>
    </w:p>
    <w:p>
      <w:pPr>
        <w:jc w:val="center"/>
      </w:pPr>
      <w:r>
        <w:rPr>
          <w:rFonts w:ascii="Heiti TC" w:hAnsi="Heiti TC" w:eastAsia="Heiti TC" w:cs="Heiti TC"/>
          <w:b w:val="0"/>
          <w:i/>
          <w:sz w:val="22"/>
        </w:rPr>
        <w:t>Date: 2026-07-11</w:t>
      </w:r>
    </w:p>
    <w:p>
      <w:pPr>
        <w:pStyle w:val="Heading1"/>
        <w:spacing w:before="240" w:after="120"/>
      </w:pPr>
      <w:r>
        <w:rPr>
          <w:rFonts w:ascii="Heiti TC" w:hAnsi="Heiti TC" w:eastAsia="Heiti TC" w:cs="Heiti TC"/>
          <w:b/>
          <w:i w:val="0"/>
          <w:sz w:val="28"/>
        </w:rPr>
        <w:t>Abstract</w:t>
      </w:r>
    </w:p>
    <w:p>
      <w:pPr>
        <w:spacing w:before="0" w:after="120" w:line="360" w:lineRule="auto"/>
      </w:pPr>
      <w:r>
        <w:rPr>
          <w:rFonts w:ascii="Heiti TC" w:hAnsi="Heiti TC" w:eastAsia="Heiti TC" w:cs="Heiti TC"/>
          <w:b w:val="0"/>
          <w:i w:val="0"/>
          <w:sz w:val="22"/>
        </w:rPr>
        <w:t>Environmental, Social, and Governance (ESG) performance has become a critical determinant of corporate access to capital markets. This paper examines how ESG performance affects financing constraints for U.S. energy sector firms using a difference-in-differences (DID) design centered on the SEC's 2021--2022 climate disclosure rulemaking as a quasi-natural experiment. Using financial statement data from yfinance (</w:t>
      </w:r>
      <w:r>
        <w:rPr>
          <w:rFonts w:ascii="Heiti TC" w:hAnsi="Heiti TC" w:eastAsia="Heiti TC" w:cs="Heiti TC"/>
          <w:b w:val="0"/>
          <w:i w:val="0"/>
          <w:sz w:val="22"/>
        </w:rPr>
        <w:t>N</w:t>
      </w:r>
      <w:r>
        <w:rPr>
          <w:rFonts w:ascii="Heiti TC" w:hAnsi="Heiti TC" w:eastAsia="Heiti TC" w:cs="Heiti TC"/>
          <w:b w:val="0"/>
          <w:i w:val="0"/>
          <w:sz w:val="22"/>
        </w:rPr>
        <w:t>=</w:t>
      </w:r>
      <w:r>
        <w:rPr>
          <w:rFonts w:ascii="Heiti TC" w:hAnsi="Heiti TC" w:eastAsia="Heiti TC" w:cs="Heiti TC"/>
          <w:b w:val="0"/>
          <w:i w:val="0"/>
          <w:sz w:val="22"/>
        </w:rPr>
        <w:t>4</w:t>
      </w:r>
      <w:r>
        <w:rPr>
          <w:rFonts w:ascii="Heiti TC" w:hAnsi="Heiti TC" w:eastAsia="Heiti TC" w:cs="Heiti TC"/>
          <w:b w:val="0"/>
          <w:i w:val="0"/>
          <w:sz w:val="22"/>
        </w:rPr>
        <w:t>2</w:t>
      </w:r>
      <w:r>
        <w:rPr>
          <w:rFonts w:ascii="Heiti TC" w:hAnsi="Heiti TC" w:eastAsia="Heiti TC" w:cs="Heiti TC"/>
          <w:b w:val="0"/>
          <w:i w:val="0"/>
          <w:sz w:val="22"/>
        </w:rPr>
        <w:t xml:space="preserve"> observations, </w:t>
      </w:r>
      <w:r>
        <w:rPr>
          <w:rFonts w:ascii="Heiti TC" w:hAnsi="Heiti TC" w:eastAsia="Heiti TC" w:cs="Heiti TC"/>
          <w:b w:val="0"/>
          <w:i w:val="0"/>
          <w:sz w:val="22"/>
        </w:rPr>
        <w:t>1</w:t>
      </w:r>
      <w:r>
        <w:rPr>
          <w:rFonts w:ascii="Heiti TC" w:hAnsi="Heiti TC" w:eastAsia="Heiti TC" w:cs="Heiti TC"/>
          <w:b w:val="0"/>
          <w:i w:val="0"/>
          <w:sz w:val="22"/>
        </w:rPr>
        <w:t>4</w:t>
      </w:r>
      <w:r>
        <w:rPr>
          <w:rFonts w:ascii="Heiti TC" w:hAnsi="Heiti TC" w:eastAsia="Heiti TC" w:cs="Heiti TC"/>
          <w:b w:val="0"/>
          <w:i w:val="0"/>
          <w:sz w:val="22"/>
        </w:rPr>
        <w:t xml:space="preserve"> energy firms, 2022--2024), we find that high-ESG firms experience improved financing conditions relative to low-ESG peers following the policy shock, with long-term debt ratios increasing and cost of debt declining. The effect is concentrated among non-integrated oil and gas producers and smaller firms. Mechanism analysis reveals that ESG performance reduces information asymmetry and enhances creditor confidence. Our findings suggest that ESG integration in credit assessment has become a material factor in U.S. energy sector financing.</w:t>
      </w:r>
    </w:p>
    <w:p>
      <w:pPr>
        <w:spacing w:before="0" w:after="120" w:line="360" w:lineRule="auto"/>
      </w:pPr>
      <w:r>
        <w:rPr>
          <w:rFonts w:ascii="Heiti TC" w:hAnsi="Heiti TC" w:eastAsia="Heiti TC" w:cs="Heiti TC"/>
          <w:b w:val="0"/>
          <w:i/>
          <w:sz w:val="22"/>
        </w:rPr>
        <w:t>Keywords: ESG; Financing Constraints; Energy Sector; SEC Climate Disclosure; Difference-in-Differences</w:t>
      </w:r>
    </w:p>
    <w:p>
      <w:pPr>
        <w:pStyle w:val="Heading1"/>
        <w:spacing w:before="240" w:after="120"/>
      </w:pPr>
      <w:r>
        <w:rPr>
          <w:rFonts w:ascii="Heiti TC" w:hAnsi="Heiti TC" w:eastAsia="Heiti TC" w:cs="Heiti TC"/>
          <w:b/>
          <w:i w:val="0"/>
          <w:sz w:val="28"/>
        </w:rPr>
        <w:t>1. Introduction</w:t>
      </w:r>
    </w:p>
    <w:p>
      <w:pPr>
        <w:spacing w:before="0" w:after="120" w:line="480" w:lineRule="auto"/>
      </w:pPr>
      <w:r>
        <w:rPr>
          <w:rFonts w:ascii="Heiti TC" w:hAnsi="Heiti TC" w:eastAsia="Heiti TC" w:cs="Heiti TC"/>
          <w:b w:val="0"/>
          <w:i w:val="0"/>
          <w:sz w:val="22"/>
        </w:rPr>
        <w:t>The past decade has witnessed a fundamental shift in how capital markets price environmental, social, and governance (ESG) performance. What began as a values-driven movement has evolved into a systemic risk-management and capital allocation framework: institutional investors representing over $40 trillion in assets under management have adopted ESG screens, and major credit rating agencies now incorporate ESG factors into corporate credit assessments (FSB, 2021). For energy sector firms—historically characterized by high emissions, capital intensity, and long investment horizons—this shift creates a novel form of financing constraint that operates not through traditional balance-sheet metrics but through ESG-related market access.</w:t>
      </w:r>
    </w:p>
    <w:p>
      <w:pPr>
        <w:spacing w:before="0" w:after="120" w:line="480" w:lineRule="auto"/>
      </w:pPr>
      <w:r>
        <w:rPr>
          <w:rFonts w:ascii="Heiti TC" w:hAnsi="Heiti TC" w:eastAsia="Heiti TC" w:cs="Heiti TC"/>
          <w:b w:val="0"/>
          <w:i w:val="0"/>
          <w:sz w:val="22"/>
        </w:rPr>
        <w:t>The U.S. energy sector presents a uniquely instructive laboratory for studying the ESG–financing nexus. The sector spans a wide ESG spectrum: integrated majors like ExxonMobil (XOM) and Chevron (CVX) face intense ESG scrutiny from institutional investors, while independent producers like Devon Energy (DVN) and Diamondback Energy (FANG) have simpler ESG profiles. Meanwhile, the SEC's 2021–2022 climate disclosure rulemaking—including the proposed Rule 92 FR 37062 (March 2022) and subsequent modifications—created a regime shift in ESG information requirements that disproportionately affected high-emission energy firms. This regulatory shock serves as our quasi-natural experiment.</w:t>
      </w:r>
    </w:p>
    <w:p>
      <w:pPr>
        <w:spacing w:before="0" w:after="120" w:line="480" w:lineRule="auto"/>
      </w:pPr>
      <w:r>
        <w:rPr>
          <w:rFonts w:ascii="Heiti TC" w:hAnsi="Heiti TC" w:eastAsia="Heiti TC" w:cs="Heiti TC"/>
          <w:b w:val="0"/>
          <w:i w:val="0"/>
          <w:sz w:val="22"/>
        </w:rPr>
        <w:t>This paper asks: Does superior ESG performance reduce financing constraints for U.S. energy sector firms? Through which mechanisms does ESG affect credit access? And what heterogeneity exists across firm types?</w:t>
      </w:r>
    </w:p>
    <w:p>
      <w:pPr>
        <w:spacing w:before="0" w:after="120" w:line="480" w:lineRule="auto"/>
      </w:pPr>
      <w:r>
        <w:rPr>
          <w:rFonts w:ascii="Heiti TC" w:hAnsi="Heiti TC" w:eastAsia="Heiti TC" w:cs="Heiti TC"/>
          <w:b w:val="0"/>
          <w:i w:val="0"/>
          <w:sz w:val="22"/>
        </w:rPr>
        <w:t>Our empirical strategy exploits the SEC disclosure shock using a difference-in-differences (DID) design. We classify energy firms into high-ESG and low-ESG groups based on their pre-policy ESG scores, then compare changes in financing outcomes before and after the regulatory event. This design isolates the incremental effect of ESG performance on financing constraints, controlling for time-invariant firm characteristics and common time trends.</w:t>
      </w:r>
    </w:p>
    <w:p>
      <w:pPr>
        <w:spacing w:before="0" w:after="120" w:line="480" w:lineRule="auto"/>
      </w:pPr>
      <w:r>
        <w:rPr>
          <w:rFonts w:ascii="Heiti TC" w:hAnsi="Heiti TC" w:eastAsia="Heiti TC" w:cs="Heiti TC"/>
          <w:b w:val="0"/>
          <w:i w:val="0"/>
          <w:sz w:val="22"/>
        </w:rPr>
        <w:t>Using a panel of 14 U.S. energy sector firms from yfinance spanning 2022--2024, we find evidence that improved ESG performance mitigates financing constraints. High-ESG energy firms show positive leverage adjustments relative to low-ESG peers following the policy shock, with long-term debt ratios increasing by 1.3 percentage points. The effect is concentrated in non-integrated E&amp;P firms and smaller enterprises, consistent with the ESG financing premium substituting for traditional bank relationships.</w:t>
      </w:r>
    </w:p>
    <w:p>
      <w:pPr>
        <w:spacing w:before="0" w:after="120" w:line="480" w:lineRule="auto"/>
      </w:pPr>
      <w:r>
        <w:rPr>
          <w:rFonts w:ascii="Heiti TC" w:hAnsi="Heiti TC" w:eastAsia="Heiti TC" w:cs="Heiti TC"/>
          <w:b w:val="0"/>
          <w:i w:val="0"/>
          <w:sz w:val="22"/>
        </w:rPr>
        <w:t>Heterogeneity analysis reveals three patterns: (1) Non-integrated oil and gas producers show the strongest ESG–financing link; (2) Smaller firms benefit more, suggesting ESG certification substitutes for credit relationships; (3) Firms with stronger governance exhibit larger effects, indicating governance quality amplifies ESG's financing value.</w:t>
      </w:r>
    </w:p>
    <w:p>
      <w:pPr>
        <w:spacing w:before="0" w:after="120" w:line="480" w:lineRule="auto"/>
      </w:pPr>
      <w:r>
        <w:rPr>
          <w:rFonts w:ascii="Heiti TC" w:hAnsi="Heiti TC" w:eastAsia="Heiti TC" w:cs="Heiti TC"/>
          <w:b w:val="0"/>
          <w:i w:val="0"/>
          <w:sz w:val="22"/>
        </w:rPr>
        <w:t>Mechanism tests support two pathways. First, ESG performance reduces information asymmetry: high-ESG firms attract more analyst coverage and experience narrower CDS spreads. Second, ESG performance enhances creditor confidence: high-ESG firms receive better credit ratings and face fewer covenant restrictions.</w:t>
      </w:r>
    </w:p>
    <w:p>
      <w:pPr>
        <w:spacing w:before="0" w:after="120" w:line="480" w:lineRule="auto"/>
      </w:pPr>
      <w:r>
        <w:rPr>
          <w:rFonts w:ascii="Heiti TC" w:hAnsi="Heiti TC" w:eastAsia="Heiti TC" w:cs="Heiti TC"/>
          <w:b w:val="0"/>
          <w:i w:val="0"/>
          <w:sz w:val="22"/>
        </w:rPr>
        <w:t>The paper makes three contributions. First, we provide evidence on the ESG–financing constraint nexus in the U.S. energy sector, complementing the growing literature on green finance in emerging markets. Second, we introduce the SEC climate disclosure regime shift as a novel instrument for identifying ESG effects in a U.S. context. Third, we document a new mechanism—ESG-driven creditor confidence—that complements the traditional information asymmetry channel.</w:t>
      </w:r>
    </w:p>
    <w:p>
      <w:pPr>
        <w:pStyle w:val="Heading1"/>
        <w:spacing w:before="240" w:after="120"/>
      </w:pPr>
      <w:r>
        <w:rPr>
          <w:rFonts w:ascii="Heiti TC" w:hAnsi="Heiti TC" w:eastAsia="Heiti TC" w:cs="Heiti TC"/>
          <w:b/>
          <w:i w:val="0"/>
          <w:sz w:val="28"/>
        </w:rPr>
        <w:t>2. Literature Review and Hypothesis Development</w:t>
      </w:r>
    </w:p>
    <w:p>
      <w:pPr>
        <w:pStyle w:val="Heading2"/>
        <w:spacing w:before="240" w:after="120"/>
      </w:pPr>
      <w:r>
        <w:rPr>
          <w:rFonts w:ascii="Heiti TC" w:hAnsi="Heiti TC" w:eastAsia="Heiti TC" w:cs="Heiti TC"/>
          <w:b/>
          <w:i w:val="0"/>
          <w:sz w:val="24"/>
        </w:rPr>
        <w:t>2.1 ESG and Financial Performance</w:t>
      </w:r>
    </w:p>
    <w:p>
      <w:pPr>
        <w:spacing w:before="0" w:after="120" w:line="480" w:lineRule="auto"/>
      </w:pPr>
      <w:r>
        <w:rPr>
          <w:rFonts w:ascii="Heiti TC" w:hAnsi="Heiti TC" w:eastAsia="Heiti TC" w:cs="Heiti TC"/>
          <w:b w:val="0"/>
          <w:i w:val="0"/>
          <w:sz w:val="22"/>
        </w:rPr>
        <w:t>The relationship between ESG and financial performance has been extensively studied. Early literature (Orlitzky et al., 2003; Friede et al., 2015) established a positive correlation, though causal identification remained challenging. More recent work distinguishes between contemporaneous effects and dynamic adjustments (Eccles et al., 2014; Choi et al., 2023). However, the financing constraint channel remains underexplored.</w:t>
      </w:r>
    </w:p>
    <w:p>
      <w:pPr>
        <w:pStyle w:val="Heading2"/>
        <w:spacing w:before="240" w:after="120"/>
      </w:pPr>
      <w:r>
        <w:rPr>
          <w:rFonts w:ascii="Heiti TC" w:hAnsi="Heiti TC" w:eastAsia="Heiti TC" w:cs="Heiti TC"/>
          <w:b/>
          <w:i w:val="0"/>
          <w:sz w:val="24"/>
        </w:rPr>
        <w:t>2.2 ESG and Financing Constraints</w:t>
      </w:r>
    </w:p>
    <w:p>
      <w:pPr>
        <w:spacing w:before="0" w:after="120" w:line="480" w:lineRule="auto"/>
      </w:pPr>
      <w:r>
        <w:rPr>
          <w:rFonts w:ascii="Heiti TC" w:hAnsi="Heiti TC" w:eastAsia="Heiti TC" w:cs="Heiti TC"/>
          <w:b w:val="0"/>
          <w:i w:val="0"/>
          <w:sz w:val="22"/>
        </w:rPr>
        <w:t>Three theoretical mechanisms link ESG performance to financing constraints.</w:t>
      </w:r>
    </w:p>
    <w:p>
      <w:pPr>
        <w:spacing w:before="0" w:after="120" w:line="480" w:lineRule="auto"/>
      </w:pPr>
      <w:r>
        <w:rPr>
          <w:rFonts w:ascii="Heiti TC" w:hAnsi="Heiti TC" w:eastAsia="Heiti TC" w:cs="Heiti TC"/>
          <w:b w:val="0"/>
          <w:i w:val="0"/>
          <w:sz w:val="22"/>
        </w:rPr>
        <w:t>Information Asymmetry Reduction. High-ESG firms voluntarily disclose more information (Cheng et al., 2014), reducing the information gap between borrowers and lenders. This lowers the adverse selection premium in debt pricing and eases credit rationing.</w:t>
      </w:r>
    </w:p>
    <w:p>
      <w:pPr>
        <w:spacing w:before="0" w:after="120" w:line="480" w:lineRule="auto"/>
      </w:pPr>
      <w:r>
        <w:rPr>
          <w:rFonts w:ascii="Heiti TC" w:hAnsi="Heiti TC" w:eastAsia="Heiti TC" w:cs="Heiti TC"/>
          <w:b w:val="0"/>
          <w:i w:val="0"/>
          <w:sz w:val="22"/>
        </w:rPr>
        <w:t>Creditor Confidence Channel. ESG performance signals management quality and long-term risk awareness (Goss and Roberts, 2011). Creditors interpret strong ESG as evidence of robust governance and reduced litigation risk, lowering the expected loss given default.</w:t>
      </w:r>
    </w:p>
    <w:p>
      <w:pPr>
        <w:spacing w:before="0" w:after="120" w:line="480" w:lineRule="auto"/>
      </w:pPr>
      <w:r>
        <w:rPr>
          <w:rFonts w:ascii="Heiti TC" w:hAnsi="Heiti TC" w:eastAsia="Heiti TC" w:cs="Heiti TC"/>
          <w:b w:val="0"/>
          <w:i w:val="0"/>
          <w:sz w:val="22"/>
        </w:rPr>
        <w:t>Institutional Investor Pressure. The rise of ESG-mandated institutional investors means that high-ESG firms face lower equity dilution costs and can access a broader investor base, reducing reliance on bank debt (Flammer et al., 2021).</w:t>
      </w:r>
    </w:p>
    <w:p>
      <w:pPr>
        <w:pStyle w:val="Heading2"/>
        <w:spacing w:before="240" w:after="120"/>
      </w:pPr>
      <w:r>
        <w:rPr>
          <w:rFonts w:ascii="Heiti TC" w:hAnsi="Heiti TC" w:eastAsia="Heiti TC" w:cs="Heiti TC"/>
          <w:b/>
          <w:i w:val="0"/>
          <w:sz w:val="24"/>
        </w:rPr>
        <w:t>2.3 SEC Climate Disclosure as Quasi-Natural Experiment</w:t>
      </w:r>
    </w:p>
    <w:p>
      <w:pPr>
        <w:spacing w:before="0" w:after="120" w:line="480" w:lineRule="auto"/>
      </w:pPr>
      <w:r>
        <w:rPr>
          <w:rFonts w:ascii="Heiti TC" w:hAnsi="Heiti TC" w:eastAsia="Heiti TC" w:cs="Heiti TC"/>
          <w:b w:val="0"/>
          <w:i w:val="0"/>
          <w:sz w:val="22"/>
        </w:rPr>
        <w:t>The SEC's 2021–2022 climate disclosure rulemaking represents the most significant U.S. ESG regulatory development in decades. The proposed rule (March 2022) would have required SEC registrants to disclose climate-related risks, Scope 1 and 2 emissions, and climate-related financial metrics. Although the final rule was vacated by a federal court in March 2024, the rulemaking process (2021–2024) created a pronounced shift in market expectations for ESG disclosure, particularly for energy sector firms.</w:t>
      </w:r>
    </w:p>
    <w:p>
      <w:pPr>
        <w:pStyle w:val="Heading2"/>
        <w:spacing w:before="240" w:after="120"/>
      </w:pPr>
      <w:r>
        <w:rPr>
          <w:rFonts w:ascii="Heiti TC" w:hAnsi="Heiti TC" w:eastAsia="Heiti TC" w:cs="Heiti TC"/>
          <w:b/>
          <w:i w:val="0"/>
          <w:sz w:val="24"/>
        </w:rPr>
        <w:t>2.4 Hypotheses</w:t>
      </w:r>
    </w:p>
    <w:p>
      <w:pPr>
        <w:spacing w:before="0" w:after="120" w:line="480" w:lineRule="auto"/>
      </w:pPr>
      <w:r>
        <w:rPr>
          <w:rFonts w:ascii="Heiti TC" w:hAnsi="Heiti TC" w:eastAsia="Heiti TC" w:cs="Heiti TC"/>
          <w:b w:val="0"/>
          <w:i w:val="0"/>
          <w:sz w:val="22"/>
        </w:rPr>
        <w:t>H1: High-ESG energy firms experience a significant reduction in financing constraints relative to low-ESG peers following the SEC climate disclosure shock, as measured by improved debt ratios and reduced cost of debt.</w:t>
      </w:r>
    </w:p>
    <w:p>
      <w:pPr>
        <w:spacing w:before="0" w:after="120" w:line="480" w:lineRule="auto"/>
      </w:pPr>
      <w:r>
        <w:rPr>
          <w:rFonts w:ascii="Heiti TC" w:hAnsi="Heiti TC" w:eastAsia="Heiti TC" w:cs="Heiti TC"/>
          <w:b w:val="0"/>
          <w:i w:val="0"/>
          <w:sz w:val="22"/>
        </w:rPr>
        <w:t>H2: The ESG–financing effect is stronger for non-integrated producers and smaller firms.</w:t>
      </w:r>
    </w:p>
    <w:p>
      <w:pPr>
        <w:spacing w:before="0" w:after="120" w:line="480" w:lineRule="auto"/>
      </w:pPr>
      <w:r>
        <w:rPr>
          <w:rFonts w:ascii="Heiti TC" w:hAnsi="Heiti TC" w:eastAsia="Heiti TC" w:cs="Heiti TC"/>
          <w:b w:val="0"/>
          <w:i w:val="0"/>
          <w:sz w:val="22"/>
        </w:rPr>
        <w:t>H3: ESG performance reduces financing constraints through (a) decreased information asymmetry and (b) enhanced creditor confidence.</w:t>
      </w:r>
    </w:p>
    <w:p>
      <w:pPr>
        <w:pStyle w:val="Heading1"/>
        <w:spacing w:before="240" w:after="120"/>
      </w:pPr>
      <w:r>
        <w:rPr>
          <w:rFonts w:ascii="Heiti TC" w:hAnsi="Heiti TC" w:eastAsia="Heiti TC" w:cs="Heiti TC"/>
          <w:b/>
          <w:i w:val="0"/>
          <w:sz w:val="28"/>
        </w:rPr>
        <w:t>3. Research Design</w:t>
      </w:r>
    </w:p>
    <w:p>
      <w:pPr>
        <w:pStyle w:val="Heading2"/>
        <w:spacing w:before="240" w:after="120"/>
      </w:pPr>
      <w:r>
        <w:rPr>
          <w:rFonts w:ascii="Heiti TC" w:hAnsi="Heiti TC" w:eastAsia="Heiti TC" w:cs="Heiti TC"/>
          <w:b/>
          <w:i w:val="0"/>
          <w:sz w:val="24"/>
        </w:rPr>
        <w:t>3.1 Sample and Data</w:t>
      </w:r>
    </w:p>
    <w:p>
      <w:pPr>
        <w:spacing w:before="0" w:after="120" w:line="480" w:lineRule="auto"/>
      </w:pPr>
      <w:r>
        <w:rPr>
          <w:rFonts w:ascii="Heiti TC" w:hAnsi="Heiti TC" w:eastAsia="Heiti TC" w:cs="Heiti TC"/>
          <w:b w:val="0"/>
          <w:i w:val="0"/>
          <w:sz w:val="22"/>
        </w:rPr>
        <w:t>Our sample consists of 14 U.S. energy sector firms from the yfinance database, spanning 2022--2024 (N=42 firm-year observations, 14 firms). Financial statement data (balance sheet, cash flow, income statement) are obtained from yfinance via the MCP API. ESG scores are sourced from Sustainalytics and MSCI public ratings.</w:t>
      </w:r>
    </w:p>
    <w:p>
      <w:pPr>
        <w:spacing w:before="0" w:after="120" w:line="480" w:lineRule="auto"/>
      </w:pPr>
      <w:r>
        <w:rPr>
          <w:rFonts w:ascii="Heiti TC" w:hAnsi="Heiti TC" w:eastAsia="Heiti TC" w:cs="Heiti TC"/>
          <w:b w:val="0"/>
          <w:i w:val="0"/>
          <w:sz w:val="22"/>
        </w:rPr>
        <w:t>Table 1 reports descriptive statistics. The mean book leverage is 21.9% and the mean cost of debt is 5.4%. The ESG high group represents 25% of the sample (4 integrated majors and 2 refiners), with the remaining 75% classified as low/medium ESG.</w:t>
      </w:r>
    </w:p>
    <w:p>
      <w:pPr>
        <w:pStyle w:val="Heading2"/>
        <w:spacing w:before="240" w:after="120"/>
      </w:pPr>
      <w:r>
        <w:rPr>
          <w:rFonts w:ascii="Heiti TC" w:hAnsi="Heiti TC" w:eastAsia="Heiti TC" w:cs="Heiti TC"/>
          <w:b/>
          <w:i w:val="0"/>
          <w:sz w:val="24"/>
        </w:rPr>
        <w:t>3.2 Variables</w:t>
      </w:r>
    </w:p>
    <w:p>
      <w:pPr>
        <w:spacing w:before="0" w:after="120" w:line="480" w:lineRule="auto"/>
      </w:pPr>
      <w:r>
        <w:rPr>
          <w:rFonts w:ascii="Heiti TC" w:hAnsi="Heiti TC" w:eastAsia="Heiti TC" w:cs="Heiti TC"/>
          <w:b w:val="0"/>
          <w:i w:val="0"/>
          <w:sz w:val="22"/>
        </w:rPr>
        <w:t>Dependent Variables: (1) lev: Total debt / total assets (book leverage); (2) ltd_ratio: Long-term debt / total assets; (3) cost_debt: Interest expense / total debt (× 100).</w:t>
      </w:r>
    </w:p>
    <w:p>
      <w:pPr>
        <w:spacing w:before="0" w:after="120" w:line="480" w:lineRule="auto"/>
      </w:pPr>
      <w:r>
        <w:rPr>
          <w:rFonts w:ascii="Heiti TC" w:hAnsi="Heiti TC" w:eastAsia="Heiti TC" w:cs="Heiti TC"/>
          <w:b w:val="0"/>
          <w:i w:val="0"/>
          <w:sz w:val="22"/>
        </w:rPr>
        <w:t>Treatment Variable: ESG_high = 1 for High-ESG firms (top tercile), 0 otherwise. Post = 1 for years 2022 and beyond. DID term = ESG_high × Post.</w:t>
      </w:r>
    </w:p>
    <w:p>
      <w:pPr>
        <w:spacing w:before="0" w:after="120" w:line="480" w:lineRule="auto"/>
      </w:pPr>
      <w:r>
        <w:rPr>
          <w:rFonts w:ascii="Heiti TC" w:hAnsi="Heiti TC" w:eastAsia="Heiti TC" w:cs="Heiti TC"/>
          <w:b w:val="0"/>
          <w:i w:val="0"/>
          <w:sz w:val="22"/>
        </w:rPr>
        <w:t>Control Variables: ln_assets (size), roa (profitability), tangibility, market-to-book, cash_ratio.</w:t>
      </w:r>
    </w:p>
    <w:p>
      <w:pPr>
        <w:pStyle w:val="Heading2"/>
        <w:spacing w:before="240" w:after="120"/>
      </w:pPr>
      <w:r>
        <w:rPr>
          <w:rFonts w:ascii="Heiti TC" w:hAnsi="Heiti TC" w:eastAsia="Heiti TC" w:cs="Heiti TC"/>
          <w:b/>
          <w:i w:val="0"/>
          <w:sz w:val="24"/>
        </w:rPr>
        <w:t>3.3 Empirical Model</w:t>
      </w:r>
    </w:p>
    <w:p>
      <w:pPr>
        <w:spacing w:before="0" w:after="120" w:line="480" w:lineRule="auto"/>
      </w:pPr>
      <w:r>
        <w:rPr>
          <w:rFonts w:ascii="Heiti TC" w:hAnsi="Heiti TC" w:eastAsia="Heiti TC" w:cs="Heiti TC"/>
          <w:b w:val="0"/>
          <w:i w:val="0"/>
          <w:sz w:val="22"/>
        </w:rPr>
        <w:t>We estimate the following two-way fixed effects DID specification:</w:t>
      </w:r>
    </w:p>
    <w:p>
      <w:pPr>
        <w:spacing w:before="0" w:after="120" w:line="480" w:lineRule="auto"/>
        <w:jc w:val="center"/>
      </w:pPr>
      <w:r>
        <w:rPr>
          <w:rFonts w:ascii="Heiti TC" w:hAnsi="Heiti TC" w:eastAsia="Heiti TC" w:cs="Heiti TC"/>
          <w:b w:val="0"/>
          <w:i/>
          <w:sz w:val="22"/>
        </w:rPr>
        <w:t>Y</w:t>
      </w:r>
      <w:r>
        <w:rPr>
          <w:rFonts w:ascii="Heiti TC" w:hAnsi="Heiti TC" w:eastAsia="Heiti TC" w:cs="Heiti TC"/>
          <w:b w:val="0"/>
          <w:i/>
          <w:sz w:val="22"/>
          <w:vertAlign w:val="subscript"/>
        </w:rPr>
        <w:t>it</w:t>
      </w:r>
      <w:r>
        <w:rPr>
          <w:rFonts w:ascii="Heiti TC" w:hAnsi="Heiti TC" w:eastAsia="Heiti TC" w:cs="Heiti TC"/>
          <w:b w:val="0"/>
          <w:i/>
          <w:sz w:val="22"/>
        </w:rPr>
        <w:t xml:space="preserve"> </w:t>
      </w:r>
      <w:r>
        <w:rPr>
          <w:rFonts w:ascii="Heiti TC" w:hAnsi="Heiti TC" w:eastAsia="Heiti TC" w:cs="Heiti TC"/>
          <w:b w:val="0"/>
          <w:i/>
          <w:sz w:val="22"/>
        </w:rPr>
        <w:t>=</w:t>
      </w:r>
      <w:r>
        <w:rPr>
          <w:rFonts w:ascii="Heiti TC" w:hAnsi="Heiti TC" w:eastAsia="Heiti TC" w:cs="Heiti TC"/>
          <w:b w:val="0"/>
          <w:i/>
          <w:sz w:val="22"/>
        </w:rPr>
        <w:t xml:space="preserve"> </w:t>
      </w:r>
      <w:r>
        <w:rPr>
          <w:rFonts w:ascii="Heiti TC" w:hAnsi="Heiti TC" w:eastAsia="Heiti TC" w:cs="Heiti TC"/>
          <w:b w:val="0"/>
          <w:i/>
          <w:sz w:val="22"/>
        </w:rPr>
        <w:t>α</w:t>
      </w:r>
      <w:r>
        <w:rPr>
          <w:rFonts w:ascii="Heiti TC" w:hAnsi="Heiti TC" w:eastAsia="Heiti TC" w:cs="Heiti TC"/>
          <w:b w:val="0"/>
          <w:i/>
          <w:sz w:val="22"/>
        </w:rPr>
        <w:t xml:space="preserve"> </w:t>
      </w:r>
      <w:r>
        <w:rPr>
          <w:rFonts w:ascii="Heiti TC" w:hAnsi="Heiti TC" w:eastAsia="Heiti TC" w:cs="Heiti TC"/>
          <w:b w:val="0"/>
          <w:i/>
          <w:sz w:val="22"/>
        </w:rPr>
        <w:t>+</w:t>
      </w:r>
      <w:r>
        <w:rPr>
          <w:rFonts w:ascii="Heiti TC" w:hAnsi="Heiti TC" w:eastAsia="Heiti TC" w:cs="Heiti TC"/>
          <w:b w:val="0"/>
          <w:i/>
          <w:sz w:val="22"/>
        </w:rPr>
        <w:t xml:space="preserve"> </w:t>
      </w:r>
      <w:r>
        <w:rPr>
          <w:rFonts w:ascii="Heiti TC" w:hAnsi="Heiti TC" w:eastAsia="Heiti TC" w:cs="Heiti TC"/>
          <w:b w:val="0"/>
          <w:i/>
          <w:sz w:val="22"/>
        </w:rPr>
        <w:t>β</w:t>
      </w:r>
      <w:r>
        <w:rPr>
          <w:rFonts w:ascii="Heiti TC" w:hAnsi="Heiti TC" w:eastAsia="Heiti TC" w:cs="Heiti TC"/>
          <w:b w:val="0"/>
          <w:i/>
          <w:sz w:val="22"/>
          <w:vertAlign w:val="subscript"/>
        </w:rPr>
        <w:t>1</w:t>
      </w:r>
      <w:r>
        <w:rPr>
          <w:rFonts w:ascii="Heiti TC" w:hAnsi="Heiti TC" w:eastAsia="Heiti TC" w:cs="Heiti TC"/>
          <w:b w:val="0"/>
          <w:i/>
          <w:sz w:val="22"/>
        </w:rPr>
        <w:t xml:space="preserve"> </w:t>
      </w:r>
      <w:r>
        <w:rPr>
          <w:rFonts w:ascii="Heiti TC" w:hAnsi="Heiti TC" w:eastAsia="Heiti TC" w:cs="Heiti TC"/>
          <w:b w:val="0"/>
          <w:i/>
          <w:sz w:val="22"/>
        </w:rPr>
        <w:t>ESG\_high</w:t>
      </w:r>
      <w:r>
        <w:rPr>
          <w:rFonts w:ascii="Heiti TC" w:hAnsi="Heiti TC" w:eastAsia="Heiti TC" w:cs="Heiti TC"/>
          <w:b w:val="0"/>
          <w:i/>
          <w:sz w:val="22"/>
          <w:vertAlign w:val="subscript"/>
        </w:rPr>
        <w:t>i</w:t>
      </w:r>
      <w:r>
        <w:rPr>
          <w:rFonts w:ascii="Heiti TC" w:hAnsi="Heiti TC" w:eastAsia="Heiti TC" w:cs="Heiti TC"/>
          <w:b w:val="0"/>
          <w:i/>
          <w:sz w:val="22"/>
        </w:rPr>
        <w:t xml:space="preserve"> </w:t>
      </w:r>
      <w:r>
        <w:rPr>
          <w:rFonts w:ascii="Heiti TC" w:hAnsi="Heiti TC" w:eastAsia="Heiti TC" w:cs="Heiti TC"/>
          <w:b w:val="0"/>
          <w:i/>
          <w:sz w:val="22"/>
        </w:rPr>
        <w:t>×</w:t>
      </w:r>
      <w:r>
        <w:rPr>
          <w:rFonts w:ascii="Heiti TC" w:hAnsi="Heiti TC" w:eastAsia="Heiti TC" w:cs="Heiti TC"/>
          <w:b w:val="0"/>
          <w:i/>
          <w:sz w:val="22"/>
        </w:rPr>
        <w:t xml:space="preserve"> </w:t>
      </w:r>
      <w:r>
        <w:rPr>
          <w:rFonts w:ascii="Heiti TC" w:hAnsi="Heiti TC" w:eastAsia="Heiti TC" w:cs="Heiti TC"/>
          <w:b w:val="0"/>
          <w:i/>
          <w:sz w:val="22"/>
        </w:rPr>
        <w:t>Post</w:t>
      </w:r>
      <w:r>
        <w:rPr>
          <w:rFonts w:ascii="Heiti TC" w:hAnsi="Heiti TC" w:eastAsia="Heiti TC" w:cs="Heiti TC"/>
          <w:b w:val="0"/>
          <w:i/>
          <w:sz w:val="22"/>
          <w:vertAlign w:val="subscript"/>
        </w:rPr>
        <w:t>t</w:t>
      </w:r>
      <w:r>
        <w:rPr>
          <w:rFonts w:ascii="Heiti TC" w:hAnsi="Heiti TC" w:eastAsia="Heiti TC" w:cs="Heiti TC"/>
          <w:b w:val="0"/>
          <w:i/>
          <w:sz w:val="22"/>
        </w:rPr>
        <w:t xml:space="preserve"> </w:t>
      </w:r>
      <w:r>
        <w:rPr>
          <w:rFonts w:ascii="Heiti TC" w:hAnsi="Heiti TC" w:eastAsia="Heiti TC" w:cs="Heiti TC"/>
          <w:b w:val="0"/>
          <w:i/>
          <w:sz w:val="22"/>
        </w:rPr>
        <w:t>+</w:t>
      </w:r>
      <w:r>
        <w:rPr>
          <w:rFonts w:ascii="Heiti TC" w:hAnsi="Heiti TC" w:eastAsia="Heiti TC" w:cs="Heiti TC"/>
          <w:b w:val="0"/>
          <w:i/>
          <w:sz w:val="22"/>
        </w:rPr>
        <w:t xml:space="preserve"> </w:t>
      </w:r>
      <w:r>
        <w:rPr>
          <w:rFonts w:ascii="Heiti TC" w:hAnsi="Heiti TC" w:eastAsia="Heiti TC" w:cs="Heiti TC"/>
          <w:b w:val="0"/>
          <w:i/>
          <w:sz w:val="22"/>
        </w:rPr>
        <w:t>β</w:t>
      </w:r>
      <w:r>
        <w:rPr>
          <w:rFonts w:ascii="Heiti TC" w:hAnsi="Heiti TC" w:eastAsia="Heiti TC" w:cs="Heiti TC"/>
          <w:b w:val="0"/>
          <w:i/>
          <w:sz w:val="22"/>
          <w:vertAlign w:val="subscript"/>
        </w:rPr>
        <w:t>2</w:t>
      </w:r>
      <w:r>
        <w:rPr>
          <w:rFonts w:ascii="Heiti TC" w:hAnsi="Heiti TC" w:eastAsia="Heiti TC" w:cs="Heiti TC"/>
          <w:b w:val="0"/>
          <w:i/>
          <w:sz w:val="22"/>
        </w:rPr>
        <w:t xml:space="preserve"> </w:t>
      </w:r>
      <w:r>
        <w:rPr>
          <w:rFonts w:ascii="Heiti TC" w:hAnsi="Heiti TC" w:eastAsia="Heiti TC" w:cs="Heiti TC"/>
          <w:b w:val="0"/>
          <w:i/>
          <w:sz w:val="22"/>
        </w:rPr>
        <w:t>ESG\_high</w:t>
      </w:r>
      <w:r>
        <w:rPr>
          <w:rFonts w:ascii="Heiti TC" w:hAnsi="Heiti TC" w:eastAsia="Heiti TC" w:cs="Heiti TC"/>
          <w:b w:val="0"/>
          <w:i/>
          <w:sz w:val="22"/>
          <w:vertAlign w:val="subscript"/>
        </w:rPr>
        <w:t>i</w:t>
      </w:r>
      <w:r>
        <w:rPr>
          <w:rFonts w:ascii="Heiti TC" w:hAnsi="Heiti TC" w:eastAsia="Heiti TC" w:cs="Heiti TC"/>
          <w:b w:val="0"/>
          <w:i/>
          <w:sz w:val="22"/>
        </w:rPr>
        <w:t xml:space="preserve"> </w:t>
      </w:r>
      <w:r>
        <w:rPr>
          <w:rFonts w:ascii="Heiti TC" w:hAnsi="Heiti TC" w:eastAsia="Heiti TC" w:cs="Heiti TC"/>
          <w:b w:val="0"/>
          <w:i/>
          <w:sz w:val="22"/>
        </w:rPr>
        <w:t>+</w:t>
      </w:r>
      <w:r>
        <w:rPr>
          <w:rFonts w:ascii="Heiti TC" w:hAnsi="Heiti TC" w:eastAsia="Heiti TC" w:cs="Heiti TC"/>
          <w:b w:val="0"/>
          <w:i/>
          <w:sz w:val="22"/>
        </w:rPr>
        <w:t xml:space="preserve"> </w:t>
      </w:r>
      <w:r>
        <w:rPr>
          <w:rFonts w:ascii="Heiti TC" w:hAnsi="Heiti TC" w:eastAsia="Heiti TC" w:cs="Heiti TC"/>
          <w:b w:val="0"/>
          <w:i/>
          <w:sz w:val="22"/>
        </w:rPr>
        <w:t>β</w:t>
      </w:r>
      <w:r>
        <w:rPr>
          <w:rFonts w:ascii="Heiti TC" w:hAnsi="Heiti TC" w:eastAsia="Heiti TC" w:cs="Heiti TC"/>
          <w:b w:val="0"/>
          <w:i/>
          <w:sz w:val="22"/>
          <w:vertAlign w:val="subscript"/>
        </w:rPr>
        <w:t>3</w:t>
      </w:r>
      <w:r>
        <w:rPr>
          <w:rFonts w:ascii="Heiti TC" w:hAnsi="Heiti TC" w:eastAsia="Heiti TC" w:cs="Heiti TC"/>
          <w:b w:val="0"/>
          <w:i/>
          <w:sz w:val="22"/>
        </w:rPr>
        <w:t xml:space="preserve"> </w:t>
      </w:r>
      <w:r>
        <w:rPr>
          <w:rFonts w:ascii="Heiti TC" w:hAnsi="Heiti TC" w:eastAsia="Heiti TC" w:cs="Heiti TC"/>
          <w:b w:val="0"/>
          <w:i/>
          <w:sz w:val="22"/>
        </w:rPr>
        <w:t>Post</w:t>
      </w:r>
      <w:r>
        <w:rPr>
          <w:rFonts w:ascii="Heiti TC" w:hAnsi="Heiti TC" w:eastAsia="Heiti TC" w:cs="Heiti TC"/>
          <w:b w:val="0"/>
          <w:i/>
          <w:sz w:val="22"/>
          <w:vertAlign w:val="subscript"/>
        </w:rPr>
        <w:t>t</w:t>
      </w:r>
      <w:r>
        <w:rPr>
          <w:rFonts w:ascii="Heiti TC" w:hAnsi="Heiti TC" w:eastAsia="Heiti TC" w:cs="Heiti TC"/>
          <w:b w:val="0"/>
          <w:i/>
          <w:sz w:val="22"/>
        </w:rPr>
        <w:t xml:space="preserve"> </w:t>
      </w:r>
      <w:r>
        <w:rPr>
          <w:rFonts w:ascii="Heiti TC" w:hAnsi="Heiti TC" w:eastAsia="Heiti TC" w:cs="Heiti TC"/>
          <w:b w:val="0"/>
          <w:i/>
          <w:sz w:val="22"/>
        </w:rPr>
        <w:t>+</w:t>
      </w:r>
      <w:r>
        <w:rPr>
          <w:rFonts w:ascii="Heiti TC" w:hAnsi="Heiti TC" w:eastAsia="Heiti TC" w:cs="Heiti TC"/>
          <w:b w:val="0"/>
          <w:i/>
          <w:sz w:val="22"/>
        </w:rPr>
        <w:t xml:space="preserve"> </w:t>
      </w:r>
      <w:r>
        <w:rPr>
          <w:rFonts w:ascii="Heiti TC" w:hAnsi="Heiti TC" w:eastAsia="Heiti TC" w:cs="Heiti TC"/>
          <w:b w:val="0"/>
          <w:i/>
          <w:sz w:val="22"/>
        </w:rPr>
        <w:t>γ</w:t>
      </w:r>
      <w:r>
        <w:rPr>
          <w:rFonts w:ascii="Heiti TC" w:hAnsi="Heiti TC" w:eastAsia="Heiti TC" w:cs="Heiti TC"/>
          <w:b w:val="0"/>
          <w:i/>
          <w:sz w:val="22"/>
        </w:rPr>
        <w:t xml:space="preserve"> </w:t>
      </w:r>
      <w:r>
        <w:rPr>
          <w:rFonts w:ascii="Heiti TC" w:hAnsi="Heiti TC" w:eastAsia="Heiti TC" w:cs="Heiti TC"/>
          <w:b w:val="0"/>
          <w:i/>
          <w:sz w:val="22"/>
        </w:rPr>
        <w:t>X</w:t>
      </w:r>
      <w:r>
        <w:rPr>
          <w:rFonts w:ascii="Heiti TC" w:hAnsi="Heiti TC" w:eastAsia="Heiti TC" w:cs="Heiti TC"/>
          <w:b w:val="0"/>
          <w:i/>
          <w:sz w:val="22"/>
          <w:vertAlign w:val="subscript"/>
        </w:rPr>
        <w:t>it</w:t>
      </w:r>
      <w:r>
        <w:rPr>
          <w:rFonts w:ascii="Heiti TC" w:hAnsi="Heiti TC" w:eastAsia="Heiti TC" w:cs="Heiti TC"/>
          <w:b w:val="0"/>
          <w:i/>
          <w:sz w:val="22"/>
        </w:rPr>
        <w:t xml:space="preserve"> </w:t>
      </w:r>
      <w:r>
        <w:rPr>
          <w:rFonts w:ascii="Heiti TC" w:hAnsi="Heiti TC" w:eastAsia="Heiti TC" w:cs="Heiti TC"/>
          <w:b w:val="0"/>
          <w:i/>
          <w:sz w:val="22"/>
        </w:rPr>
        <w:t>+</w:t>
      </w:r>
      <w:r>
        <w:rPr>
          <w:rFonts w:ascii="Heiti TC" w:hAnsi="Heiti TC" w:eastAsia="Heiti TC" w:cs="Heiti TC"/>
          <w:b w:val="0"/>
          <w:i/>
          <w:sz w:val="22"/>
        </w:rPr>
        <w:t xml:space="preserve"> </w:t>
      </w:r>
      <w:r>
        <w:rPr>
          <w:rFonts w:ascii="Heiti TC" w:hAnsi="Heiti TC" w:eastAsia="Heiti TC" w:cs="Heiti TC"/>
          <w:b w:val="0"/>
          <w:i/>
          <w:sz w:val="22"/>
        </w:rPr>
        <w:t>μ</w:t>
      </w:r>
      <w:r>
        <w:rPr>
          <w:rFonts w:ascii="Heiti TC" w:hAnsi="Heiti TC" w:eastAsia="Heiti TC" w:cs="Heiti TC"/>
          <w:b w:val="0"/>
          <w:i/>
          <w:sz w:val="22"/>
          <w:vertAlign w:val="subscript"/>
        </w:rPr>
        <w:t>i</w:t>
      </w:r>
      <w:r>
        <w:rPr>
          <w:rFonts w:ascii="Heiti TC" w:hAnsi="Heiti TC" w:eastAsia="Heiti TC" w:cs="Heiti TC"/>
          <w:b w:val="0"/>
          <w:i/>
          <w:sz w:val="22"/>
        </w:rPr>
        <w:t xml:space="preserve"> </w:t>
      </w:r>
      <w:r>
        <w:rPr>
          <w:rFonts w:ascii="Heiti TC" w:hAnsi="Heiti TC" w:eastAsia="Heiti TC" w:cs="Heiti TC"/>
          <w:b w:val="0"/>
          <w:i/>
          <w:sz w:val="22"/>
        </w:rPr>
        <w:t>+</w:t>
      </w:r>
      <w:r>
        <w:rPr>
          <w:rFonts w:ascii="Heiti TC" w:hAnsi="Heiti TC" w:eastAsia="Heiti TC" w:cs="Heiti TC"/>
          <w:b w:val="0"/>
          <w:i/>
          <w:sz w:val="22"/>
        </w:rPr>
        <w:t xml:space="preserve"> </w:t>
      </w:r>
      <w:r>
        <w:rPr>
          <w:rFonts w:ascii="Heiti TC" w:hAnsi="Heiti TC" w:eastAsia="Heiti TC" w:cs="Heiti TC"/>
          <w:b w:val="0"/>
          <w:i/>
          <w:sz w:val="22"/>
        </w:rPr>
        <w:t>λ</w:t>
      </w:r>
      <w:r>
        <w:rPr>
          <w:rFonts w:ascii="Heiti TC" w:hAnsi="Heiti TC" w:eastAsia="Heiti TC" w:cs="Heiti TC"/>
          <w:b w:val="0"/>
          <w:i/>
          <w:sz w:val="22"/>
          <w:vertAlign w:val="subscript"/>
        </w:rPr>
        <w:t>t</w:t>
      </w:r>
      <w:r>
        <w:rPr>
          <w:rFonts w:ascii="Heiti TC" w:hAnsi="Heiti TC" w:eastAsia="Heiti TC" w:cs="Heiti TC"/>
          <w:b w:val="0"/>
          <w:i/>
          <w:sz w:val="22"/>
        </w:rPr>
        <w:t xml:space="preserve"> </w:t>
      </w:r>
      <w:r>
        <w:rPr>
          <w:rFonts w:ascii="Heiti TC" w:hAnsi="Heiti TC" w:eastAsia="Heiti TC" w:cs="Heiti TC"/>
          <w:b w:val="0"/>
          <w:i/>
          <w:sz w:val="22"/>
        </w:rPr>
        <w:t>+</w:t>
      </w:r>
      <w:r>
        <w:rPr>
          <w:rFonts w:ascii="Heiti TC" w:hAnsi="Heiti TC" w:eastAsia="Heiti TC" w:cs="Heiti TC"/>
          <w:b w:val="0"/>
          <w:i/>
          <w:sz w:val="22"/>
        </w:rPr>
        <w:t xml:space="preserve"> </w:t>
      </w:r>
      <w:r>
        <w:rPr>
          <w:rFonts w:ascii="Heiti TC" w:hAnsi="Heiti TC" w:eastAsia="Heiti TC" w:cs="Heiti TC"/>
          <w:b w:val="0"/>
          <w:i/>
          <w:sz w:val="22"/>
        </w:rPr>
        <w:t>ε</w:t>
      </w:r>
      <w:r>
        <w:rPr>
          <w:rFonts w:ascii="Heiti TC" w:hAnsi="Heiti TC" w:eastAsia="Heiti TC" w:cs="Heiti TC"/>
          <w:b w:val="0"/>
          <w:i/>
          <w:sz w:val="22"/>
          <w:vertAlign w:val="subscript"/>
        </w:rPr>
        <w:t>it</w:t>
      </w:r>
    </w:p>
    <w:p>
      <w:pPr>
        <w:spacing w:before="0" w:after="120" w:line="480" w:lineRule="auto"/>
      </w:pPr>
      <w:r>
        <w:rPr>
          <w:rFonts w:ascii="Heiti TC" w:hAnsi="Heiti TC" w:eastAsia="Heiti TC" w:cs="Heiti TC"/>
          <w:b w:val="0"/>
          <w:i w:val="0"/>
          <w:sz w:val="22"/>
        </w:rPr>
        <w:t xml:space="preserve">where </w:t>
      </w:r>
      <w:r>
        <w:rPr>
          <w:rFonts w:ascii="Heiti TC" w:hAnsi="Heiti TC" w:eastAsia="Heiti TC" w:cs="Heiti TC"/>
          <w:b w:val="0"/>
          <w:i w:val="0"/>
          <w:sz w:val="22"/>
        </w:rPr>
        <w:t>Y</w:t>
      </w:r>
      <w:r>
        <w:rPr>
          <w:rFonts w:ascii="Heiti TC" w:hAnsi="Heiti TC" w:eastAsia="Heiti TC" w:cs="Heiti TC"/>
          <w:b w:val="0"/>
          <w:i w:val="0"/>
          <w:sz w:val="22"/>
          <w:vertAlign w:val="subscript"/>
        </w:rPr>
        <w:t>it</w:t>
      </w:r>
      <w:r>
        <w:rPr>
          <w:rFonts w:ascii="Heiti TC" w:hAnsi="Heiti TC" w:eastAsia="Heiti TC" w:cs="Heiti TC"/>
          <w:b w:val="0"/>
          <w:i w:val="0"/>
          <w:sz w:val="22"/>
        </w:rPr>
        <w:t xml:space="preserve"> is the financing constraint measure for firm </w:t>
      </w:r>
      <w:r>
        <w:rPr>
          <w:rFonts w:ascii="Heiti TC" w:hAnsi="Heiti TC" w:eastAsia="Heiti TC" w:cs="Heiti TC"/>
          <w:b w:val="0"/>
          <w:i w:val="0"/>
          <w:sz w:val="22"/>
        </w:rPr>
        <w:t>i</w:t>
      </w:r>
      <w:r>
        <w:rPr>
          <w:rFonts w:ascii="Heiti TC" w:hAnsi="Heiti TC" w:eastAsia="Heiti TC" w:cs="Heiti TC"/>
          <w:b w:val="0"/>
          <w:i w:val="0"/>
          <w:sz w:val="22"/>
        </w:rPr>
        <w:t xml:space="preserve"> in year </w:t>
      </w:r>
      <w:r>
        <w:rPr>
          <w:rFonts w:ascii="Heiti TC" w:hAnsi="Heiti TC" w:eastAsia="Heiti TC" w:cs="Heiti TC"/>
          <w:b w:val="0"/>
          <w:i w:val="0"/>
          <w:sz w:val="22"/>
        </w:rPr>
        <w:t>t</w:t>
      </w:r>
      <w:r>
        <w:rPr>
          <w:rFonts w:ascii="Heiti TC" w:hAnsi="Heiti TC" w:eastAsia="Heiti TC" w:cs="Heiti TC"/>
          <w:b w:val="0"/>
          <w:i w:val="0"/>
          <w:sz w:val="22"/>
        </w:rPr>
        <w:t xml:space="preserve">, </w:t>
      </w:r>
      <w:r>
        <w:rPr>
          <w:rFonts w:ascii="Heiti TC" w:hAnsi="Heiti TC" w:eastAsia="Heiti TC" w:cs="Heiti TC"/>
          <w:b w:val="0"/>
          <w:i w:val="0"/>
          <w:sz w:val="22"/>
        </w:rPr>
        <w:t>μ</w:t>
      </w:r>
      <w:r>
        <w:rPr>
          <w:rFonts w:ascii="Heiti TC" w:hAnsi="Heiti TC" w:eastAsia="Heiti TC" w:cs="Heiti TC"/>
          <w:b w:val="0"/>
          <w:i w:val="0"/>
          <w:sz w:val="22"/>
          <w:vertAlign w:val="subscript"/>
        </w:rPr>
        <w:t>i</w:t>
      </w:r>
      <w:r>
        <w:rPr>
          <w:rFonts w:ascii="Heiti TC" w:hAnsi="Heiti TC" w:eastAsia="Heiti TC" w:cs="Heiti TC"/>
          <w:b w:val="0"/>
          <w:i w:val="0"/>
          <w:sz w:val="22"/>
        </w:rPr>
        <w:t xml:space="preserve"> is firm fixed effects, and </w:t>
      </w:r>
      <w:r>
        <w:rPr>
          <w:rFonts w:ascii="Heiti TC" w:hAnsi="Heiti TC" w:eastAsia="Heiti TC" w:cs="Heiti TC"/>
          <w:b w:val="0"/>
          <w:i w:val="0"/>
          <w:sz w:val="22"/>
        </w:rPr>
        <w:t>λ</w:t>
      </w:r>
      <w:r>
        <w:rPr>
          <w:rFonts w:ascii="Heiti TC" w:hAnsi="Heiti TC" w:eastAsia="Heiti TC" w:cs="Heiti TC"/>
          <w:b w:val="0"/>
          <w:i w:val="0"/>
          <w:sz w:val="22"/>
          <w:vertAlign w:val="subscript"/>
        </w:rPr>
        <w:t>t</w:t>
      </w:r>
      <w:r>
        <w:rPr>
          <w:rFonts w:ascii="Heiti TC" w:hAnsi="Heiti TC" w:eastAsia="Heiti TC" w:cs="Heiti TC"/>
          <w:b w:val="0"/>
          <w:i w:val="0"/>
          <w:sz w:val="22"/>
        </w:rPr>
        <w:t xml:space="preserve"> is year fixed effects. Standard errors are clustered at the firm level. The coefficient </w:t>
      </w:r>
      <w:r>
        <w:rPr>
          <w:rFonts w:ascii="Heiti TC" w:hAnsi="Heiti TC" w:eastAsia="Heiti TC" w:cs="Heiti TC"/>
          <w:b w:val="0"/>
          <w:i w:val="0"/>
          <w:sz w:val="22"/>
        </w:rPr>
        <w:t>β</w:t>
      </w:r>
      <w:r>
        <w:rPr>
          <w:rFonts w:ascii="Heiti TC" w:hAnsi="Heiti TC" w:eastAsia="Heiti TC" w:cs="Heiti TC"/>
          <w:b w:val="0"/>
          <w:i w:val="0"/>
          <w:sz w:val="22"/>
          <w:vertAlign w:val="subscript"/>
        </w:rPr>
        <w:t>1</w:t>
      </w:r>
      <w:r>
        <w:rPr>
          <w:rFonts w:ascii="Heiti TC" w:hAnsi="Heiti TC" w:eastAsia="Heiti TC" w:cs="Heiti TC"/>
          <w:b w:val="0"/>
          <w:i w:val="0"/>
          <w:sz w:val="22"/>
        </w:rPr>
        <w:t xml:space="preserve"> is the DID estimator of interest.</w:t>
      </w:r>
    </w:p>
    <w:p>
      <w:pPr>
        <w:pStyle w:val="Heading1"/>
        <w:spacing w:before="240" w:after="120"/>
      </w:pPr>
      <w:r>
        <w:rPr>
          <w:rFonts w:ascii="Heiti TC" w:hAnsi="Heiti TC" w:eastAsia="Heiti TC" w:cs="Heiti TC"/>
          <w:b/>
          <w:i w:val="0"/>
          <w:sz w:val="28"/>
        </w:rPr>
        <w:t>4. Empirical Results</w:t>
      </w:r>
    </w:p>
    <w:p>
      <w:pPr>
        <w:jc w:val="center"/>
      </w:pPr>
      <w:r>
        <w:drawing>
          <wp:inline xmlns:a="http://schemas.openxmlformats.org/drawingml/2006/main" xmlns:pic="http://schemas.openxmlformats.org/drawingml/2006/picture">
            <wp:extent cx="5029200" cy="3196628"/>
            <wp:docPr id="1" name="Picture 1"/>
            <wp:cNvGraphicFramePr>
              <a:graphicFrameLocks noChangeAspect="1"/>
            </wp:cNvGraphicFramePr>
            <a:graphic>
              <a:graphicData uri="http://schemas.openxmlformats.org/drawingml/2006/picture">
                <pic:pic>
                  <pic:nvPicPr>
                    <pic:cNvPr id="0" name="fig1_parallel_trends.png"/>
                    <pic:cNvPicPr/>
                  </pic:nvPicPr>
                  <pic:blipFill>
                    <a:blip r:embed="rId9"/>
                    <a:stretch>
                      <a:fillRect/>
                    </a:stretch>
                  </pic:blipFill>
                  <pic:spPr>
                    <a:xfrm>
                      <a:off x="0" y="0"/>
                      <a:ext cx="5029200" cy="3196628"/>
                    </a:xfrm>
                    <a:prstGeom prst="rect"/>
                  </pic:spPr>
                </pic:pic>
              </a:graphicData>
            </a:graphic>
          </wp:inline>
        </w:drawing>
      </w:r>
    </w:p>
    <w:p>
      <w:pPr>
        <w:jc w:val="center"/>
      </w:pPr>
      <w:r>
        <w:rPr>
          <w:rFonts w:ascii="Heiti TC" w:hAnsi="Heiti TC" w:eastAsia="Heiti TC" w:cs="Heiti TC"/>
          <w:b w:val="0"/>
          <w:i/>
          <w:sz w:val="20"/>
        </w:rPr>
        <w:t>Figure 1: Parallel Trends Test (Pre-period ESG × Year coefficients, 2022)</w:t>
      </w:r>
    </w:p>
    <w:p>
      <w:pPr>
        <w:pStyle w:val="Heading2"/>
        <w:spacing w:before="240" w:after="120"/>
      </w:pPr>
      <w:r>
        <w:rPr>
          <w:rFonts w:ascii="Heiti TC" w:hAnsi="Heiti TC" w:eastAsia="Heiti TC" w:cs="Heiti TC"/>
          <w:b/>
          <w:i w:val="0"/>
          <w:sz w:val="24"/>
        </w:rPr>
        <w:t>4.1 Baseline DID Results</w:t>
      </w:r>
    </w:p>
    <w:p>
      <w:pPr>
        <w:spacing w:before="0" w:after="120" w:line="480" w:lineRule="auto"/>
      </w:pPr>
      <w:r>
        <w:rPr>
          <w:rFonts w:ascii="Heiti TC" w:hAnsi="Heiti TC" w:eastAsia="Heiti TC" w:cs="Heiti TC"/>
          <w:b w:val="0"/>
          <w:i w:val="0"/>
          <w:sz w:val="22"/>
        </w:rPr>
        <w:t>Table 2 reports the baseline DID results. Column (1) shows that high-ESG firms increase their leverage by 1.07 percentage points relative to low-ESG peers following the SEC climate disclosure shock, though the estimate is marginally significant. Column (2) confirms the effect is concentrated in long-term debt (+1.30 pp). Column (3) shows a positive (though imprecisely estimated) change in cost of debt dynamics, consistent with ESG improving credit conditions.</w:t>
      </w:r>
    </w:p>
    <w:p>
      <w:pPr>
        <w:spacing w:before="0" w:after="120" w:line="480" w:lineRule="auto"/>
      </w:pPr>
      <w:r>
        <w:rPr>
          <w:rFonts w:ascii="Heiti TC" w:hAnsi="Heiti TC" w:eastAsia="Heiti TC" w:cs="Heiti TC"/>
          <w:b w:val="0"/>
          <w:i w:val="0"/>
          <w:sz w:val="22"/>
        </w:rPr>
        <w:t>The post dummy is negative and significant across leverage specifications, reflecting the energy sector deleveraging trend during 2022–2024. The parallel trends test (Figure 1) confirms that pre-period ESG × Year coefficients are statistically indistinguishable from zero, validating the research design.</w:t>
      </w:r>
    </w:p>
    <w:p>
      <w:pPr>
        <w:spacing w:before="240" w:after="120" w:line="360" w:lineRule="auto"/>
        <w:jc w:val="center"/>
      </w:pPr>
      <w:r>
        <w:rPr>
          <w:rFonts w:ascii="Heiti TC" w:hAnsi="Heiti TC" w:eastAsia="Heiti TC" w:cs="Heiti TC"/>
          <w:b/>
          <w:i w:val="0"/>
          <w:sz w:val="22"/>
        </w:rPr>
        <w:t>Table 1: Descriptive Statistics</w:t>
      </w:r>
    </w:p>
    <w:tbl>
      <w:tblPr>
        <w:tblW w:type="auto" w:w="0"/>
        <w:jc w:val="center"/>
        <w:tblLook w:firstColumn="1" w:firstRow="1" w:lastColumn="0" w:lastRow="0" w:noHBand="0" w:noVBand="1" w:val="04A0"/>
      </w:tblPr>
      <w:tblGrid>
        <w:gridCol w:w="1344"/>
        <w:gridCol w:w="1344"/>
        <w:gridCol w:w="1344"/>
        <w:gridCol w:w="1344"/>
        <w:gridCol w:w="1344"/>
        <w:gridCol w:w="1344"/>
        <w:gridCol w:w="1344"/>
      </w:tblGrid>
      <w:tr>
        <w:tc>
          <w:tcPr>
            <w:tcW w:type="dxa" w:w="1344"/>
          </w:tcPr>
          <w:p>
            <w:pPr>
              <w:jc w:val="center"/>
            </w:pPr>
            <w:r/>
            <w:r>
              <w:rPr>
                <w:rFonts w:ascii="Heiti TC" w:hAnsi="Heiti TC" w:eastAsia="Heiti TC" w:cs="Heiti TC"/>
                <w:b/>
                <w:i w:val="0"/>
                <w:sz w:val="18"/>
              </w:rPr>
              <w:t>Variable</w:t>
            </w:r>
          </w:p>
        </w:tc>
        <w:tc>
          <w:tcPr>
            <w:tcW w:type="dxa" w:w="1344"/>
          </w:tcPr>
          <w:p>
            <w:pPr>
              <w:jc w:val="center"/>
            </w:pPr>
            <w:r/>
            <w:r>
              <w:rPr>
                <w:rFonts w:ascii="Heiti TC" w:hAnsi="Heiti TC" w:eastAsia="Heiti TC" w:cs="Heiti TC"/>
                <w:b/>
                <w:i w:val="0"/>
                <w:sz w:val="18"/>
              </w:rPr>
              <w:t>N</w:t>
            </w:r>
          </w:p>
        </w:tc>
        <w:tc>
          <w:tcPr>
            <w:tcW w:type="dxa" w:w="1344"/>
          </w:tcPr>
          <w:p>
            <w:pPr>
              <w:jc w:val="center"/>
            </w:pPr>
            <w:r/>
            <w:r>
              <w:rPr>
                <w:rFonts w:ascii="Heiti TC" w:hAnsi="Heiti TC" w:eastAsia="Heiti TC" w:cs="Heiti TC"/>
                <w:b/>
                <w:i w:val="0"/>
                <w:sz w:val="18"/>
              </w:rPr>
              <w:t>Mean</w:t>
            </w:r>
          </w:p>
        </w:tc>
        <w:tc>
          <w:tcPr>
            <w:tcW w:type="dxa" w:w="1344"/>
          </w:tcPr>
          <w:p>
            <w:pPr>
              <w:jc w:val="center"/>
            </w:pPr>
            <w:r/>
            <w:r>
              <w:rPr>
                <w:rFonts w:ascii="Heiti TC" w:hAnsi="Heiti TC" w:eastAsia="Heiti TC" w:cs="Heiti TC"/>
                <w:b/>
                <w:i w:val="0"/>
                <w:sz w:val="18"/>
              </w:rPr>
              <w:t>Std</w:t>
            </w:r>
          </w:p>
        </w:tc>
        <w:tc>
          <w:tcPr>
            <w:tcW w:type="dxa" w:w="1344"/>
          </w:tcPr>
          <w:p>
            <w:pPr>
              <w:jc w:val="center"/>
            </w:pPr>
            <w:r/>
            <w:r>
              <w:rPr>
                <w:rFonts w:ascii="Heiti TC" w:hAnsi="Heiti TC" w:eastAsia="Heiti TC" w:cs="Heiti TC"/>
                <w:b/>
                <w:i w:val="0"/>
                <w:sz w:val="18"/>
              </w:rPr>
              <w:t>Min</w:t>
            </w:r>
          </w:p>
        </w:tc>
        <w:tc>
          <w:tcPr>
            <w:tcW w:type="dxa" w:w="1344"/>
          </w:tcPr>
          <w:p>
            <w:pPr>
              <w:jc w:val="center"/>
            </w:pPr>
            <w:r/>
            <w:r>
              <w:rPr>
                <w:rFonts w:ascii="Heiti TC" w:hAnsi="Heiti TC" w:eastAsia="Heiti TC" w:cs="Heiti TC"/>
                <w:b/>
                <w:i w:val="0"/>
                <w:sz w:val="18"/>
              </w:rPr>
              <w:t>Median</w:t>
            </w:r>
          </w:p>
        </w:tc>
        <w:tc>
          <w:tcPr>
            <w:tcW w:type="dxa" w:w="1344"/>
          </w:tcPr>
          <w:p>
            <w:pPr>
              <w:jc w:val="center"/>
            </w:pPr>
            <w:r/>
            <w:r>
              <w:rPr>
                <w:rFonts w:ascii="Heiti TC" w:hAnsi="Heiti TC" w:eastAsia="Heiti TC" w:cs="Heiti TC"/>
                <w:b/>
                <w:i w:val="0"/>
                <w:sz w:val="18"/>
              </w:rPr>
              <w:t>Max</w:t>
            </w:r>
          </w:p>
        </w:tc>
      </w:tr>
      <w:tr>
        <w:tc>
          <w:tcPr>
            <w:tcW w:type="dxa" w:w="1344"/>
          </w:tcPr>
          <w:p>
            <w:pPr>
              <w:jc w:val="center"/>
            </w:pPr>
            <w:r/>
            <w:r>
              <w:rPr>
                <w:rFonts w:ascii="Heiti TC" w:hAnsi="Heiti TC" w:eastAsia="Heiti TC" w:cs="Heiti TC"/>
                <w:b w:val="0"/>
                <w:i w:val="0"/>
                <w:sz w:val="18"/>
              </w:rPr>
              <w:t>Book Leverage (lev)</w:t>
            </w:r>
          </w:p>
        </w:tc>
        <w:tc>
          <w:tcPr>
            <w:tcW w:type="dxa" w:w="1344"/>
          </w:tcPr>
          <w:p>
            <w:pPr>
              <w:jc w:val="center"/>
            </w:pPr>
            <w:r/>
            <w:r>
              <w:rPr>
                <w:rFonts w:ascii="Heiti TC" w:hAnsi="Heiti TC" w:eastAsia="Heiti TC" w:cs="Heiti TC"/>
                <w:b w:val="0"/>
                <w:i w:val="0"/>
                <w:sz w:val="18"/>
              </w:rPr>
              <w:t>112</w:t>
            </w:r>
          </w:p>
        </w:tc>
        <w:tc>
          <w:tcPr>
            <w:tcW w:type="dxa" w:w="1344"/>
          </w:tcPr>
          <w:p>
            <w:pPr>
              <w:jc w:val="center"/>
            </w:pPr>
            <w:r/>
            <w:r>
              <w:rPr>
                <w:rFonts w:ascii="Heiti TC" w:hAnsi="Heiti TC" w:eastAsia="Heiti TC" w:cs="Heiti TC"/>
                <w:b w:val="0"/>
                <w:i w:val="0"/>
                <w:sz w:val="18"/>
              </w:rPr>
              <w:t>0.219</w:t>
            </w:r>
          </w:p>
        </w:tc>
        <w:tc>
          <w:tcPr>
            <w:tcW w:type="dxa" w:w="1344"/>
          </w:tcPr>
          <w:p>
            <w:pPr>
              <w:jc w:val="center"/>
            </w:pPr>
            <w:r/>
            <w:r>
              <w:rPr>
                <w:rFonts w:ascii="Heiti TC" w:hAnsi="Heiti TC" w:eastAsia="Heiti TC" w:cs="Heiti TC"/>
                <w:b w:val="0"/>
                <w:i w:val="0"/>
                <w:sz w:val="18"/>
              </w:rPr>
              <w:t>0.082</w:t>
            </w:r>
          </w:p>
        </w:tc>
        <w:tc>
          <w:tcPr>
            <w:tcW w:type="dxa" w:w="1344"/>
          </w:tcPr>
          <w:p>
            <w:pPr>
              <w:jc w:val="center"/>
            </w:pPr>
            <w:r/>
            <w:r>
              <w:rPr>
                <w:rFonts w:ascii="Heiti TC" w:hAnsi="Heiti TC" w:eastAsia="Heiti TC" w:cs="Heiti TC"/>
                <w:b w:val="0"/>
                <w:i w:val="0"/>
                <w:sz w:val="18"/>
              </w:rPr>
              <w:t>0.089</w:t>
            </w:r>
          </w:p>
        </w:tc>
        <w:tc>
          <w:tcPr>
            <w:tcW w:type="dxa" w:w="1344"/>
          </w:tcPr>
          <w:p>
            <w:pPr>
              <w:jc w:val="center"/>
            </w:pPr>
            <w:r/>
            <w:r>
              <w:rPr>
                <w:rFonts w:ascii="Heiti TC" w:hAnsi="Heiti TC" w:eastAsia="Heiti TC" w:cs="Heiti TC"/>
                <w:b w:val="0"/>
                <w:i w:val="0"/>
                <w:sz w:val="18"/>
              </w:rPr>
              <w:t>0.211</w:t>
            </w:r>
          </w:p>
        </w:tc>
        <w:tc>
          <w:tcPr>
            <w:tcW w:type="dxa" w:w="1344"/>
          </w:tcPr>
          <w:p>
            <w:pPr>
              <w:jc w:val="center"/>
            </w:pPr>
            <w:r/>
            <w:r>
              <w:rPr>
                <w:rFonts w:ascii="Heiti TC" w:hAnsi="Heiti TC" w:eastAsia="Heiti TC" w:cs="Heiti TC"/>
                <w:b w:val="0"/>
                <w:i w:val="0"/>
                <w:sz w:val="18"/>
              </w:rPr>
              <w:t>0.427</w:t>
            </w:r>
          </w:p>
        </w:tc>
      </w:tr>
      <w:tr>
        <w:tc>
          <w:tcPr>
            <w:tcW w:type="dxa" w:w="1344"/>
          </w:tcPr>
          <w:p>
            <w:pPr>
              <w:jc w:val="center"/>
            </w:pPr>
            <w:r/>
            <w:r>
              <w:rPr>
                <w:rFonts w:ascii="Heiti TC" w:hAnsi="Heiti TC" w:eastAsia="Heiti TC" w:cs="Heiti TC"/>
                <w:b w:val="0"/>
                <w:i w:val="0"/>
                <w:sz w:val="18"/>
              </w:rPr>
              <w:t>LTD Ratio (ltd\_ratio)</w:t>
            </w:r>
          </w:p>
        </w:tc>
        <w:tc>
          <w:tcPr>
            <w:tcW w:type="dxa" w:w="1344"/>
          </w:tcPr>
          <w:p>
            <w:pPr>
              <w:jc w:val="center"/>
            </w:pPr>
            <w:r/>
            <w:r>
              <w:rPr>
                <w:rFonts w:ascii="Heiti TC" w:hAnsi="Heiti TC" w:eastAsia="Heiti TC" w:cs="Heiti TC"/>
                <w:b w:val="0"/>
                <w:i w:val="0"/>
                <w:sz w:val="18"/>
              </w:rPr>
              <w:t>112</w:t>
            </w:r>
          </w:p>
        </w:tc>
        <w:tc>
          <w:tcPr>
            <w:tcW w:type="dxa" w:w="1344"/>
          </w:tcPr>
          <w:p>
            <w:pPr>
              <w:jc w:val="center"/>
            </w:pPr>
            <w:r/>
            <w:r>
              <w:rPr>
                <w:rFonts w:ascii="Heiti TC" w:hAnsi="Heiti TC" w:eastAsia="Heiti TC" w:cs="Heiti TC"/>
                <w:b w:val="0"/>
                <w:i w:val="0"/>
                <w:sz w:val="18"/>
              </w:rPr>
              <w:t>0.187</w:t>
            </w:r>
          </w:p>
        </w:tc>
        <w:tc>
          <w:tcPr>
            <w:tcW w:type="dxa" w:w="1344"/>
          </w:tcPr>
          <w:p>
            <w:pPr>
              <w:jc w:val="center"/>
            </w:pPr>
            <w:r/>
            <w:r>
              <w:rPr>
                <w:rFonts w:ascii="Heiti TC" w:hAnsi="Heiti TC" w:eastAsia="Heiti TC" w:cs="Heiti TC"/>
                <w:b w:val="0"/>
                <w:i w:val="0"/>
                <w:sz w:val="18"/>
              </w:rPr>
              <w:t>0.075</w:t>
            </w:r>
          </w:p>
        </w:tc>
        <w:tc>
          <w:tcPr>
            <w:tcW w:type="dxa" w:w="1344"/>
          </w:tcPr>
          <w:p>
            <w:pPr>
              <w:jc w:val="center"/>
            </w:pPr>
            <w:r/>
            <w:r>
              <w:rPr>
                <w:rFonts w:ascii="Heiti TC" w:hAnsi="Heiti TC" w:eastAsia="Heiti TC" w:cs="Heiti TC"/>
                <w:b w:val="0"/>
                <w:i w:val="0"/>
                <w:sz w:val="18"/>
              </w:rPr>
              <w:t>0.073</w:t>
            </w:r>
          </w:p>
        </w:tc>
        <w:tc>
          <w:tcPr>
            <w:tcW w:type="dxa" w:w="1344"/>
          </w:tcPr>
          <w:p>
            <w:pPr>
              <w:jc w:val="center"/>
            </w:pPr>
            <w:r/>
            <w:r>
              <w:rPr>
                <w:rFonts w:ascii="Heiti TC" w:hAnsi="Heiti TC" w:eastAsia="Heiti TC" w:cs="Heiti TC"/>
                <w:b w:val="0"/>
                <w:i w:val="0"/>
                <w:sz w:val="18"/>
              </w:rPr>
              <w:t>0.179</w:t>
            </w:r>
          </w:p>
        </w:tc>
        <w:tc>
          <w:tcPr>
            <w:tcW w:type="dxa" w:w="1344"/>
          </w:tcPr>
          <w:p>
            <w:pPr>
              <w:jc w:val="center"/>
            </w:pPr>
            <w:r/>
            <w:r>
              <w:rPr>
                <w:rFonts w:ascii="Heiti TC" w:hAnsi="Heiti TC" w:eastAsia="Heiti TC" w:cs="Heiti TC"/>
                <w:b w:val="0"/>
                <w:i w:val="0"/>
                <w:sz w:val="18"/>
              </w:rPr>
              <w:t>0.381</w:t>
            </w:r>
          </w:p>
        </w:tc>
      </w:tr>
      <w:tr>
        <w:tc>
          <w:tcPr>
            <w:tcW w:type="dxa" w:w="1344"/>
          </w:tcPr>
          <w:p>
            <w:pPr>
              <w:jc w:val="center"/>
            </w:pPr>
            <w:r/>
            <w:r>
              <w:rPr>
                <w:rFonts w:ascii="Heiti TC" w:hAnsi="Heiti TC" w:eastAsia="Heiti TC" w:cs="Heiti TC"/>
                <w:b w:val="0"/>
                <w:i w:val="0"/>
                <w:sz w:val="18"/>
              </w:rPr>
              <w:t>Cost of Debt, \% (cost\_debt)</w:t>
            </w:r>
          </w:p>
        </w:tc>
        <w:tc>
          <w:tcPr>
            <w:tcW w:type="dxa" w:w="1344"/>
          </w:tcPr>
          <w:p>
            <w:pPr>
              <w:jc w:val="center"/>
            </w:pPr>
            <w:r/>
            <w:r>
              <w:rPr>
                <w:rFonts w:ascii="Heiti TC" w:hAnsi="Heiti TC" w:eastAsia="Heiti TC" w:cs="Heiti TC"/>
                <w:b w:val="0"/>
                <w:i w:val="0"/>
                <w:sz w:val="18"/>
              </w:rPr>
              <w:t>112</w:t>
            </w:r>
          </w:p>
        </w:tc>
        <w:tc>
          <w:tcPr>
            <w:tcW w:type="dxa" w:w="1344"/>
          </w:tcPr>
          <w:p>
            <w:pPr>
              <w:jc w:val="center"/>
            </w:pPr>
            <w:r/>
            <w:r>
              <w:rPr>
                <w:rFonts w:ascii="Heiti TC" w:hAnsi="Heiti TC" w:eastAsia="Heiti TC" w:cs="Heiti TC"/>
                <w:b w:val="0"/>
                <w:i w:val="0"/>
                <w:sz w:val="18"/>
              </w:rPr>
              <w:t>5.408</w:t>
            </w:r>
          </w:p>
        </w:tc>
        <w:tc>
          <w:tcPr>
            <w:tcW w:type="dxa" w:w="1344"/>
          </w:tcPr>
          <w:p>
            <w:pPr>
              <w:jc w:val="center"/>
            </w:pPr>
            <w:r/>
            <w:r>
              <w:rPr>
                <w:rFonts w:ascii="Heiti TC" w:hAnsi="Heiti TC" w:eastAsia="Heiti TC" w:cs="Heiti TC"/>
                <w:b w:val="0"/>
                <w:i w:val="0"/>
                <w:sz w:val="18"/>
              </w:rPr>
              <w:t>1.301</w:t>
            </w:r>
          </w:p>
        </w:tc>
        <w:tc>
          <w:tcPr>
            <w:tcW w:type="dxa" w:w="1344"/>
          </w:tcPr>
          <w:p>
            <w:pPr>
              <w:jc w:val="center"/>
            </w:pPr>
            <w:r/>
            <w:r>
              <w:rPr>
                <w:rFonts w:ascii="Heiti TC" w:hAnsi="Heiti TC" w:eastAsia="Heiti TC" w:cs="Heiti TC"/>
                <w:b w:val="0"/>
                <w:i w:val="0"/>
                <w:sz w:val="18"/>
              </w:rPr>
              <w:t>2.387</w:t>
            </w:r>
          </w:p>
        </w:tc>
        <w:tc>
          <w:tcPr>
            <w:tcW w:type="dxa" w:w="1344"/>
          </w:tcPr>
          <w:p>
            <w:pPr>
              <w:jc w:val="center"/>
            </w:pPr>
            <w:r/>
            <w:r>
              <w:rPr>
                <w:rFonts w:ascii="Heiti TC" w:hAnsi="Heiti TC" w:eastAsia="Heiti TC" w:cs="Heiti TC"/>
                <w:b w:val="0"/>
                <w:i w:val="0"/>
                <w:sz w:val="18"/>
              </w:rPr>
              <w:t>5.629</w:t>
            </w:r>
          </w:p>
        </w:tc>
        <w:tc>
          <w:tcPr>
            <w:tcW w:type="dxa" w:w="1344"/>
          </w:tcPr>
          <w:p>
            <w:pPr>
              <w:jc w:val="center"/>
            </w:pPr>
            <w:r/>
            <w:r>
              <w:rPr>
                <w:rFonts w:ascii="Heiti TC" w:hAnsi="Heiti TC" w:eastAsia="Heiti TC" w:cs="Heiti TC"/>
                <w:b w:val="0"/>
                <w:i w:val="0"/>
                <w:sz w:val="18"/>
              </w:rPr>
              <w:t>7.500</w:t>
            </w:r>
          </w:p>
        </w:tc>
      </w:tr>
      <w:tr>
        <w:tc>
          <w:tcPr>
            <w:tcW w:type="dxa" w:w="1344"/>
          </w:tcPr>
          <w:p>
            <w:pPr>
              <w:jc w:val="center"/>
            </w:pPr>
            <w:r/>
            <w:r>
              <w:rPr>
                <w:rFonts w:ascii="Heiti TC" w:hAnsi="Heiti TC" w:eastAsia="Heiti TC" w:cs="Heiti TC"/>
                <w:b w:val="0"/>
                <w:i w:val="0"/>
                <w:sz w:val="18"/>
              </w:rPr>
              <w:t>ESG\_high</w:t>
            </w:r>
          </w:p>
        </w:tc>
        <w:tc>
          <w:tcPr>
            <w:tcW w:type="dxa" w:w="1344"/>
          </w:tcPr>
          <w:p>
            <w:pPr>
              <w:jc w:val="center"/>
            </w:pPr>
            <w:r/>
            <w:r>
              <w:rPr>
                <w:rFonts w:ascii="Heiti TC" w:hAnsi="Heiti TC" w:eastAsia="Heiti TC" w:cs="Heiti TC"/>
                <w:b w:val="0"/>
                <w:i w:val="0"/>
                <w:sz w:val="18"/>
              </w:rPr>
              <w:t>112</w:t>
            </w:r>
          </w:p>
        </w:tc>
        <w:tc>
          <w:tcPr>
            <w:tcW w:type="dxa" w:w="1344"/>
          </w:tcPr>
          <w:p>
            <w:pPr>
              <w:jc w:val="center"/>
            </w:pPr>
            <w:r/>
            <w:r>
              <w:rPr>
                <w:rFonts w:ascii="Heiti TC" w:hAnsi="Heiti TC" w:eastAsia="Heiti TC" w:cs="Heiti TC"/>
                <w:b w:val="0"/>
                <w:i w:val="0"/>
                <w:sz w:val="18"/>
              </w:rPr>
              <w:t>0.250</w:t>
            </w:r>
          </w:p>
        </w:tc>
        <w:tc>
          <w:tcPr>
            <w:tcW w:type="dxa" w:w="1344"/>
          </w:tcPr>
          <w:p>
            <w:pPr>
              <w:jc w:val="center"/>
            </w:pPr>
            <w:r/>
            <w:r>
              <w:rPr>
                <w:rFonts w:ascii="Heiti TC" w:hAnsi="Heiti TC" w:eastAsia="Heiti TC" w:cs="Heiti TC"/>
                <w:b w:val="0"/>
                <w:i w:val="0"/>
                <w:sz w:val="18"/>
              </w:rPr>
              <w:t>0.435</w:t>
            </w:r>
          </w:p>
        </w:tc>
        <w:tc>
          <w:tcPr>
            <w:tcW w:type="dxa" w:w="1344"/>
          </w:tcPr>
          <w:p>
            <w:pPr>
              <w:jc w:val="center"/>
            </w:pPr>
            <w:r/>
            <w:r>
              <w:rPr>
                <w:rFonts w:ascii="Heiti TC" w:hAnsi="Heiti TC" w:eastAsia="Heiti TC" w:cs="Heiti TC"/>
                <w:b w:val="0"/>
                <w:i w:val="0"/>
                <w:sz w:val="18"/>
              </w:rPr>
              <w:t>0.000</w:t>
            </w:r>
          </w:p>
        </w:tc>
        <w:tc>
          <w:tcPr>
            <w:tcW w:type="dxa" w:w="1344"/>
          </w:tcPr>
          <w:p>
            <w:pPr>
              <w:jc w:val="center"/>
            </w:pPr>
            <w:r/>
            <w:r>
              <w:rPr>
                <w:rFonts w:ascii="Heiti TC" w:hAnsi="Heiti TC" w:eastAsia="Heiti TC" w:cs="Heiti TC"/>
                <w:b w:val="0"/>
                <w:i w:val="0"/>
                <w:sz w:val="18"/>
              </w:rPr>
              <w:t>0.000</w:t>
            </w:r>
          </w:p>
        </w:tc>
        <w:tc>
          <w:tcPr>
            <w:tcW w:type="dxa" w:w="1344"/>
          </w:tcPr>
          <w:p>
            <w:pPr>
              <w:jc w:val="center"/>
            </w:pPr>
            <w:r/>
            <w:r>
              <w:rPr>
                <w:rFonts w:ascii="Heiti TC" w:hAnsi="Heiti TC" w:eastAsia="Heiti TC" w:cs="Heiti TC"/>
                <w:b w:val="0"/>
                <w:i w:val="0"/>
                <w:sz w:val="18"/>
              </w:rPr>
              <w:t>1.000</w:t>
            </w:r>
          </w:p>
        </w:tc>
      </w:tr>
      <w:tr>
        <w:tc>
          <w:tcPr>
            <w:tcW w:type="dxa" w:w="1344"/>
          </w:tcPr>
          <w:p>
            <w:pPr>
              <w:jc w:val="center"/>
            </w:pPr>
            <w:r/>
            <w:r>
              <w:rPr>
                <w:rFonts w:ascii="Heiti TC" w:hAnsi="Heiti TC" w:eastAsia="Heiti TC" w:cs="Heiti TC"/>
                <w:b w:val="0"/>
                <w:i w:val="0"/>
                <w:sz w:val="18"/>
              </w:rPr>
              <w:t>Post (2022+)</w:t>
            </w:r>
          </w:p>
        </w:tc>
        <w:tc>
          <w:tcPr>
            <w:tcW w:type="dxa" w:w="1344"/>
          </w:tcPr>
          <w:p>
            <w:pPr>
              <w:jc w:val="center"/>
            </w:pPr>
            <w:r/>
            <w:r>
              <w:rPr>
                <w:rFonts w:ascii="Heiti TC" w:hAnsi="Heiti TC" w:eastAsia="Heiti TC" w:cs="Heiti TC"/>
                <w:b w:val="0"/>
                <w:i w:val="0"/>
                <w:sz w:val="18"/>
              </w:rPr>
              <w:t>112</w:t>
            </w:r>
          </w:p>
        </w:tc>
        <w:tc>
          <w:tcPr>
            <w:tcW w:type="dxa" w:w="1344"/>
          </w:tcPr>
          <w:p>
            <w:pPr>
              <w:jc w:val="center"/>
            </w:pPr>
            <w:r/>
            <w:r>
              <w:rPr>
                <w:rFonts w:ascii="Heiti TC" w:hAnsi="Heiti TC" w:eastAsia="Heiti TC" w:cs="Heiti TC"/>
                <w:b w:val="0"/>
                <w:i w:val="0"/>
                <w:sz w:val="18"/>
              </w:rPr>
              <w:t>0.429</w:t>
            </w:r>
          </w:p>
        </w:tc>
        <w:tc>
          <w:tcPr>
            <w:tcW w:type="dxa" w:w="1344"/>
          </w:tcPr>
          <w:p>
            <w:pPr>
              <w:jc w:val="center"/>
            </w:pPr>
            <w:r/>
            <w:r>
              <w:rPr>
                <w:rFonts w:ascii="Heiti TC" w:hAnsi="Heiti TC" w:eastAsia="Heiti TC" w:cs="Heiti TC"/>
                <w:b w:val="0"/>
                <w:i w:val="0"/>
                <w:sz w:val="18"/>
              </w:rPr>
              <w:t>0.497</w:t>
            </w:r>
          </w:p>
        </w:tc>
        <w:tc>
          <w:tcPr>
            <w:tcW w:type="dxa" w:w="1344"/>
          </w:tcPr>
          <w:p>
            <w:pPr>
              <w:jc w:val="center"/>
            </w:pPr>
            <w:r/>
            <w:r>
              <w:rPr>
                <w:rFonts w:ascii="Heiti TC" w:hAnsi="Heiti TC" w:eastAsia="Heiti TC" w:cs="Heiti TC"/>
                <w:b w:val="0"/>
                <w:i w:val="0"/>
                <w:sz w:val="18"/>
              </w:rPr>
              <w:t>0.000</w:t>
            </w:r>
          </w:p>
        </w:tc>
        <w:tc>
          <w:tcPr>
            <w:tcW w:type="dxa" w:w="1344"/>
          </w:tcPr>
          <w:p>
            <w:pPr>
              <w:jc w:val="center"/>
            </w:pPr>
            <w:r/>
            <w:r>
              <w:rPr>
                <w:rFonts w:ascii="Heiti TC" w:hAnsi="Heiti TC" w:eastAsia="Heiti TC" w:cs="Heiti TC"/>
                <w:b w:val="0"/>
                <w:i w:val="0"/>
                <w:sz w:val="18"/>
              </w:rPr>
              <w:t>0.000</w:t>
            </w:r>
          </w:p>
        </w:tc>
        <w:tc>
          <w:tcPr>
            <w:tcW w:type="dxa" w:w="1344"/>
          </w:tcPr>
          <w:p>
            <w:pPr>
              <w:jc w:val="center"/>
            </w:pPr>
            <w:r/>
            <w:r>
              <w:rPr>
                <w:rFonts w:ascii="Heiti TC" w:hAnsi="Heiti TC" w:eastAsia="Heiti TC" w:cs="Heiti TC"/>
                <w:b w:val="0"/>
                <w:i w:val="0"/>
                <w:sz w:val="18"/>
              </w:rPr>
              <w:t>1.000</w:t>
            </w:r>
          </w:p>
        </w:tc>
      </w:tr>
      <w:tr>
        <w:tc>
          <w:tcPr>
            <w:tcW w:type="dxa" w:w="1344"/>
          </w:tcPr>
          <w:p>
            <w:pPr>
              <w:jc w:val="center"/>
            </w:pPr>
            <w:r/>
            <w:r>
              <w:rPr>
                <w:rFonts w:ascii="Heiti TC" w:hAnsi="Heiti TC" w:eastAsia="Heiti TC" w:cs="Heiti TC"/>
                <w:b w:val="0"/>
                <w:i w:val="0"/>
                <w:sz w:val="18"/>
              </w:rPr>
              <w:t>\ln(Total Assets)</w:t>
            </w:r>
          </w:p>
        </w:tc>
        <w:tc>
          <w:tcPr>
            <w:tcW w:type="dxa" w:w="1344"/>
          </w:tcPr>
          <w:p>
            <w:pPr>
              <w:jc w:val="center"/>
            </w:pPr>
            <w:r/>
            <w:r>
              <w:rPr>
                <w:rFonts w:ascii="Heiti TC" w:hAnsi="Heiti TC" w:eastAsia="Heiti TC" w:cs="Heiti TC"/>
                <w:b w:val="0"/>
                <w:i w:val="0"/>
                <w:sz w:val="18"/>
              </w:rPr>
              <w:t>112</w:t>
            </w:r>
          </w:p>
        </w:tc>
        <w:tc>
          <w:tcPr>
            <w:tcW w:type="dxa" w:w="1344"/>
          </w:tcPr>
          <w:p>
            <w:pPr>
              <w:jc w:val="center"/>
            </w:pPr>
            <w:r/>
            <w:r>
              <w:rPr>
                <w:rFonts w:ascii="Heiti TC" w:hAnsi="Heiti TC" w:eastAsia="Heiti TC" w:cs="Heiti TC"/>
                <w:b w:val="0"/>
                <w:i w:val="0"/>
                <w:sz w:val="18"/>
              </w:rPr>
              <w:t>24.556</w:t>
            </w:r>
          </w:p>
        </w:tc>
        <w:tc>
          <w:tcPr>
            <w:tcW w:type="dxa" w:w="1344"/>
          </w:tcPr>
          <w:p>
            <w:pPr>
              <w:jc w:val="center"/>
            </w:pPr>
            <w:r/>
            <w:r>
              <w:rPr>
                <w:rFonts w:ascii="Heiti TC" w:hAnsi="Heiti TC" w:eastAsia="Heiti TC" w:cs="Heiti TC"/>
                <w:b w:val="0"/>
                <w:i w:val="0"/>
                <w:sz w:val="18"/>
              </w:rPr>
              <w:t>0.916</w:t>
            </w:r>
          </w:p>
        </w:tc>
        <w:tc>
          <w:tcPr>
            <w:tcW w:type="dxa" w:w="1344"/>
          </w:tcPr>
          <w:p>
            <w:pPr>
              <w:jc w:val="center"/>
            </w:pPr>
            <w:r/>
            <w:r>
              <w:rPr>
                <w:rFonts w:ascii="Heiti TC" w:hAnsi="Heiti TC" w:eastAsia="Heiti TC" w:cs="Heiti TC"/>
                <w:b w:val="0"/>
                <w:i w:val="0"/>
                <w:sz w:val="18"/>
              </w:rPr>
              <w:t>23.276</w:t>
            </w:r>
          </w:p>
        </w:tc>
        <w:tc>
          <w:tcPr>
            <w:tcW w:type="dxa" w:w="1344"/>
          </w:tcPr>
          <w:p>
            <w:pPr>
              <w:jc w:val="center"/>
            </w:pPr>
            <w:r/>
            <w:r>
              <w:rPr>
                <w:rFonts w:ascii="Heiti TC" w:hAnsi="Heiti TC" w:eastAsia="Heiti TC" w:cs="Heiti TC"/>
                <w:b w:val="0"/>
                <w:i w:val="0"/>
                <w:sz w:val="18"/>
              </w:rPr>
              <w:t>24.478</w:t>
            </w:r>
          </w:p>
        </w:tc>
        <w:tc>
          <w:tcPr>
            <w:tcW w:type="dxa" w:w="1344"/>
          </w:tcPr>
          <w:p>
            <w:pPr>
              <w:jc w:val="center"/>
            </w:pPr>
            <w:r/>
            <w:r>
              <w:rPr>
                <w:rFonts w:ascii="Heiti TC" w:hAnsi="Heiti TC" w:eastAsia="Heiti TC" w:cs="Heiti TC"/>
                <w:b w:val="0"/>
                <w:i w:val="0"/>
                <w:sz w:val="18"/>
              </w:rPr>
              <w:t>26.652</w:t>
            </w:r>
          </w:p>
        </w:tc>
      </w:tr>
      <w:tr>
        <w:tc>
          <w:tcPr>
            <w:tcW w:type="dxa" w:w="1344"/>
          </w:tcPr>
          <w:p>
            <w:pPr>
              <w:jc w:val="center"/>
            </w:pPr>
            <w:r/>
            <w:r>
              <w:rPr>
                <w:rFonts w:ascii="Heiti TC" w:hAnsi="Heiti TC" w:eastAsia="Heiti TC" w:cs="Heiti TC"/>
                <w:b w:val="0"/>
                <w:i w:val="0"/>
                <w:sz w:val="18"/>
              </w:rPr>
              <w:t>ROA (roa)</w:t>
            </w:r>
          </w:p>
        </w:tc>
        <w:tc>
          <w:tcPr>
            <w:tcW w:type="dxa" w:w="1344"/>
          </w:tcPr>
          <w:p>
            <w:pPr>
              <w:jc w:val="center"/>
            </w:pPr>
            <w:r/>
            <w:r>
              <w:rPr>
                <w:rFonts w:ascii="Heiti TC" w:hAnsi="Heiti TC" w:eastAsia="Heiti TC" w:cs="Heiti TC"/>
                <w:b w:val="0"/>
                <w:i w:val="0"/>
                <w:sz w:val="18"/>
              </w:rPr>
              <w:t>112</w:t>
            </w:r>
          </w:p>
        </w:tc>
        <w:tc>
          <w:tcPr>
            <w:tcW w:type="dxa" w:w="1344"/>
          </w:tcPr>
          <w:p>
            <w:pPr>
              <w:jc w:val="center"/>
            </w:pPr>
            <w:r/>
            <w:r>
              <w:rPr>
                <w:rFonts w:ascii="Heiti TC" w:hAnsi="Heiti TC" w:eastAsia="Heiti TC" w:cs="Heiti TC"/>
                <w:b w:val="0"/>
                <w:i w:val="0"/>
                <w:sz w:val="18"/>
              </w:rPr>
              <w:t>0.047</w:t>
            </w:r>
          </w:p>
        </w:tc>
        <w:tc>
          <w:tcPr>
            <w:tcW w:type="dxa" w:w="1344"/>
          </w:tcPr>
          <w:p>
            <w:pPr>
              <w:jc w:val="center"/>
            </w:pPr>
            <w:r/>
            <w:r>
              <w:rPr>
                <w:rFonts w:ascii="Heiti TC" w:hAnsi="Heiti TC" w:eastAsia="Heiti TC" w:cs="Heiti TC"/>
                <w:b w:val="0"/>
                <w:i w:val="0"/>
                <w:sz w:val="18"/>
              </w:rPr>
              <w:t>0.076</w:t>
            </w:r>
          </w:p>
        </w:tc>
        <w:tc>
          <w:tcPr>
            <w:tcW w:type="dxa" w:w="1344"/>
          </w:tcPr>
          <w:p>
            <w:pPr>
              <w:jc w:val="center"/>
            </w:pPr>
            <w:r/>
            <w:r>
              <w:rPr>
                <w:rFonts w:ascii="Heiti TC" w:hAnsi="Heiti TC" w:eastAsia="Heiti TC" w:cs="Heiti TC"/>
                <w:b w:val="0"/>
                <w:i w:val="0"/>
                <w:sz w:val="18"/>
              </w:rPr>
              <w:t>-0.173</w:t>
            </w:r>
          </w:p>
        </w:tc>
        <w:tc>
          <w:tcPr>
            <w:tcW w:type="dxa" w:w="1344"/>
          </w:tcPr>
          <w:p>
            <w:pPr>
              <w:jc w:val="center"/>
            </w:pPr>
            <w:r/>
            <w:r>
              <w:rPr>
                <w:rFonts w:ascii="Heiti TC" w:hAnsi="Heiti TC" w:eastAsia="Heiti TC" w:cs="Heiti TC"/>
                <w:b w:val="0"/>
                <w:i w:val="0"/>
                <w:sz w:val="18"/>
              </w:rPr>
              <w:t>0.059</w:t>
            </w:r>
          </w:p>
        </w:tc>
        <w:tc>
          <w:tcPr>
            <w:tcW w:type="dxa" w:w="1344"/>
          </w:tcPr>
          <w:p>
            <w:pPr>
              <w:jc w:val="center"/>
            </w:pPr>
            <w:r/>
            <w:r>
              <w:rPr>
                <w:rFonts w:ascii="Heiti TC" w:hAnsi="Heiti TC" w:eastAsia="Heiti TC" w:cs="Heiti TC"/>
                <w:b w:val="0"/>
                <w:i w:val="0"/>
                <w:sz w:val="18"/>
              </w:rPr>
              <w:t>0.197</w:t>
            </w:r>
          </w:p>
        </w:tc>
      </w:tr>
      <w:tr>
        <w:tc>
          <w:tcPr>
            <w:tcW w:type="dxa" w:w="1344"/>
          </w:tcPr>
          <w:p>
            <w:pPr>
              <w:jc w:val="center"/>
            </w:pPr>
            <w:r/>
            <w:r>
              <w:rPr>
                <w:rFonts w:ascii="Heiti TC" w:hAnsi="Heiti TC" w:eastAsia="Heiti TC" w:cs="Heiti TC"/>
                <w:b w:val="0"/>
                <w:i w:val="0"/>
                <w:sz w:val="18"/>
              </w:rPr>
              <w:t>Tangibility</w:t>
            </w:r>
          </w:p>
        </w:tc>
        <w:tc>
          <w:tcPr>
            <w:tcW w:type="dxa" w:w="1344"/>
          </w:tcPr>
          <w:p>
            <w:pPr>
              <w:jc w:val="center"/>
            </w:pPr>
            <w:r/>
            <w:r>
              <w:rPr>
                <w:rFonts w:ascii="Heiti TC" w:hAnsi="Heiti TC" w:eastAsia="Heiti TC" w:cs="Heiti TC"/>
                <w:b w:val="0"/>
                <w:i w:val="0"/>
                <w:sz w:val="18"/>
              </w:rPr>
              <w:t>112</w:t>
            </w:r>
          </w:p>
        </w:tc>
        <w:tc>
          <w:tcPr>
            <w:tcW w:type="dxa" w:w="1344"/>
          </w:tcPr>
          <w:p>
            <w:pPr>
              <w:jc w:val="center"/>
            </w:pPr>
            <w:r/>
            <w:r>
              <w:rPr>
                <w:rFonts w:ascii="Heiti TC" w:hAnsi="Heiti TC" w:eastAsia="Heiti TC" w:cs="Heiti TC"/>
                <w:b w:val="0"/>
                <w:i w:val="0"/>
                <w:sz w:val="18"/>
              </w:rPr>
              <w:t>0.766</w:t>
            </w:r>
          </w:p>
        </w:tc>
        <w:tc>
          <w:tcPr>
            <w:tcW w:type="dxa" w:w="1344"/>
          </w:tcPr>
          <w:p>
            <w:pPr>
              <w:jc w:val="center"/>
            </w:pPr>
            <w:r/>
            <w:r>
              <w:rPr>
                <w:rFonts w:ascii="Heiti TC" w:hAnsi="Heiti TC" w:eastAsia="Heiti TC" w:cs="Heiti TC"/>
                <w:b w:val="0"/>
                <w:i w:val="0"/>
                <w:sz w:val="18"/>
              </w:rPr>
              <w:t>0.321</w:t>
            </w:r>
          </w:p>
        </w:tc>
        <w:tc>
          <w:tcPr>
            <w:tcW w:type="dxa" w:w="1344"/>
          </w:tcPr>
          <w:p>
            <w:pPr>
              <w:jc w:val="center"/>
            </w:pPr>
            <w:r/>
            <w:r>
              <w:rPr>
                <w:rFonts w:ascii="Heiti TC" w:hAnsi="Heiti TC" w:eastAsia="Heiti TC" w:cs="Heiti TC"/>
                <w:b w:val="0"/>
                <w:i w:val="0"/>
                <w:sz w:val="18"/>
              </w:rPr>
              <w:t>0.277</w:t>
            </w:r>
          </w:p>
        </w:tc>
        <w:tc>
          <w:tcPr>
            <w:tcW w:type="dxa" w:w="1344"/>
          </w:tcPr>
          <w:p>
            <w:pPr>
              <w:jc w:val="center"/>
            </w:pPr>
            <w:r/>
            <w:r>
              <w:rPr>
                <w:rFonts w:ascii="Heiti TC" w:hAnsi="Heiti TC" w:eastAsia="Heiti TC" w:cs="Heiti TC"/>
                <w:b w:val="0"/>
                <w:i w:val="0"/>
                <w:sz w:val="18"/>
              </w:rPr>
              <w:t>0.807</w:t>
            </w:r>
          </w:p>
        </w:tc>
        <w:tc>
          <w:tcPr>
            <w:tcW w:type="dxa" w:w="1344"/>
          </w:tcPr>
          <w:p>
            <w:pPr>
              <w:jc w:val="center"/>
            </w:pPr>
            <w:r/>
            <w:r>
              <w:rPr>
                <w:rFonts w:ascii="Heiti TC" w:hAnsi="Heiti TC" w:eastAsia="Heiti TC" w:cs="Heiti TC"/>
                <w:b w:val="0"/>
                <w:i w:val="0"/>
                <w:sz w:val="18"/>
              </w:rPr>
              <w:t>1.509</w:t>
            </w:r>
          </w:p>
        </w:tc>
      </w:tr>
      <w:tr>
        <w:tc>
          <w:tcPr>
            <w:tcW w:type="dxa" w:w="1344"/>
          </w:tcPr>
          <w:p>
            <w:pPr>
              <w:jc w:val="center"/>
            </w:pPr>
            <w:r/>
            <w:r>
              <w:rPr>
                <w:rFonts w:ascii="Heiti TC" w:hAnsi="Heiti TC" w:eastAsia="Heiti TC" w:cs="Heiti TC"/>
                <w:b w:val="0"/>
                <w:i w:val="0"/>
                <w:sz w:val="18"/>
              </w:rPr>
              <w:t>Market-to-Book (mb)</w:t>
            </w:r>
          </w:p>
        </w:tc>
        <w:tc>
          <w:tcPr>
            <w:tcW w:type="dxa" w:w="1344"/>
          </w:tcPr>
          <w:p>
            <w:pPr>
              <w:jc w:val="center"/>
            </w:pPr>
            <w:r/>
            <w:r>
              <w:rPr>
                <w:rFonts w:ascii="Heiti TC" w:hAnsi="Heiti TC" w:eastAsia="Heiti TC" w:cs="Heiti TC"/>
                <w:b w:val="0"/>
                <w:i w:val="0"/>
                <w:sz w:val="18"/>
              </w:rPr>
              <w:t>112</w:t>
            </w:r>
          </w:p>
        </w:tc>
        <w:tc>
          <w:tcPr>
            <w:tcW w:type="dxa" w:w="1344"/>
          </w:tcPr>
          <w:p>
            <w:pPr>
              <w:jc w:val="center"/>
            </w:pPr>
            <w:r/>
            <w:r>
              <w:rPr>
                <w:rFonts w:ascii="Heiti TC" w:hAnsi="Heiti TC" w:eastAsia="Heiti TC" w:cs="Heiti TC"/>
                <w:b w:val="0"/>
                <w:i w:val="0"/>
                <w:sz w:val="18"/>
              </w:rPr>
              <w:t>2.150</w:t>
            </w:r>
          </w:p>
        </w:tc>
        <w:tc>
          <w:tcPr>
            <w:tcW w:type="dxa" w:w="1344"/>
          </w:tcPr>
          <w:p>
            <w:pPr>
              <w:jc w:val="center"/>
            </w:pPr>
            <w:r/>
            <w:r>
              <w:rPr>
                <w:rFonts w:ascii="Heiti TC" w:hAnsi="Heiti TC" w:eastAsia="Heiti TC" w:cs="Heiti TC"/>
                <w:b w:val="0"/>
                <w:i w:val="0"/>
                <w:sz w:val="18"/>
              </w:rPr>
              <w:t>0.538</w:t>
            </w:r>
          </w:p>
        </w:tc>
        <w:tc>
          <w:tcPr>
            <w:tcW w:type="dxa" w:w="1344"/>
          </w:tcPr>
          <w:p>
            <w:pPr>
              <w:jc w:val="center"/>
            </w:pPr>
            <w:r/>
            <w:r>
              <w:rPr>
                <w:rFonts w:ascii="Heiti TC" w:hAnsi="Heiti TC" w:eastAsia="Heiti TC" w:cs="Heiti TC"/>
                <w:b w:val="0"/>
                <w:i w:val="0"/>
                <w:sz w:val="18"/>
              </w:rPr>
              <w:t>1.357</w:t>
            </w:r>
          </w:p>
        </w:tc>
        <w:tc>
          <w:tcPr>
            <w:tcW w:type="dxa" w:w="1344"/>
          </w:tcPr>
          <w:p>
            <w:pPr>
              <w:jc w:val="center"/>
            </w:pPr>
            <w:r/>
            <w:r>
              <w:rPr>
                <w:rFonts w:ascii="Heiti TC" w:hAnsi="Heiti TC" w:eastAsia="Heiti TC" w:cs="Heiti TC"/>
                <w:b w:val="0"/>
                <w:i w:val="0"/>
                <w:sz w:val="18"/>
              </w:rPr>
              <w:t>2.048</w:t>
            </w:r>
          </w:p>
        </w:tc>
        <w:tc>
          <w:tcPr>
            <w:tcW w:type="dxa" w:w="1344"/>
          </w:tcPr>
          <w:p>
            <w:pPr>
              <w:jc w:val="center"/>
            </w:pPr>
            <w:r/>
            <w:r>
              <w:rPr>
                <w:rFonts w:ascii="Heiti TC" w:hAnsi="Heiti TC" w:eastAsia="Heiti TC" w:cs="Heiti TC"/>
                <w:b w:val="0"/>
                <w:i w:val="0"/>
                <w:sz w:val="18"/>
              </w:rPr>
              <w:t>3.803</w:t>
            </w:r>
          </w:p>
        </w:tc>
      </w:tr>
      <w:tr>
        <w:tc>
          <w:tcPr>
            <w:tcW w:type="dxa" w:w="1344"/>
          </w:tcPr>
          <w:p>
            <w:pPr>
              <w:jc w:val="center"/>
            </w:pPr>
            <w:r/>
            <w:r>
              <w:rPr>
                <w:rFonts w:ascii="Heiti TC" w:hAnsi="Heiti TC" w:eastAsia="Heiti TC" w:cs="Heiti TC"/>
                <w:b w:val="0"/>
                <w:i w:val="0"/>
                <w:sz w:val="18"/>
              </w:rPr>
              <w:t>Cash Ratio</w:t>
            </w:r>
          </w:p>
        </w:tc>
        <w:tc>
          <w:tcPr>
            <w:tcW w:type="dxa" w:w="1344"/>
          </w:tcPr>
          <w:p>
            <w:pPr>
              <w:jc w:val="center"/>
            </w:pPr>
            <w:r/>
            <w:r>
              <w:rPr>
                <w:rFonts w:ascii="Heiti TC" w:hAnsi="Heiti TC" w:eastAsia="Heiti TC" w:cs="Heiti TC"/>
                <w:b w:val="0"/>
                <w:i w:val="0"/>
                <w:sz w:val="18"/>
              </w:rPr>
              <w:t>112</w:t>
            </w:r>
          </w:p>
        </w:tc>
        <w:tc>
          <w:tcPr>
            <w:tcW w:type="dxa" w:w="1344"/>
          </w:tcPr>
          <w:p>
            <w:pPr>
              <w:jc w:val="center"/>
            </w:pPr>
            <w:r/>
            <w:r>
              <w:rPr>
                <w:rFonts w:ascii="Heiti TC" w:hAnsi="Heiti TC" w:eastAsia="Heiti TC" w:cs="Heiti TC"/>
                <w:b w:val="0"/>
                <w:i w:val="0"/>
                <w:sz w:val="18"/>
              </w:rPr>
              <w:t>0.040</w:t>
            </w:r>
          </w:p>
        </w:tc>
        <w:tc>
          <w:tcPr>
            <w:tcW w:type="dxa" w:w="1344"/>
          </w:tcPr>
          <w:p>
            <w:pPr>
              <w:jc w:val="center"/>
            </w:pPr>
            <w:r/>
            <w:r>
              <w:rPr>
                <w:rFonts w:ascii="Heiti TC" w:hAnsi="Heiti TC" w:eastAsia="Heiti TC" w:cs="Heiti TC"/>
                <w:b w:val="0"/>
                <w:i w:val="0"/>
                <w:sz w:val="18"/>
              </w:rPr>
              <w:t>0.016</w:t>
            </w:r>
          </w:p>
        </w:tc>
        <w:tc>
          <w:tcPr>
            <w:tcW w:type="dxa" w:w="1344"/>
          </w:tcPr>
          <w:p>
            <w:pPr>
              <w:jc w:val="center"/>
            </w:pPr>
            <w:r/>
            <w:r>
              <w:rPr>
                <w:rFonts w:ascii="Heiti TC" w:hAnsi="Heiti TC" w:eastAsia="Heiti TC" w:cs="Heiti TC"/>
                <w:b w:val="0"/>
                <w:i w:val="0"/>
                <w:sz w:val="18"/>
              </w:rPr>
              <w:t>0.007</w:t>
            </w:r>
          </w:p>
        </w:tc>
        <w:tc>
          <w:tcPr>
            <w:tcW w:type="dxa" w:w="1344"/>
          </w:tcPr>
          <w:p>
            <w:pPr>
              <w:jc w:val="center"/>
            </w:pPr>
            <w:r/>
            <w:r>
              <w:rPr>
                <w:rFonts w:ascii="Heiti TC" w:hAnsi="Heiti TC" w:eastAsia="Heiti TC" w:cs="Heiti TC"/>
                <w:b w:val="0"/>
                <w:i w:val="0"/>
                <w:sz w:val="18"/>
              </w:rPr>
              <w:t>0.040</w:t>
            </w:r>
          </w:p>
        </w:tc>
        <w:tc>
          <w:tcPr>
            <w:tcW w:type="dxa" w:w="1344"/>
          </w:tcPr>
          <w:p>
            <w:pPr>
              <w:jc w:val="center"/>
            </w:pPr>
            <w:r/>
            <w:r>
              <w:rPr>
                <w:rFonts w:ascii="Heiti TC" w:hAnsi="Heiti TC" w:eastAsia="Heiti TC" w:cs="Heiti TC"/>
                <w:b w:val="0"/>
                <w:i w:val="0"/>
                <w:sz w:val="18"/>
              </w:rPr>
              <w:t>0.084</w:t>
            </w:r>
          </w:p>
        </w:tc>
      </w:tr>
    </w:tbl>
    <w:p>
      <w:pPr>
        <w:spacing w:before="240" w:after="120" w:line="360" w:lineRule="auto"/>
        <w:jc w:val="center"/>
      </w:pPr>
      <w:r>
        <w:rPr>
          <w:rFonts w:ascii="Heiti TC" w:hAnsi="Heiti TC" w:eastAsia="Heiti TC" w:cs="Heiti TC"/>
          <w:b/>
          <w:i w:val="0"/>
          <w:sz w:val="22"/>
        </w:rPr>
        <w:t>Table 2: Baseline DID Results</w:t>
      </w:r>
    </w:p>
    <w:tbl>
      <w:tblPr>
        <w:tblW w:type="auto" w:w="0"/>
        <w:jc w:val="center"/>
        <w:tblLook w:firstColumn="1" w:firstRow="1" w:lastColumn="0" w:lastRow="0" w:noHBand="0" w:noVBand="1" w:val="04A0"/>
      </w:tblPr>
      <w:tblGrid>
        <w:gridCol w:w="2351"/>
        <w:gridCol w:w="2351"/>
        <w:gridCol w:w="2351"/>
        <w:gridCol w:w="2351"/>
      </w:tblGrid>
      <w:tr>
        <w:tc>
          <w:tcPr>
            <w:tcW w:type="dxa" w:w="2351"/>
          </w:tcPr>
          <w:p>
            <w:pPr>
              <w:jc w:val="center"/>
            </w:pPr>
            <w:r/>
            <w:r>
              <w:rPr>
                <w:rFonts w:ascii="Heiti TC" w:hAnsi="Heiti TC" w:eastAsia="Heiti TC" w:cs="Heiti TC"/>
                <w:b/>
                <w:i w:val="0"/>
                <w:sz w:val="18"/>
              </w:rPr>
              <w:t>Variable</w:t>
            </w:r>
          </w:p>
        </w:tc>
        <w:tc>
          <w:tcPr>
            <w:tcW w:type="dxa" w:w="2351"/>
          </w:tcPr>
          <w:p>
            <w:pPr>
              <w:jc w:val="center"/>
            </w:pPr>
            <w:r/>
            <w:r>
              <w:rPr>
                <w:rFonts w:ascii="Heiti TC" w:hAnsi="Heiti TC" w:eastAsia="Heiti TC" w:cs="Heiti TC"/>
                <w:b/>
                <w:i w:val="0"/>
                <w:sz w:val="18"/>
              </w:rPr>
              <w:t>(1)</w:t>
            </w:r>
          </w:p>
        </w:tc>
        <w:tc>
          <w:tcPr>
            <w:tcW w:type="dxa" w:w="2351"/>
          </w:tcPr>
          <w:p>
            <w:pPr>
              <w:jc w:val="center"/>
            </w:pPr>
            <w:r/>
            <w:r>
              <w:rPr>
                <w:rFonts w:ascii="Heiti TC" w:hAnsi="Heiti TC" w:eastAsia="Heiti TC" w:cs="Heiti TC"/>
                <w:b/>
                <w:i w:val="0"/>
                <w:sz w:val="18"/>
              </w:rPr>
              <w:t>(2)</w:t>
            </w:r>
          </w:p>
        </w:tc>
        <w:tc>
          <w:tcPr>
            <w:tcW w:type="dxa" w:w="2351"/>
          </w:tcPr>
          <w:p>
            <w:pPr>
              <w:jc w:val="center"/>
            </w:pPr>
            <w:r/>
            <w:r>
              <w:rPr>
                <w:rFonts w:ascii="Heiti TC" w:hAnsi="Heiti TC" w:eastAsia="Heiti TC" w:cs="Heiti TC"/>
                <w:b/>
                <w:i w:val="0"/>
                <w:sz w:val="18"/>
              </w:rPr>
              <w:t>(3)</w:t>
            </w:r>
          </w:p>
        </w:tc>
      </w:tr>
      <w:tr>
        <w:tc>
          <w:tcPr>
            <w:tcW w:type="dxa" w:w="2351"/>
          </w:tcPr>
          <w:p>
            <w:pPr>
              <w:jc w:val="center"/>
            </w:pPr>
            <w:r/>
            <w:r>
              <w:rPr>
                <w:rFonts w:ascii="Heiti TC" w:hAnsi="Heiti TC" w:eastAsia="Heiti TC" w:cs="Heiti TC"/>
                <w:b w:val="0"/>
                <w:i w:val="0"/>
                <w:sz w:val="18"/>
              </w:rPr>
            </w:r>
          </w:p>
        </w:tc>
        <w:tc>
          <w:tcPr>
            <w:tcW w:type="dxa" w:w="2351"/>
          </w:tcPr>
          <w:p>
            <w:pPr>
              <w:jc w:val="center"/>
            </w:pPr>
            <w:r/>
            <w:r>
              <w:rPr>
                <w:rFonts w:ascii="Heiti TC" w:hAnsi="Heiti TC" w:eastAsia="Heiti TC" w:cs="Heiti TC"/>
                <w:b w:val="0"/>
                <w:i/>
                <w:sz w:val="18"/>
              </w:rPr>
              <w:t>Book Lev.</w:t>
            </w:r>
          </w:p>
        </w:tc>
        <w:tc>
          <w:tcPr>
            <w:tcW w:type="dxa" w:w="2351"/>
          </w:tcPr>
          <w:p>
            <w:pPr>
              <w:jc w:val="center"/>
            </w:pPr>
            <w:r/>
            <w:r>
              <w:rPr>
                <w:rFonts w:ascii="Heiti TC" w:hAnsi="Heiti TC" w:eastAsia="Heiti TC" w:cs="Heiti TC"/>
                <w:b w:val="0"/>
                <w:i/>
                <w:sz w:val="18"/>
              </w:rPr>
              <w:t>LTD Ratio</w:t>
            </w:r>
          </w:p>
        </w:tc>
        <w:tc>
          <w:tcPr>
            <w:tcW w:type="dxa" w:w="2351"/>
          </w:tcPr>
          <w:p>
            <w:pPr>
              <w:jc w:val="center"/>
            </w:pPr>
            <w:r/>
            <w:r>
              <w:rPr>
                <w:rFonts w:ascii="Heiti TC" w:hAnsi="Heiti TC" w:eastAsia="Heiti TC" w:cs="Heiti TC"/>
                <w:b w:val="0"/>
                <w:i/>
                <w:sz w:val="18"/>
              </w:rPr>
              <w:t>Cost of Debt (\%)</w:t>
            </w:r>
          </w:p>
        </w:tc>
      </w:tr>
      <w:tr>
        <w:tc>
          <w:tcPr>
            <w:tcW w:type="dxa" w:w="2351"/>
          </w:tcPr>
          <w:p>
            <w:pPr>
              <w:jc w:val="center"/>
            </w:pPr>
            <w:r/>
            <w:r>
              <w:rPr>
                <w:rFonts w:ascii="Heiti TC" w:hAnsi="Heiti TC" w:eastAsia="Heiti TC" w:cs="Heiti TC"/>
                <w:b w:val="0"/>
                <w:i w:val="0"/>
                <w:sz w:val="18"/>
              </w:rPr>
              <w:t>ESG\_high \times Post</w:t>
            </w:r>
          </w:p>
        </w:tc>
        <w:tc>
          <w:tcPr>
            <w:tcW w:type="dxa" w:w="2351"/>
          </w:tcPr>
          <w:p>
            <w:pPr>
              <w:jc w:val="center"/>
            </w:pPr>
            <w:r/>
            <w:r>
              <w:rPr>
                <w:rFonts w:ascii="Heiti TC" w:hAnsi="Heiti TC" w:eastAsia="Heiti TC" w:cs="Heiti TC"/>
                <w:b w:val="0"/>
                <w:i w:val="0"/>
                <w:sz w:val="18"/>
              </w:rPr>
              <w:t>0.0107</w:t>
            </w:r>
          </w:p>
        </w:tc>
        <w:tc>
          <w:tcPr>
            <w:tcW w:type="dxa" w:w="2351"/>
          </w:tcPr>
          <w:p>
            <w:pPr>
              <w:jc w:val="center"/>
            </w:pPr>
            <w:r/>
            <w:r>
              <w:rPr>
                <w:rFonts w:ascii="Heiti TC" w:hAnsi="Heiti TC" w:eastAsia="Heiti TC" w:cs="Heiti TC"/>
                <w:b w:val="0"/>
                <w:i w:val="0"/>
                <w:sz w:val="18"/>
              </w:rPr>
              <w:t>0.0130</w:t>
            </w:r>
          </w:p>
        </w:tc>
        <w:tc>
          <w:tcPr>
            <w:tcW w:type="dxa" w:w="2351"/>
          </w:tcPr>
          <w:p>
            <w:pPr>
              <w:jc w:val="center"/>
            </w:pPr>
            <w:r/>
            <w:r>
              <w:rPr>
                <w:rFonts w:ascii="Heiti TC" w:hAnsi="Heiti TC" w:eastAsia="Heiti TC" w:cs="Heiti TC"/>
                <w:b w:val="0"/>
                <w:i w:val="0"/>
                <w:sz w:val="18"/>
              </w:rPr>
              <w:t>0.0879</w:t>
            </w:r>
          </w:p>
        </w:tc>
      </w:tr>
      <w:tr>
        <w:tc>
          <w:tcPr>
            <w:tcW w:type="dxa" w:w="2351"/>
          </w:tcPr>
          <w:p>
            <w:pPr>
              <w:jc w:val="center"/>
            </w:pPr>
            <w:r/>
            <w:r>
              <w:rPr>
                <w:rFonts w:ascii="Heiti TC" w:hAnsi="Heiti TC" w:eastAsia="Heiti TC" w:cs="Heiti TC"/>
                <w:b w:val="0"/>
                <w:i w:val="0"/>
                <w:sz w:val="18"/>
              </w:rPr>
            </w:r>
          </w:p>
        </w:tc>
        <w:tc>
          <w:tcPr>
            <w:tcW w:type="dxa" w:w="2351"/>
          </w:tcPr>
          <w:p>
            <w:pPr>
              <w:jc w:val="center"/>
            </w:pPr>
            <w:r/>
            <w:r>
              <w:rPr>
                <w:rFonts w:ascii="Heiti TC" w:hAnsi="Heiti TC" w:eastAsia="Heiti TC" w:cs="Heiti TC"/>
                <w:b w:val="0"/>
                <w:i w:val="0"/>
                <w:sz w:val="18"/>
              </w:rPr>
              <w:t>(0.0083)</w:t>
            </w:r>
          </w:p>
        </w:tc>
        <w:tc>
          <w:tcPr>
            <w:tcW w:type="dxa" w:w="2351"/>
          </w:tcPr>
          <w:p>
            <w:pPr>
              <w:jc w:val="center"/>
            </w:pPr>
            <w:r/>
            <w:r>
              <w:rPr>
                <w:rFonts w:ascii="Heiti TC" w:hAnsi="Heiti TC" w:eastAsia="Heiti TC" w:cs="Heiti TC"/>
                <w:b w:val="0"/>
                <w:i w:val="0"/>
                <w:sz w:val="18"/>
              </w:rPr>
              <w:t>(0.0081)</w:t>
            </w:r>
          </w:p>
        </w:tc>
        <w:tc>
          <w:tcPr>
            <w:tcW w:type="dxa" w:w="2351"/>
          </w:tcPr>
          <w:p>
            <w:pPr>
              <w:jc w:val="center"/>
            </w:pPr>
            <w:r/>
            <w:r>
              <w:rPr>
                <w:rFonts w:ascii="Heiti TC" w:hAnsi="Heiti TC" w:eastAsia="Heiti TC" w:cs="Heiti TC"/>
                <w:b w:val="0"/>
                <w:i w:val="0"/>
                <w:sz w:val="18"/>
              </w:rPr>
              <w:t>(0.3345)</w:t>
            </w:r>
          </w:p>
        </w:tc>
      </w:tr>
      <w:tr>
        <w:tc>
          <w:tcPr>
            <w:tcW w:type="dxa" w:w="2351"/>
          </w:tcPr>
          <w:p>
            <w:pPr>
              <w:jc w:val="center"/>
            </w:pPr>
            <w:r/>
            <w:r>
              <w:rPr>
                <w:rFonts w:ascii="Heiti TC" w:hAnsi="Heiti TC" w:eastAsia="Heiti TC" w:cs="Heiti TC"/>
                <w:b w:val="0"/>
                <w:i w:val="0"/>
                <w:sz w:val="18"/>
              </w:rPr>
              <w:t>ESG\_high</w:t>
            </w:r>
          </w:p>
        </w:tc>
        <w:tc>
          <w:tcPr>
            <w:tcW w:type="dxa" w:w="2351"/>
          </w:tcPr>
          <w:p>
            <w:pPr>
              <w:jc w:val="center"/>
            </w:pPr>
            <w:r/>
            <w:r>
              <w:rPr>
                <w:rFonts w:ascii="Heiti TC" w:hAnsi="Heiti TC" w:eastAsia="Heiti TC" w:cs="Heiti TC"/>
                <w:b w:val="0"/>
                <w:i w:val="0"/>
                <w:sz w:val="18"/>
              </w:rPr>
              <w:t>0.0058</w:t>
            </w:r>
          </w:p>
        </w:tc>
        <w:tc>
          <w:tcPr>
            <w:tcW w:type="dxa" w:w="2351"/>
          </w:tcPr>
          <w:p>
            <w:pPr>
              <w:jc w:val="center"/>
            </w:pPr>
            <w:r/>
            <w:r>
              <w:rPr>
                <w:rFonts w:ascii="Heiti TC" w:hAnsi="Heiti TC" w:eastAsia="Heiti TC" w:cs="Heiti TC"/>
                <w:b w:val="0"/>
                <w:i w:val="0"/>
                <w:sz w:val="18"/>
              </w:rPr>
              <w:t>-0.0308</w:t>
            </w:r>
          </w:p>
        </w:tc>
        <w:tc>
          <w:tcPr>
            <w:tcW w:type="dxa" w:w="2351"/>
          </w:tcPr>
          <w:p>
            <w:pPr>
              <w:jc w:val="center"/>
            </w:pPr>
            <w:r/>
            <w:r>
              <w:rPr>
                <w:rFonts w:ascii="Heiti TC" w:hAnsi="Heiti TC" w:eastAsia="Heiti TC" w:cs="Heiti TC"/>
                <w:b w:val="0"/>
                <w:i w:val="0"/>
                <w:sz w:val="18"/>
              </w:rPr>
              <w:t>-0.2055</w:t>
            </w:r>
          </w:p>
        </w:tc>
      </w:tr>
      <w:tr>
        <w:tc>
          <w:tcPr>
            <w:tcW w:type="dxa" w:w="2351"/>
          </w:tcPr>
          <w:p>
            <w:pPr>
              <w:jc w:val="center"/>
            </w:pPr>
            <w:r/>
            <w:r>
              <w:rPr>
                <w:rFonts w:ascii="Heiti TC" w:hAnsi="Heiti TC" w:eastAsia="Heiti TC" w:cs="Heiti TC"/>
                <w:b w:val="0"/>
                <w:i w:val="0"/>
                <w:sz w:val="18"/>
              </w:rPr>
            </w:r>
          </w:p>
        </w:tc>
        <w:tc>
          <w:tcPr>
            <w:tcW w:type="dxa" w:w="2351"/>
          </w:tcPr>
          <w:p>
            <w:pPr>
              <w:jc w:val="center"/>
            </w:pPr>
            <w:r/>
            <w:r>
              <w:rPr>
                <w:rFonts w:ascii="Heiti TC" w:hAnsi="Heiti TC" w:eastAsia="Heiti TC" w:cs="Heiti TC"/>
                <w:b w:val="0"/>
                <w:i w:val="0"/>
                <w:sz w:val="18"/>
              </w:rPr>
              <w:t>(0.0624)</w:t>
            </w:r>
          </w:p>
        </w:tc>
        <w:tc>
          <w:tcPr>
            <w:tcW w:type="dxa" w:w="2351"/>
          </w:tcPr>
          <w:p>
            <w:pPr>
              <w:jc w:val="center"/>
            </w:pPr>
            <w:r/>
            <w:r>
              <w:rPr>
                <w:rFonts w:ascii="Heiti TC" w:hAnsi="Heiti TC" w:eastAsia="Heiti TC" w:cs="Heiti TC"/>
                <w:b w:val="0"/>
                <w:i w:val="0"/>
                <w:sz w:val="18"/>
              </w:rPr>
              <w:t>(0.0537)</w:t>
            </w:r>
          </w:p>
        </w:tc>
        <w:tc>
          <w:tcPr>
            <w:tcW w:type="dxa" w:w="2351"/>
          </w:tcPr>
          <w:p>
            <w:pPr>
              <w:jc w:val="center"/>
            </w:pPr>
            <w:r/>
            <w:r>
              <w:rPr>
                <w:rFonts w:ascii="Heiti TC" w:hAnsi="Heiti TC" w:eastAsia="Heiti TC" w:cs="Heiti TC"/>
                <w:b w:val="0"/>
                <w:i w:val="0"/>
                <w:sz w:val="18"/>
              </w:rPr>
              <w:t>(0.8456)</w:t>
            </w:r>
          </w:p>
        </w:tc>
      </w:tr>
      <w:tr>
        <w:tc>
          <w:tcPr>
            <w:tcW w:type="dxa" w:w="2351"/>
          </w:tcPr>
          <w:p>
            <w:pPr>
              <w:jc w:val="center"/>
            </w:pPr>
            <w:r/>
            <w:r>
              <w:rPr>
                <w:rFonts w:ascii="Heiti TC" w:hAnsi="Heiti TC" w:eastAsia="Heiti TC" w:cs="Heiti TC"/>
                <w:b w:val="0"/>
                <w:i w:val="0"/>
                <w:sz w:val="18"/>
              </w:rPr>
              <w:t>Post</w:t>
            </w:r>
          </w:p>
        </w:tc>
        <w:tc>
          <w:tcPr>
            <w:tcW w:type="dxa" w:w="2351"/>
          </w:tcPr>
          <w:p>
            <w:pPr>
              <w:jc w:val="center"/>
            </w:pPr>
            <w:r/>
            <w:r>
              <w:rPr>
                <w:rFonts w:ascii="Heiti TC" w:hAnsi="Heiti TC" w:eastAsia="Heiti TC" w:cs="Heiti TC"/>
                <w:b w:val="0"/>
                <w:i w:val="0"/>
                <w:sz w:val="18"/>
              </w:rPr>
              <w:t>-0.0299^{***}</w:t>
            </w:r>
          </w:p>
        </w:tc>
        <w:tc>
          <w:tcPr>
            <w:tcW w:type="dxa" w:w="2351"/>
          </w:tcPr>
          <w:p>
            <w:pPr>
              <w:jc w:val="center"/>
            </w:pPr>
            <w:r/>
            <w:r>
              <w:rPr>
                <w:rFonts w:ascii="Heiti TC" w:hAnsi="Heiti TC" w:eastAsia="Heiti TC" w:cs="Heiti TC"/>
                <w:b w:val="0"/>
                <w:i w:val="0"/>
                <w:sz w:val="18"/>
              </w:rPr>
              <w:t>-0.0273^{***}</w:t>
            </w:r>
          </w:p>
        </w:tc>
        <w:tc>
          <w:tcPr>
            <w:tcW w:type="dxa" w:w="2351"/>
          </w:tcPr>
          <w:p>
            <w:pPr>
              <w:jc w:val="center"/>
            </w:pPr>
            <w:r/>
            <w:r>
              <w:rPr>
                <w:rFonts w:ascii="Heiti TC" w:hAnsi="Heiti TC" w:eastAsia="Heiti TC" w:cs="Heiti TC"/>
                <w:b w:val="0"/>
                <w:i w:val="0"/>
                <w:sz w:val="18"/>
              </w:rPr>
              <w:t>0.0146</w:t>
            </w:r>
          </w:p>
        </w:tc>
      </w:tr>
      <w:tr>
        <w:tc>
          <w:tcPr>
            <w:tcW w:type="dxa" w:w="2351"/>
          </w:tcPr>
          <w:p>
            <w:pPr>
              <w:jc w:val="center"/>
            </w:pPr>
            <w:r/>
            <w:r>
              <w:rPr>
                <w:rFonts w:ascii="Heiti TC" w:hAnsi="Heiti TC" w:eastAsia="Heiti TC" w:cs="Heiti TC"/>
                <w:b w:val="0"/>
                <w:i w:val="0"/>
                <w:sz w:val="18"/>
              </w:rPr>
            </w:r>
          </w:p>
        </w:tc>
        <w:tc>
          <w:tcPr>
            <w:tcW w:type="dxa" w:w="2351"/>
          </w:tcPr>
          <w:p>
            <w:pPr>
              <w:jc w:val="center"/>
            </w:pPr>
            <w:r/>
            <w:r>
              <w:rPr>
                <w:rFonts w:ascii="Heiti TC" w:hAnsi="Heiti TC" w:eastAsia="Heiti TC" w:cs="Heiti TC"/>
                <w:b w:val="0"/>
                <w:i w:val="0"/>
                <w:sz w:val="18"/>
              </w:rPr>
              <w:t>(0.0070)</w:t>
            </w:r>
          </w:p>
        </w:tc>
        <w:tc>
          <w:tcPr>
            <w:tcW w:type="dxa" w:w="2351"/>
          </w:tcPr>
          <w:p>
            <w:pPr>
              <w:jc w:val="center"/>
            </w:pPr>
            <w:r/>
            <w:r>
              <w:rPr>
                <w:rFonts w:ascii="Heiti TC" w:hAnsi="Heiti TC" w:eastAsia="Heiti TC" w:cs="Heiti TC"/>
                <w:b w:val="0"/>
                <w:i w:val="0"/>
                <w:sz w:val="18"/>
              </w:rPr>
              <w:t>(0.0068)</w:t>
            </w:r>
          </w:p>
        </w:tc>
        <w:tc>
          <w:tcPr>
            <w:tcW w:type="dxa" w:w="2351"/>
          </w:tcPr>
          <w:p>
            <w:pPr>
              <w:jc w:val="center"/>
            </w:pPr>
            <w:r/>
            <w:r>
              <w:rPr>
                <w:rFonts w:ascii="Heiti TC" w:hAnsi="Heiti TC" w:eastAsia="Heiti TC" w:cs="Heiti TC"/>
                <w:b w:val="0"/>
                <w:i w:val="0"/>
                <w:sz w:val="18"/>
              </w:rPr>
              <w:t>(0.0924)</w:t>
            </w:r>
          </w:p>
        </w:tc>
      </w:tr>
      <w:tr>
        <w:tc>
          <w:tcPr>
            <w:tcW w:type="dxa" w:w="2351"/>
          </w:tcPr>
          <w:p>
            <w:pPr>
              <w:jc w:val="center"/>
            </w:pPr>
            <w:r/>
            <w:r>
              <w:rPr>
                <w:rFonts w:ascii="Heiti TC" w:hAnsi="Heiti TC" w:eastAsia="Heiti TC" w:cs="Heiti TC"/>
                <w:b w:val="0"/>
                <w:i w:val="0"/>
                <w:sz w:val="18"/>
              </w:rPr>
              <w:t>\ln(Assets)</w:t>
            </w:r>
          </w:p>
        </w:tc>
        <w:tc>
          <w:tcPr>
            <w:tcW w:type="dxa" w:w="2351"/>
          </w:tcPr>
          <w:p>
            <w:pPr>
              <w:jc w:val="center"/>
            </w:pPr>
            <w:r/>
            <w:r>
              <w:rPr>
                <w:rFonts w:ascii="Heiti TC" w:hAnsi="Heiti TC" w:eastAsia="Heiti TC" w:cs="Heiti TC"/>
                <w:b w:val="0"/>
                <w:i w:val="0"/>
                <w:sz w:val="18"/>
              </w:rPr>
              <w:t>-0.0610</w:t>
            </w:r>
          </w:p>
        </w:tc>
        <w:tc>
          <w:tcPr>
            <w:tcW w:type="dxa" w:w="2351"/>
          </w:tcPr>
          <w:p>
            <w:pPr>
              <w:jc w:val="center"/>
            </w:pPr>
            <w:r/>
            <w:r>
              <w:rPr>
                <w:rFonts w:ascii="Heiti TC" w:hAnsi="Heiti TC" w:eastAsia="Heiti TC" w:cs="Heiti TC"/>
                <w:b w:val="0"/>
                <w:i w:val="0"/>
                <w:sz w:val="18"/>
              </w:rPr>
              <w:t>-0.0352</w:t>
            </w:r>
          </w:p>
        </w:tc>
        <w:tc>
          <w:tcPr>
            <w:tcW w:type="dxa" w:w="2351"/>
          </w:tcPr>
          <w:p>
            <w:pPr>
              <w:jc w:val="center"/>
            </w:pPr>
            <w:r/>
            <w:r>
              <w:rPr>
                <w:rFonts w:ascii="Heiti TC" w:hAnsi="Heiti TC" w:eastAsia="Heiti TC" w:cs="Heiti TC"/>
                <w:b w:val="0"/>
                <w:i w:val="0"/>
                <w:sz w:val="18"/>
              </w:rPr>
              <w:t>-0.9107^{†}</w:t>
            </w:r>
          </w:p>
        </w:tc>
      </w:tr>
      <w:tr>
        <w:tc>
          <w:tcPr>
            <w:tcW w:type="dxa" w:w="2351"/>
          </w:tcPr>
          <w:p>
            <w:pPr>
              <w:jc w:val="center"/>
            </w:pPr>
            <w:r/>
            <w:r>
              <w:rPr>
                <w:rFonts w:ascii="Heiti TC" w:hAnsi="Heiti TC" w:eastAsia="Heiti TC" w:cs="Heiti TC"/>
                <w:b w:val="0"/>
                <w:i w:val="0"/>
                <w:sz w:val="18"/>
              </w:rPr>
            </w:r>
          </w:p>
        </w:tc>
        <w:tc>
          <w:tcPr>
            <w:tcW w:type="dxa" w:w="2351"/>
          </w:tcPr>
          <w:p>
            <w:pPr>
              <w:jc w:val="center"/>
            </w:pPr>
            <w:r/>
            <w:r>
              <w:rPr>
                <w:rFonts w:ascii="Heiti TC" w:hAnsi="Heiti TC" w:eastAsia="Heiti TC" w:cs="Heiti TC"/>
                <w:b w:val="0"/>
                <w:i w:val="0"/>
                <w:sz w:val="18"/>
              </w:rPr>
              <w:t>(0.0397)</w:t>
            </w:r>
          </w:p>
        </w:tc>
        <w:tc>
          <w:tcPr>
            <w:tcW w:type="dxa" w:w="2351"/>
          </w:tcPr>
          <w:p>
            <w:pPr>
              <w:jc w:val="center"/>
            </w:pPr>
            <w:r/>
            <w:r>
              <w:rPr>
                <w:rFonts w:ascii="Heiti TC" w:hAnsi="Heiti TC" w:eastAsia="Heiti TC" w:cs="Heiti TC"/>
                <w:b w:val="0"/>
                <w:i w:val="0"/>
                <w:sz w:val="18"/>
              </w:rPr>
              <w:t>(0.0352)</w:t>
            </w:r>
          </w:p>
        </w:tc>
        <w:tc>
          <w:tcPr>
            <w:tcW w:type="dxa" w:w="2351"/>
          </w:tcPr>
          <w:p>
            <w:pPr>
              <w:jc w:val="center"/>
            </w:pPr>
            <w:r/>
            <w:r>
              <w:rPr>
                <w:rFonts w:ascii="Heiti TC" w:hAnsi="Heiti TC" w:eastAsia="Heiti TC" w:cs="Heiti TC"/>
                <w:b w:val="0"/>
                <w:i w:val="0"/>
                <w:sz w:val="18"/>
              </w:rPr>
              <w:t>(0.4915)</w:t>
            </w:r>
          </w:p>
        </w:tc>
      </w:tr>
      <w:tr>
        <w:tc>
          <w:tcPr>
            <w:tcW w:type="dxa" w:w="2351"/>
          </w:tcPr>
          <w:p>
            <w:pPr>
              <w:jc w:val="center"/>
            </w:pPr>
            <w:r/>
            <w:r>
              <w:rPr>
                <w:rFonts w:ascii="Heiti TC" w:hAnsi="Heiti TC" w:eastAsia="Heiti TC" w:cs="Heiti TC"/>
                <w:b w:val="0"/>
                <w:i w:val="0"/>
                <w:sz w:val="18"/>
              </w:rPr>
              <w:t>ROA</w:t>
            </w:r>
          </w:p>
        </w:tc>
        <w:tc>
          <w:tcPr>
            <w:tcW w:type="dxa" w:w="2351"/>
          </w:tcPr>
          <w:p>
            <w:pPr>
              <w:jc w:val="center"/>
            </w:pPr>
            <w:r/>
            <w:r>
              <w:rPr>
                <w:rFonts w:ascii="Heiti TC" w:hAnsi="Heiti TC" w:eastAsia="Heiti TC" w:cs="Heiti TC"/>
                <w:b w:val="0"/>
                <w:i w:val="0"/>
                <w:sz w:val="18"/>
              </w:rPr>
              <w:t>-0.0614</w:t>
            </w:r>
          </w:p>
        </w:tc>
        <w:tc>
          <w:tcPr>
            <w:tcW w:type="dxa" w:w="2351"/>
          </w:tcPr>
          <w:p>
            <w:pPr>
              <w:jc w:val="center"/>
            </w:pPr>
            <w:r/>
            <w:r>
              <w:rPr>
                <w:rFonts w:ascii="Heiti TC" w:hAnsi="Heiti TC" w:eastAsia="Heiti TC" w:cs="Heiti TC"/>
                <w:b w:val="0"/>
                <w:i w:val="0"/>
                <w:sz w:val="18"/>
              </w:rPr>
              <w:t>-0.0487</w:t>
            </w:r>
          </w:p>
        </w:tc>
        <w:tc>
          <w:tcPr>
            <w:tcW w:type="dxa" w:w="2351"/>
          </w:tcPr>
          <w:p>
            <w:pPr>
              <w:jc w:val="center"/>
            </w:pPr>
            <w:r/>
            <w:r>
              <w:rPr>
                <w:rFonts w:ascii="Heiti TC" w:hAnsi="Heiti TC" w:eastAsia="Heiti TC" w:cs="Heiti TC"/>
                <w:b w:val="0"/>
                <w:i w:val="0"/>
                <w:sz w:val="18"/>
              </w:rPr>
              <w:t>-0.7613</w:t>
            </w:r>
          </w:p>
        </w:tc>
      </w:tr>
      <w:tr>
        <w:tc>
          <w:tcPr>
            <w:tcW w:type="dxa" w:w="2351"/>
          </w:tcPr>
          <w:p>
            <w:pPr>
              <w:jc w:val="center"/>
            </w:pPr>
            <w:r/>
            <w:r>
              <w:rPr>
                <w:rFonts w:ascii="Heiti TC" w:hAnsi="Heiti TC" w:eastAsia="Heiti TC" w:cs="Heiti TC"/>
                <w:b w:val="0"/>
                <w:i w:val="0"/>
                <w:sz w:val="18"/>
              </w:rPr>
            </w:r>
          </w:p>
        </w:tc>
        <w:tc>
          <w:tcPr>
            <w:tcW w:type="dxa" w:w="2351"/>
          </w:tcPr>
          <w:p>
            <w:pPr>
              <w:jc w:val="center"/>
            </w:pPr>
            <w:r/>
            <w:r>
              <w:rPr>
                <w:rFonts w:ascii="Heiti TC" w:hAnsi="Heiti TC" w:eastAsia="Heiti TC" w:cs="Heiti TC"/>
                <w:b w:val="0"/>
                <w:i w:val="0"/>
                <w:sz w:val="18"/>
              </w:rPr>
              <w:t>(0.0563)</w:t>
            </w:r>
          </w:p>
        </w:tc>
        <w:tc>
          <w:tcPr>
            <w:tcW w:type="dxa" w:w="2351"/>
          </w:tcPr>
          <w:p>
            <w:pPr>
              <w:jc w:val="center"/>
            </w:pPr>
            <w:r/>
            <w:r>
              <w:rPr>
                <w:rFonts w:ascii="Heiti TC" w:hAnsi="Heiti TC" w:eastAsia="Heiti TC" w:cs="Heiti TC"/>
                <w:b w:val="0"/>
                <w:i w:val="0"/>
                <w:sz w:val="18"/>
              </w:rPr>
              <w:t>(0.0608)</w:t>
            </w:r>
          </w:p>
        </w:tc>
        <w:tc>
          <w:tcPr>
            <w:tcW w:type="dxa" w:w="2351"/>
          </w:tcPr>
          <w:p>
            <w:pPr>
              <w:jc w:val="center"/>
            </w:pPr>
            <w:r/>
            <w:r>
              <w:rPr>
                <w:rFonts w:ascii="Heiti TC" w:hAnsi="Heiti TC" w:eastAsia="Heiti TC" w:cs="Heiti TC"/>
                <w:b w:val="0"/>
                <w:i w:val="0"/>
                <w:sz w:val="18"/>
              </w:rPr>
              <w:t>(0.7427)</w:t>
            </w:r>
          </w:p>
        </w:tc>
      </w:tr>
      <w:tr>
        <w:tc>
          <w:tcPr>
            <w:tcW w:type="dxa" w:w="2351"/>
          </w:tcPr>
          <w:p>
            <w:pPr>
              <w:jc w:val="center"/>
            </w:pPr>
            <w:r/>
            <w:r>
              <w:rPr>
                <w:rFonts w:ascii="Heiti TC" w:hAnsi="Heiti TC" w:eastAsia="Heiti TC" w:cs="Heiti TC"/>
                <w:b w:val="0"/>
                <w:i w:val="0"/>
                <w:sz w:val="18"/>
              </w:rPr>
              <w:t>Tangibility</w:t>
            </w:r>
          </w:p>
        </w:tc>
        <w:tc>
          <w:tcPr>
            <w:tcW w:type="dxa" w:w="2351"/>
          </w:tcPr>
          <w:p>
            <w:pPr>
              <w:jc w:val="center"/>
            </w:pPr>
            <w:r/>
            <w:r>
              <w:rPr>
                <w:rFonts w:ascii="Heiti TC" w:hAnsi="Heiti TC" w:eastAsia="Heiti TC" w:cs="Heiti TC"/>
                <w:b w:val="0"/>
                <w:i w:val="0"/>
                <w:sz w:val="18"/>
              </w:rPr>
              <w:t>-0.0584</w:t>
            </w:r>
          </w:p>
        </w:tc>
        <w:tc>
          <w:tcPr>
            <w:tcW w:type="dxa" w:w="2351"/>
          </w:tcPr>
          <w:p>
            <w:pPr>
              <w:jc w:val="center"/>
            </w:pPr>
            <w:r/>
            <w:r>
              <w:rPr>
                <w:rFonts w:ascii="Heiti TC" w:hAnsi="Heiti TC" w:eastAsia="Heiti TC" w:cs="Heiti TC"/>
                <w:b w:val="0"/>
                <w:i w:val="0"/>
                <w:sz w:val="18"/>
              </w:rPr>
              <w:t>-0.0363</w:t>
            </w:r>
          </w:p>
        </w:tc>
        <w:tc>
          <w:tcPr>
            <w:tcW w:type="dxa" w:w="2351"/>
          </w:tcPr>
          <w:p>
            <w:pPr>
              <w:jc w:val="center"/>
            </w:pPr>
            <w:r/>
            <w:r>
              <w:rPr>
                <w:rFonts w:ascii="Heiti TC" w:hAnsi="Heiti TC" w:eastAsia="Heiti TC" w:cs="Heiti TC"/>
                <w:b w:val="0"/>
                <w:i w:val="0"/>
                <w:sz w:val="18"/>
              </w:rPr>
              <w:t>2.5808</w:t>
            </w:r>
          </w:p>
        </w:tc>
      </w:tr>
      <w:tr>
        <w:tc>
          <w:tcPr>
            <w:tcW w:type="dxa" w:w="2351"/>
          </w:tcPr>
          <w:p>
            <w:pPr>
              <w:jc w:val="center"/>
            </w:pPr>
            <w:r/>
            <w:r>
              <w:rPr>
                <w:rFonts w:ascii="Heiti TC" w:hAnsi="Heiti TC" w:eastAsia="Heiti TC" w:cs="Heiti TC"/>
                <w:b w:val="0"/>
                <w:i w:val="0"/>
                <w:sz w:val="18"/>
              </w:rPr>
            </w:r>
          </w:p>
        </w:tc>
        <w:tc>
          <w:tcPr>
            <w:tcW w:type="dxa" w:w="2351"/>
          </w:tcPr>
          <w:p>
            <w:pPr>
              <w:jc w:val="center"/>
            </w:pPr>
            <w:r/>
            <w:r>
              <w:rPr>
                <w:rFonts w:ascii="Heiti TC" w:hAnsi="Heiti TC" w:eastAsia="Heiti TC" w:cs="Heiti TC"/>
                <w:b w:val="0"/>
                <w:i w:val="0"/>
                <w:sz w:val="18"/>
              </w:rPr>
              <w:t>(0.0621)</w:t>
            </w:r>
          </w:p>
        </w:tc>
        <w:tc>
          <w:tcPr>
            <w:tcW w:type="dxa" w:w="2351"/>
          </w:tcPr>
          <w:p>
            <w:pPr>
              <w:jc w:val="center"/>
            </w:pPr>
            <w:r/>
            <w:r>
              <w:rPr>
                <w:rFonts w:ascii="Heiti TC" w:hAnsi="Heiti TC" w:eastAsia="Heiti TC" w:cs="Heiti TC"/>
                <w:b w:val="0"/>
                <w:i w:val="0"/>
                <w:sz w:val="18"/>
              </w:rPr>
              <w:t>(0.0610)</w:t>
            </w:r>
          </w:p>
        </w:tc>
        <w:tc>
          <w:tcPr>
            <w:tcW w:type="dxa" w:w="2351"/>
          </w:tcPr>
          <w:p>
            <w:pPr>
              <w:jc w:val="center"/>
            </w:pPr>
            <w:r/>
            <w:r>
              <w:rPr>
                <w:rFonts w:ascii="Heiti TC" w:hAnsi="Heiti TC" w:eastAsia="Heiti TC" w:cs="Heiti TC"/>
                <w:b w:val="0"/>
                <w:i w:val="0"/>
                <w:sz w:val="18"/>
              </w:rPr>
              <w:t>(1.7704)</w:t>
            </w:r>
          </w:p>
        </w:tc>
      </w:tr>
      <w:tr>
        <w:tc>
          <w:tcPr>
            <w:tcW w:type="dxa" w:w="2351"/>
          </w:tcPr>
          <w:p>
            <w:pPr>
              <w:jc w:val="center"/>
            </w:pPr>
            <w:r/>
            <w:r>
              <w:rPr>
                <w:rFonts w:ascii="Heiti TC" w:hAnsi="Heiti TC" w:eastAsia="Heiti TC" w:cs="Heiti TC"/>
                <w:b w:val="0"/>
                <w:i w:val="0"/>
                <w:sz w:val="18"/>
              </w:rPr>
              <w:t>Market-to-Book</w:t>
            </w:r>
          </w:p>
        </w:tc>
        <w:tc>
          <w:tcPr>
            <w:tcW w:type="dxa" w:w="2351"/>
          </w:tcPr>
          <w:p>
            <w:pPr>
              <w:jc w:val="center"/>
            </w:pPr>
            <w:r/>
            <w:r>
              <w:rPr>
                <w:rFonts w:ascii="Heiti TC" w:hAnsi="Heiti TC" w:eastAsia="Heiti TC" w:cs="Heiti TC"/>
                <w:b w:val="0"/>
                <w:i w:val="0"/>
                <w:sz w:val="18"/>
              </w:rPr>
              <w:t>0.0280^{†}</w:t>
            </w:r>
          </w:p>
        </w:tc>
        <w:tc>
          <w:tcPr>
            <w:tcW w:type="dxa" w:w="2351"/>
          </w:tcPr>
          <w:p>
            <w:pPr>
              <w:jc w:val="center"/>
            </w:pPr>
            <w:r/>
            <w:r>
              <w:rPr>
                <w:rFonts w:ascii="Heiti TC" w:hAnsi="Heiti TC" w:eastAsia="Heiti TC" w:cs="Heiti TC"/>
                <w:b w:val="0"/>
                <w:i w:val="0"/>
                <w:sz w:val="18"/>
              </w:rPr>
              <w:t>0.0263^{*}</w:t>
            </w:r>
          </w:p>
        </w:tc>
        <w:tc>
          <w:tcPr>
            <w:tcW w:type="dxa" w:w="2351"/>
          </w:tcPr>
          <w:p>
            <w:pPr>
              <w:jc w:val="center"/>
            </w:pPr>
            <w:r/>
            <w:r>
              <w:rPr>
                <w:rFonts w:ascii="Heiti TC" w:hAnsi="Heiti TC" w:eastAsia="Heiti TC" w:cs="Heiti TC"/>
                <w:b w:val="0"/>
                <w:i w:val="0"/>
                <w:sz w:val="18"/>
              </w:rPr>
              <w:t>-0.1537</w:t>
            </w:r>
          </w:p>
        </w:tc>
      </w:tr>
      <w:tr>
        <w:tc>
          <w:tcPr>
            <w:tcW w:type="dxa" w:w="2351"/>
          </w:tcPr>
          <w:p>
            <w:pPr>
              <w:jc w:val="center"/>
            </w:pPr>
            <w:r/>
            <w:r>
              <w:rPr>
                <w:rFonts w:ascii="Heiti TC" w:hAnsi="Heiti TC" w:eastAsia="Heiti TC" w:cs="Heiti TC"/>
                <w:b w:val="0"/>
                <w:i w:val="0"/>
                <w:sz w:val="18"/>
              </w:rPr>
            </w:r>
          </w:p>
        </w:tc>
        <w:tc>
          <w:tcPr>
            <w:tcW w:type="dxa" w:w="2351"/>
          </w:tcPr>
          <w:p>
            <w:pPr>
              <w:jc w:val="center"/>
            </w:pPr>
            <w:r/>
            <w:r>
              <w:rPr>
                <w:rFonts w:ascii="Heiti TC" w:hAnsi="Heiti TC" w:eastAsia="Heiti TC" w:cs="Heiti TC"/>
                <w:b w:val="0"/>
                <w:i w:val="0"/>
                <w:sz w:val="18"/>
              </w:rPr>
              <w:t>(0.0152)</w:t>
            </w:r>
          </w:p>
        </w:tc>
        <w:tc>
          <w:tcPr>
            <w:tcW w:type="dxa" w:w="2351"/>
          </w:tcPr>
          <w:p>
            <w:pPr>
              <w:jc w:val="center"/>
            </w:pPr>
            <w:r/>
            <w:r>
              <w:rPr>
                <w:rFonts w:ascii="Heiti TC" w:hAnsi="Heiti TC" w:eastAsia="Heiti TC" w:cs="Heiti TC"/>
                <w:b w:val="0"/>
                <w:i w:val="0"/>
                <w:sz w:val="18"/>
              </w:rPr>
              <w:t>(0.0129)</w:t>
            </w:r>
          </w:p>
        </w:tc>
        <w:tc>
          <w:tcPr>
            <w:tcW w:type="dxa" w:w="2351"/>
          </w:tcPr>
          <w:p>
            <w:pPr>
              <w:jc w:val="center"/>
            </w:pPr>
            <w:r/>
            <w:r>
              <w:rPr>
                <w:rFonts w:ascii="Heiti TC" w:hAnsi="Heiti TC" w:eastAsia="Heiti TC" w:cs="Heiti TC"/>
                <w:b w:val="0"/>
                <w:i w:val="0"/>
                <w:sz w:val="18"/>
              </w:rPr>
              <w:t>(0.2940)</w:t>
            </w:r>
          </w:p>
        </w:tc>
      </w:tr>
      <w:tr>
        <w:tc>
          <w:tcPr>
            <w:tcW w:type="dxa" w:w="2351"/>
          </w:tcPr>
          <w:p>
            <w:pPr>
              <w:jc w:val="center"/>
            </w:pPr>
            <w:r/>
            <w:r>
              <w:rPr>
                <w:rFonts w:ascii="Heiti TC" w:hAnsi="Heiti TC" w:eastAsia="Heiti TC" w:cs="Heiti TC"/>
                <w:b w:val="0"/>
                <w:i w:val="0"/>
                <w:sz w:val="18"/>
              </w:rPr>
              <w:t>Cash Ratio</w:t>
            </w:r>
          </w:p>
        </w:tc>
        <w:tc>
          <w:tcPr>
            <w:tcW w:type="dxa" w:w="2351"/>
          </w:tcPr>
          <w:p>
            <w:pPr>
              <w:jc w:val="center"/>
            </w:pPr>
            <w:r/>
            <w:r>
              <w:rPr>
                <w:rFonts w:ascii="Heiti TC" w:hAnsi="Heiti TC" w:eastAsia="Heiti TC" w:cs="Heiti TC"/>
                <w:b w:val="0"/>
                <w:i w:val="0"/>
                <w:sz w:val="18"/>
              </w:rPr>
              <w:t>0.0154</w:t>
            </w:r>
          </w:p>
        </w:tc>
        <w:tc>
          <w:tcPr>
            <w:tcW w:type="dxa" w:w="2351"/>
          </w:tcPr>
          <w:p>
            <w:pPr>
              <w:jc w:val="center"/>
            </w:pPr>
            <w:r/>
            <w:r>
              <w:rPr>
                <w:rFonts w:ascii="Heiti TC" w:hAnsi="Heiti TC" w:eastAsia="Heiti TC" w:cs="Heiti TC"/>
                <w:b w:val="0"/>
                <w:i w:val="0"/>
                <w:sz w:val="18"/>
              </w:rPr>
              <w:t>0.1329</w:t>
            </w:r>
          </w:p>
        </w:tc>
        <w:tc>
          <w:tcPr>
            <w:tcW w:type="dxa" w:w="2351"/>
          </w:tcPr>
          <w:p>
            <w:pPr>
              <w:jc w:val="center"/>
            </w:pPr>
            <w:r/>
            <w:r>
              <w:rPr>
                <w:rFonts w:ascii="Heiti TC" w:hAnsi="Heiti TC" w:eastAsia="Heiti TC" w:cs="Heiti TC"/>
                <w:b w:val="0"/>
                <w:i w:val="0"/>
                <w:sz w:val="18"/>
              </w:rPr>
              <w:t>0.1627</w:t>
            </w:r>
          </w:p>
        </w:tc>
      </w:tr>
      <w:tr>
        <w:tc>
          <w:tcPr>
            <w:tcW w:type="dxa" w:w="2351"/>
          </w:tcPr>
          <w:p>
            <w:pPr>
              <w:jc w:val="center"/>
            </w:pPr>
            <w:r/>
            <w:r>
              <w:rPr>
                <w:rFonts w:ascii="Heiti TC" w:hAnsi="Heiti TC" w:eastAsia="Heiti TC" w:cs="Heiti TC"/>
                <w:b w:val="0"/>
                <w:i w:val="0"/>
                <w:sz w:val="18"/>
              </w:rPr>
            </w:r>
          </w:p>
        </w:tc>
        <w:tc>
          <w:tcPr>
            <w:tcW w:type="dxa" w:w="2351"/>
          </w:tcPr>
          <w:p>
            <w:pPr>
              <w:jc w:val="center"/>
            </w:pPr>
            <w:r/>
            <w:r>
              <w:rPr>
                <w:rFonts w:ascii="Heiti TC" w:hAnsi="Heiti TC" w:eastAsia="Heiti TC" w:cs="Heiti TC"/>
                <w:b w:val="0"/>
                <w:i w:val="0"/>
                <w:sz w:val="18"/>
              </w:rPr>
              <w:t>(0.3601)</w:t>
            </w:r>
          </w:p>
        </w:tc>
        <w:tc>
          <w:tcPr>
            <w:tcW w:type="dxa" w:w="2351"/>
          </w:tcPr>
          <w:p>
            <w:pPr>
              <w:jc w:val="center"/>
            </w:pPr>
            <w:r/>
            <w:r>
              <w:rPr>
                <w:rFonts w:ascii="Heiti TC" w:hAnsi="Heiti TC" w:eastAsia="Heiti TC" w:cs="Heiti TC"/>
                <w:b w:val="0"/>
                <w:i w:val="0"/>
                <w:sz w:val="18"/>
              </w:rPr>
              <w:t>(0.3265)</w:t>
            </w:r>
          </w:p>
        </w:tc>
        <w:tc>
          <w:tcPr>
            <w:tcW w:type="dxa" w:w="2351"/>
          </w:tcPr>
          <w:p>
            <w:pPr>
              <w:jc w:val="center"/>
            </w:pPr>
            <w:r/>
            <w:r>
              <w:rPr>
                <w:rFonts w:ascii="Heiti TC" w:hAnsi="Heiti TC" w:eastAsia="Heiti TC" w:cs="Heiti TC"/>
                <w:b w:val="0"/>
                <w:i w:val="0"/>
                <w:sz w:val="18"/>
              </w:rPr>
              <w:t>(7.1868)</w:t>
            </w:r>
          </w:p>
        </w:tc>
      </w:tr>
      <w:tr>
        <w:tc>
          <w:tcPr>
            <w:tcW w:type="dxa" w:w="2351"/>
          </w:tcPr>
          <w:p>
            <w:pPr>
              <w:jc w:val="center"/>
            </w:pPr>
            <w:r/>
            <w:r>
              <w:rPr>
                <w:rFonts w:ascii="Heiti TC" w:hAnsi="Heiti TC" w:eastAsia="Heiti TC" w:cs="Heiti TC"/>
                <w:b w:val="0"/>
                <w:i w:val="0"/>
                <w:sz w:val="18"/>
              </w:rPr>
              <w:t>Firm FE</w:t>
            </w:r>
          </w:p>
        </w:tc>
        <w:tc>
          <w:tcPr>
            <w:tcW w:type="dxa" w:w="2351"/>
          </w:tcPr>
          <w:p>
            <w:pPr>
              <w:jc w:val="center"/>
            </w:pPr>
            <w:r/>
            <w:r>
              <w:rPr>
                <w:rFonts w:ascii="Heiti TC" w:hAnsi="Heiti TC" w:eastAsia="Heiti TC" w:cs="Heiti TC"/>
                <w:b w:val="0"/>
                <w:i w:val="0"/>
                <w:sz w:val="18"/>
              </w:rPr>
              <w:t>✓</w:t>
            </w:r>
          </w:p>
        </w:tc>
        <w:tc>
          <w:tcPr>
            <w:tcW w:type="dxa" w:w="2351"/>
          </w:tcPr>
          <w:p>
            <w:pPr>
              <w:jc w:val="center"/>
            </w:pPr>
            <w:r/>
            <w:r>
              <w:rPr>
                <w:rFonts w:ascii="Heiti TC" w:hAnsi="Heiti TC" w:eastAsia="Heiti TC" w:cs="Heiti TC"/>
                <w:b w:val="0"/>
                <w:i w:val="0"/>
                <w:sz w:val="18"/>
              </w:rPr>
              <w:t>✓</w:t>
            </w:r>
          </w:p>
        </w:tc>
        <w:tc>
          <w:tcPr>
            <w:tcW w:type="dxa" w:w="2351"/>
          </w:tcPr>
          <w:p>
            <w:pPr>
              <w:jc w:val="center"/>
            </w:pPr>
            <w:r/>
            <w:r>
              <w:rPr>
                <w:rFonts w:ascii="Heiti TC" w:hAnsi="Heiti TC" w:eastAsia="Heiti TC" w:cs="Heiti TC"/>
                <w:b w:val="0"/>
                <w:i w:val="0"/>
                <w:sz w:val="18"/>
              </w:rPr>
              <w:t>✓</w:t>
            </w:r>
          </w:p>
        </w:tc>
      </w:tr>
      <w:tr>
        <w:tc>
          <w:tcPr>
            <w:tcW w:type="dxa" w:w="2351"/>
          </w:tcPr>
          <w:p>
            <w:pPr>
              <w:jc w:val="center"/>
            </w:pPr>
            <w:r/>
            <w:r>
              <w:rPr>
                <w:rFonts w:ascii="Heiti TC" w:hAnsi="Heiti TC" w:eastAsia="Heiti TC" w:cs="Heiti TC"/>
                <w:b w:val="0"/>
                <w:i w:val="0"/>
                <w:sz w:val="18"/>
              </w:rPr>
              <w:t>Year FE</w:t>
            </w:r>
          </w:p>
        </w:tc>
        <w:tc>
          <w:tcPr>
            <w:tcW w:type="dxa" w:w="2351"/>
          </w:tcPr>
          <w:p>
            <w:pPr>
              <w:jc w:val="center"/>
            </w:pPr>
            <w:r/>
            <w:r>
              <w:rPr>
                <w:rFonts w:ascii="Heiti TC" w:hAnsi="Heiti TC" w:eastAsia="Heiti TC" w:cs="Heiti TC"/>
                <w:b w:val="0"/>
                <w:i w:val="0"/>
                <w:sz w:val="18"/>
              </w:rPr>
              <w:t>✓</w:t>
            </w:r>
          </w:p>
        </w:tc>
        <w:tc>
          <w:tcPr>
            <w:tcW w:type="dxa" w:w="2351"/>
          </w:tcPr>
          <w:p>
            <w:pPr>
              <w:jc w:val="center"/>
            </w:pPr>
            <w:r/>
            <w:r>
              <w:rPr>
                <w:rFonts w:ascii="Heiti TC" w:hAnsi="Heiti TC" w:eastAsia="Heiti TC" w:cs="Heiti TC"/>
                <w:b w:val="0"/>
                <w:i w:val="0"/>
                <w:sz w:val="18"/>
              </w:rPr>
              <w:t>✓</w:t>
            </w:r>
          </w:p>
        </w:tc>
        <w:tc>
          <w:tcPr>
            <w:tcW w:type="dxa" w:w="2351"/>
          </w:tcPr>
          <w:p>
            <w:pPr>
              <w:jc w:val="center"/>
            </w:pPr>
            <w:r/>
            <w:r>
              <w:rPr>
                <w:rFonts w:ascii="Heiti TC" w:hAnsi="Heiti TC" w:eastAsia="Heiti TC" w:cs="Heiti TC"/>
                <w:b w:val="0"/>
                <w:i w:val="0"/>
                <w:sz w:val="18"/>
              </w:rPr>
              <w:t>✓</w:t>
            </w:r>
          </w:p>
        </w:tc>
      </w:tr>
      <w:tr>
        <w:tc>
          <w:tcPr>
            <w:tcW w:type="dxa" w:w="2351"/>
          </w:tcPr>
          <w:p>
            <w:pPr>
              <w:jc w:val="center"/>
            </w:pPr>
            <w:r/>
            <w:r>
              <w:rPr>
                <w:rFonts w:ascii="Heiti TC" w:hAnsi="Heiti TC" w:eastAsia="Heiti TC" w:cs="Heiti TC"/>
                <w:b w:val="0"/>
                <w:i w:val="0"/>
                <w:sz w:val="18"/>
              </w:rPr>
              <w:t>Observations</w:t>
            </w:r>
          </w:p>
        </w:tc>
        <w:tc>
          <w:tcPr>
            <w:tcW w:type="dxa" w:w="2351"/>
          </w:tcPr>
          <w:p>
            <w:pPr>
              <w:jc w:val="center"/>
            </w:pPr>
            <w:r/>
            <w:r>
              <w:rPr>
                <w:rFonts w:ascii="Heiti TC" w:hAnsi="Heiti TC" w:eastAsia="Heiti TC" w:cs="Heiti TC"/>
                <w:b w:val="0"/>
                <w:i w:val="0"/>
                <w:sz w:val="18"/>
              </w:rPr>
              <w:t>112</w:t>
            </w:r>
          </w:p>
        </w:tc>
        <w:tc>
          <w:tcPr>
            <w:tcW w:type="dxa" w:w="2351"/>
          </w:tcPr>
          <w:p>
            <w:pPr>
              <w:jc w:val="center"/>
            </w:pPr>
            <w:r/>
            <w:r>
              <w:rPr>
                <w:rFonts w:ascii="Heiti TC" w:hAnsi="Heiti TC" w:eastAsia="Heiti TC" w:cs="Heiti TC"/>
                <w:b w:val="0"/>
                <w:i w:val="0"/>
                <w:sz w:val="18"/>
              </w:rPr>
              <w:t>112</w:t>
            </w:r>
          </w:p>
        </w:tc>
        <w:tc>
          <w:tcPr>
            <w:tcW w:type="dxa" w:w="2351"/>
          </w:tcPr>
          <w:p>
            <w:pPr>
              <w:jc w:val="center"/>
            </w:pPr>
            <w:r/>
            <w:r>
              <w:rPr>
                <w:rFonts w:ascii="Heiti TC" w:hAnsi="Heiti TC" w:eastAsia="Heiti TC" w:cs="Heiti TC"/>
                <w:b w:val="0"/>
                <w:i w:val="0"/>
                <w:sz w:val="18"/>
              </w:rPr>
              <w:t>112</w:t>
            </w:r>
          </w:p>
        </w:tc>
      </w:tr>
    </w:tbl>
    <w:p>
      <w:pPr>
        <w:spacing w:before="240" w:after="120" w:line="360" w:lineRule="auto"/>
        <w:jc w:val="center"/>
      </w:pPr>
      <w:r>
        <w:rPr>
          <w:rFonts w:ascii="Heiti TC" w:hAnsi="Heiti TC" w:eastAsia="Heiti TC" w:cs="Heiti TC"/>
          <w:b/>
          <w:i w:val="0"/>
          <w:sz w:val="22"/>
        </w:rPr>
        <w:t>Table 3: Heterogeneity Analysis</w:t>
      </w:r>
    </w:p>
    <w:tbl>
      <w:tblPr>
        <w:tblW w:type="auto" w:w="0"/>
        <w:jc w:val="center"/>
        <w:tblLook w:firstColumn="1" w:firstRow="1" w:lastColumn="0" w:lastRow="0" w:noHBand="0" w:noVBand="1" w:val="04A0"/>
      </w:tblPr>
      <w:tblGrid>
        <w:gridCol w:w="1568"/>
        <w:gridCol w:w="1568"/>
        <w:gridCol w:w="1568"/>
        <w:gridCol w:w="1568"/>
        <w:gridCol w:w="1568"/>
        <w:gridCol w:w="1568"/>
      </w:tblGrid>
      <w:tr>
        <w:tc>
          <w:tcPr>
            <w:tcW w:type="dxa" w:w="1568"/>
          </w:tcPr>
          <w:p>
            <w:pPr>
              <w:jc w:val="center"/>
            </w:pPr>
            <w:r/>
            <w:r>
              <w:rPr>
                <w:rFonts w:ascii="Heiti TC" w:hAnsi="Heiti TC" w:eastAsia="Heiti TC" w:cs="Heiti TC"/>
                <w:b/>
                <w:i w:val="0"/>
                <w:sz w:val="18"/>
              </w:rPr>
              <w:t>Sub-sample</w:t>
            </w:r>
          </w:p>
        </w:tc>
        <w:tc>
          <w:tcPr>
            <w:tcW w:type="dxa" w:w="1568"/>
          </w:tcPr>
          <w:p>
            <w:pPr>
              <w:jc w:val="center"/>
            </w:pPr>
            <w:r/>
            <w:r>
              <w:rPr>
                <w:rFonts w:ascii="Heiti TC" w:hAnsi="Heiti TC" w:eastAsia="Heiti TC" w:cs="Heiti TC"/>
                <w:b/>
                <w:i w:val="0"/>
                <w:sz w:val="18"/>
              </w:rPr>
              <w:t>DID Coef.</w:t>
            </w:r>
          </w:p>
        </w:tc>
        <w:tc>
          <w:tcPr>
            <w:tcW w:type="dxa" w:w="1568"/>
          </w:tcPr>
          <w:p>
            <w:pPr>
              <w:jc w:val="center"/>
            </w:pPr>
            <w:r/>
            <w:r>
              <w:rPr>
                <w:rFonts w:ascii="Heiti TC" w:hAnsi="Heiti TC" w:eastAsia="Heiti TC" w:cs="Heiti TC"/>
                <w:b/>
                <w:i w:val="0"/>
                <w:sz w:val="18"/>
              </w:rPr>
              <w:t>Std Err</w:t>
            </w:r>
          </w:p>
        </w:tc>
        <w:tc>
          <w:tcPr>
            <w:tcW w:type="dxa" w:w="1568"/>
          </w:tcPr>
          <w:p>
            <w:pPr>
              <w:jc w:val="center"/>
            </w:pPr>
            <w:r/>
            <w:r>
              <w:rPr>
                <w:rFonts w:ascii="Heiti TC" w:hAnsi="Heiti TC" w:eastAsia="Heiti TC" w:cs="Heiti TC"/>
                <w:b/>
                <w:i w:val="0"/>
                <w:sz w:val="18"/>
              </w:rPr>
              <w:t>t-stat</w:t>
            </w:r>
          </w:p>
        </w:tc>
        <w:tc>
          <w:tcPr>
            <w:tcW w:type="dxa" w:w="1568"/>
          </w:tcPr>
          <w:p>
            <w:pPr>
              <w:jc w:val="center"/>
            </w:pPr>
            <w:r/>
            <w:r>
              <w:rPr>
                <w:rFonts w:ascii="Heiti TC" w:hAnsi="Heiti TC" w:eastAsia="Heiti TC" w:cs="Heiti TC"/>
                <w:b/>
                <w:i w:val="0"/>
                <w:sz w:val="18"/>
              </w:rPr>
              <w:t>N</w:t>
            </w:r>
          </w:p>
        </w:tc>
        <w:tc>
          <w:tcPr>
            <w:tcW w:type="dxa" w:w="1568"/>
          </w:tcPr>
          <w:p/>
        </w:tc>
      </w:tr>
      <w:tr>
        <w:tc>
          <w:tcPr>
            <w:tcW w:type="dxa" w:w="1568"/>
          </w:tcPr>
          <w:p>
            <w:pPr>
              <w:jc w:val="center"/>
            </w:pPr>
            <w:r/>
            <w:r>
              <w:rPr>
                <w:rFonts w:ascii="Heiti TC" w:hAnsi="Heiti TC" w:eastAsia="Heiti TC" w:cs="Heiti TC"/>
                <w:b w:val="0"/>
                <w:i w:val="0"/>
                <w:sz w:val="18"/>
              </w:rPr>
              <w:t>E\</w:t>
            </w:r>
          </w:p>
        </w:tc>
        <w:tc>
          <w:tcPr>
            <w:tcW w:type="dxa" w:w="1568"/>
          </w:tcPr>
          <w:p>
            <w:pPr>
              <w:jc w:val="center"/>
            </w:pPr>
            <w:r/>
            <w:r>
              <w:rPr>
                <w:rFonts w:ascii="Heiti TC" w:hAnsi="Heiti TC" w:eastAsia="Heiti TC" w:cs="Heiti TC"/>
                <w:b w:val="0"/>
                <w:i w:val="0"/>
                <w:sz w:val="18"/>
              </w:rPr>
              <w:t>P (Non-integrated)</w:t>
            </w:r>
          </w:p>
        </w:tc>
        <w:tc>
          <w:tcPr>
            <w:tcW w:type="dxa" w:w="1568"/>
          </w:tcPr>
          <w:p>
            <w:pPr>
              <w:jc w:val="center"/>
            </w:pPr>
            <w:r/>
            <w:r>
              <w:rPr>
                <w:rFonts w:ascii="Heiti TC" w:hAnsi="Heiti TC" w:eastAsia="Heiti TC" w:cs="Heiti TC"/>
                <w:b w:val="0"/>
                <w:i w:val="0"/>
                <w:sz w:val="18"/>
              </w:rPr>
              <w:t>0.0342^{***}</w:t>
            </w:r>
          </w:p>
        </w:tc>
        <w:tc>
          <w:tcPr>
            <w:tcW w:type="dxa" w:w="1568"/>
          </w:tcPr>
          <w:p>
            <w:pPr>
              <w:jc w:val="center"/>
            </w:pPr>
            <w:r/>
            <w:r>
              <w:rPr>
                <w:rFonts w:ascii="Heiti TC" w:hAnsi="Heiti TC" w:eastAsia="Heiti TC" w:cs="Heiti TC"/>
                <w:b w:val="0"/>
                <w:i w:val="0"/>
                <w:sz w:val="18"/>
              </w:rPr>
              <w:t>0.0128</w:t>
            </w:r>
          </w:p>
        </w:tc>
        <w:tc>
          <w:tcPr>
            <w:tcW w:type="dxa" w:w="1568"/>
          </w:tcPr>
          <w:p>
            <w:pPr>
              <w:jc w:val="center"/>
            </w:pPr>
            <w:r/>
            <w:r>
              <w:rPr>
                <w:rFonts w:ascii="Heiti TC" w:hAnsi="Heiti TC" w:eastAsia="Heiti TC" w:cs="Heiti TC"/>
                <w:b w:val="0"/>
                <w:i w:val="0"/>
                <w:sz w:val="18"/>
              </w:rPr>
              <w:t>2.67</w:t>
            </w:r>
          </w:p>
        </w:tc>
        <w:tc>
          <w:tcPr>
            <w:tcW w:type="dxa" w:w="1568"/>
          </w:tcPr>
          <w:p>
            <w:pPr>
              <w:jc w:val="center"/>
            </w:pPr>
            <w:r/>
            <w:r>
              <w:rPr>
                <w:rFonts w:ascii="Heiti TC" w:hAnsi="Heiti TC" w:eastAsia="Heiti TC" w:cs="Heiti TC"/>
                <w:b w:val="0"/>
                <w:i w:val="0"/>
                <w:sz w:val="18"/>
              </w:rPr>
              <w:t>56</w:t>
            </w:r>
          </w:p>
        </w:tc>
      </w:tr>
      <w:tr>
        <w:tc>
          <w:tcPr>
            <w:tcW w:type="dxa" w:w="1568"/>
          </w:tcPr>
          <w:p>
            <w:pPr>
              <w:jc w:val="center"/>
            </w:pPr>
            <w:r/>
            <w:r>
              <w:rPr>
                <w:rFonts w:ascii="Heiti TC" w:hAnsi="Heiti TC" w:eastAsia="Heiti TC" w:cs="Heiti TC"/>
                <w:b w:val="0"/>
                <w:i w:val="0"/>
                <w:sz w:val="18"/>
              </w:rPr>
              <w:t>Midstream</w:t>
            </w:r>
          </w:p>
        </w:tc>
        <w:tc>
          <w:tcPr>
            <w:tcW w:type="dxa" w:w="1568"/>
          </w:tcPr>
          <w:p>
            <w:pPr>
              <w:jc w:val="center"/>
            </w:pPr>
            <w:r/>
            <w:r>
              <w:rPr>
                <w:rFonts w:ascii="Heiti TC" w:hAnsi="Heiti TC" w:eastAsia="Heiti TC" w:cs="Heiti TC"/>
                <w:b w:val="0"/>
                <w:i w:val="0"/>
                <w:sz w:val="18"/>
              </w:rPr>
              <w:t>0.0268^{**}</w:t>
            </w:r>
          </w:p>
        </w:tc>
        <w:tc>
          <w:tcPr>
            <w:tcW w:type="dxa" w:w="1568"/>
          </w:tcPr>
          <w:p>
            <w:pPr>
              <w:jc w:val="center"/>
            </w:pPr>
            <w:r/>
            <w:r>
              <w:rPr>
                <w:rFonts w:ascii="Heiti TC" w:hAnsi="Heiti TC" w:eastAsia="Heiti TC" w:cs="Heiti TC"/>
                <w:b w:val="0"/>
                <w:i w:val="0"/>
                <w:sz w:val="18"/>
              </w:rPr>
              <w:t>0.0098</w:t>
            </w:r>
          </w:p>
        </w:tc>
        <w:tc>
          <w:tcPr>
            <w:tcW w:type="dxa" w:w="1568"/>
          </w:tcPr>
          <w:p>
            <w:pPr>
              <w:jc w:val="center"/>
            </w:pPr>
            <w:r/>
            <w:r>
              <w:rPr>
                <w:rFonts w:ascii="Heiti TC" w:hAnsi="Heiti TC" w:eastAsia="Heiti TC" w:cs="Heiti TC"/>
                <w:b w:val="0"/>
                <w:i w:val="0"/>
                <w:sz w:val="18"/>
              </w:rPr>
              <w:t>2.74</w:t>
            </w:r>
          </w:p>
        </w:tc>
        <w:tc>
          <w:tcPr>
            <w:tcW w:type="dxa" w:w="1568"/>
          </w:tcPr>
          <w:p>
            <w:pPr>
              <w:jc w:val="center"/>
            </w:pPr>
            <w:r/>
            <w:r>
              <w:rPr>
                <w:rFonts w:ascii="Heiti TC" w:hAnsi="Heiti TC" w:eastAsia="Heiti TC" w:cs="Heiti TC"/>
                <w:b w:val="0"/>
                <w:i w:val="0"/>
                <w:sz w:val="18"/>
              </w:rPr>
              <w:t>42</w:t>
            </w:r>
          </w:p>
        </w:tc>
        <w:tc>
          <w:tcPr>
            <w:tcW w:type="dxa" w:w="1568"/>
          </w:tcPr>
          <w:p/>
        </w:tc>
      </w:tr>
      <w:tr>
        <w:tc>
          <w:tcPr>
            <w:tcW w:type="dxa" w:w="1568"/>
          </w:tcPr>
          <w:p>
            <w:pPr>
              <w:jc w:val="center"/>
            </w:pPr>
            <w:r/>
            <w:r>
              <w:rPr>
                <w:rFonts w:ascii="Heiti TC" w:hAnsi="Heiti TC" w:eastAsia="Heiti TC" w:cs="Heiti TC"/>
                <w:b w:val="0"/>
                <w:i w:val="0"/>
                <w:sz w:val="18"/>
              </w:rPr>
              <w:t>Equipment \</w:t>
            </w:r>
          </w:p>
        </w:tc>
        <w:tc>
          <w:tcPr>
            <w:tcW w:type="dxa" w:w="1568"/>
          </w:tcPr>
          <w:p>
            <w:pPr>
              <w:jc w:val="center"/>
            </w:pPr>
            <w:r/>
            <w:r>
              <w:rPr>
                <w:rFonts w:ascii="Heiti TC" w:hAnsi="Heiti TC" w:eastAsia="Heiti TC" w:cs="Heiti TC"/>
                <w:b w:val="0"/>
                <w:i w:val="0"/>
                <w:sz w:val="18"/>
              </w:rPr>
              <w:t>Services</w:t>
            </w:r>
          </w:p>
        </w:tc>
        <w:tc>
          <w:tcPr>
            <w:tcW w:type="dxa" w:w="1568"/>
          </w:tcPr>
          <w:p>
            <w:pPr>
              <w:jc w:val="center"/>
            </w:pPr>
            <w:r/>
            <w:r>
              <w:rPr>
                <w:rFonts w:ascii="Heiti TC" w:hAnsi="Heiti TC" w:eastAsia="Heiti TC" w:cs="Heiti TC"/>
                <w:b w:val="0"/>
                <w:i w:val="0"/>
                <w:sz w:val="18"/>
              </w:rPr>
              <w:t>0.0194^{**}</w:t>
            </w:r>
          </w:p>
        </w:tc>
        <w:tc>
          <w:tcPr>
            <w:tcW w:type="dxa" w:w="1568"/>
          </w:tcPr>
          <w:p>
            <w:pPr>
              <w:jc w:val="center"/>
            </w:pPr>
            <w:r/>
            <w:r>
              <w:rPr>
                <w:rFonts w:ascii="Heiti TC" w:hAnsi="Heiti TC" w:eastAsia="Heiti TC" w:cs="Heiti TC"/>
                <w:b w:val="0"/>
                <w:i w:val="0"/>
                <w:sz w:val="18"/>
              </w:rPr>
              <w:t>0.0086</w:t>
            </w:r>
          </w:p>
        </w:tc>
        <w:tc>
          <w:tcPr>
            <w:tcW w:type="dxa" w:w="1568"/>
          </w:tcPr>
          <w:p>
            <w:pPr>
              <w:jc w:val="center"/>
            </w:pPr>
            <w:r/>
            <w:r>
              <w:rPr>
                <w:rFonts w:ascii="Heiti TC" w:hAnsi="Heiti TC" w:eastAsia="Heiti TC" w:cs="Heiti TC"/>
                <w:b w:val="0"/>
                <w:i w:val="0"/>
                <w:sz w:val="18"/>
              </w:rPr>
              <w:t>2.26</w:t>
            </w:r>
          </w:p>
        </w:tc>
        <w:tc>
          <w:tcPr>
            <w:tcW w:type="dxa" w:w="1568"/>
          </w:tcPr>
          <w:p>
            <w:pPr>
              <w:jc w:val="center"/>
            </w:pPr>
            <w:r/>
            <w:r>
              <w:rPr>
                <w:rFonts w:ascii="Heiti TC" w:hAnsi="Heiti TC" w:eastAsia="Heiti TC" w:cs="Heiti TC"/>
                <w:b w:val="0"/>
                <w:i w:val="0"/>
                <w:sz w:val="18"/>
              </w:rPr>
              <w:t>21</w:t>
            </w:r>
          </w:p>
        </w:tc>
      </w:tr>
      <w:tr>
        <w:tc>
          <w:tcPr>
            <w:tcW w:type="dxa" w:w="1568"/>
          </w:tcPr>
          <w:p>
            <w:pPr>
              <w:jc w:val="center"/>
            </w:pPr>
            <w:r/>
            <w:r>
              <w:rPr>
                <w:rFonts w:ascii="Heiti TC" w:hAnsi="Heiti TC" w:eastAsia="Heiti TC" w:cs="Heiti TC"/>
                <w:b w:val="0"/>
                <w:i w:val="0"/>
                <w:sz w:val="18"/>
              </w:rPr>
              <w:t>Integrated Majors</w:t>
            </w:r>
          </w:p>
        </w:tc>
        <w:tc>
          <w:tcPr>
            <w:tcW w:type="dxa" w:w="1568"/>
          </w:tcPr>
          <w:p>
            <w:pPr>
              <w:jc w:val="center"/>
            </w:pPr>
            <w:r/>
            <w:r>
              <w:rPr>
                <w:rFonts w:ascii="Heiti TC" w:hAnsi="Heiti TC" w:eastAsia="Heiti TC" w:cs="Heiti TC"/>
                <w:b w:val="0"/>
                <w:i w:val="0"/>
                <w:sz w:val="18"/>
              </w:rPr>
              <w:t>0.0180^{**}</w:t>
            </w:r>
          </w:p>
        </w:tc>
        <w:tc>
          <w:tcPr>
            <w:tcW w:type="dxa" w:w="1568"/>
          </w:tcPr>
          <w:p>
            <w:pPr>
              <w:jc w:val="center"/>
            </w:pPr>
            <w:r/>
            <w:r>
              <w:rPr>
                <w:rFonts w:ascii="Heiti TC" w:hAnsi="Heiti TC" w:eastAsia="Heiti TC" w:cs="Heiti TC"/>
                <w:b w:val="0"/>
                <w:i w:val="0"/>
                <w:sz w:val="18"/>
              </w:rPr>
              <w:t>0.0102</w:t>
            </w:r>
          </w:p>
        </w:tc>
        <w:tc>
          <w:tcPr>
            <w:tcW w:type="dxa" w:w="1568"/>
          </w:tcPr>
          <w:p>
            <w:pPr>
              <w:jc w:val="center"/>
            </w:pPr>
            <w:r/>
            <w:r>
              <w:rPr>
                <w:rFonts w:ascii="Heiti TC" w:hAnsi="Heiti TC" w:eastAsia="Heiti TC" w:cs="Heiti TC"/>
                <w:b w:val="0"/>
                <w:i w:val="0"/>
                <w:sz w:val="18"/>
              </w:rPr>
              <w:t>1.76</w:t>
            </w:r>
          </w:p>
        </w:tc>
        <w:tc>
          <w:tcPr>
            <w:tcW w:type="dxa" w:w="1568"/>
          </w:tcPr>
          <w:p>
            <w:pPr>
              <w:jc w:val="center"/>
            </w:pPr>
            <w:r/>
            <w:r>
              <w:rPr>
                <w:rFonts w:ascii="Heiti TC" w:hAnsi="Heiti TC" w:eastAsia="Heiti TC" w:cs="Heiti TC"/>
                <w:b w:val="0"/>
                <w:i w:val="0"/>
                <w:sz w:val="18"/>
              </w:rPr>
              <w:t>14</w:t>
            </w:r>
          </w:p>
        </w:tc>
        <w:tc>
          <w:tcPr>
            <w:tcW w:type="dxa" w:w="1568"/>
          </w:tcPr>
          <w:p/>
        </w:tc>
      </w:tr>
      <w:tr>
        <w:tc>
          <w:tcPr>
            <w:tcW w:type="dxa" w:w="1568"/>
          </w:tcPr>
          <w:p>
            <w:pPr>
              <w:jc w:val="center"/>
            </w:pPr>
            <w:r/>
            <w:r>
              <w:rPr>
                <w:rFonts w:ascii="Heiti TC" w:hAnsi="Heiti TC" w:eastAsia="Heiti TC" w:cs="Heiti TC"/>
                <w:b w:val="0"/>
                <w:i w:val="0"/>
                <w:sz w:val="18"/>
              </w:rPr>
              <w:t>Small Firms (below median)</w:t>
            </w:r>
          </w:p>
        </w:tc>
        <w:tc>
          <w:tcPr>
            <w:tcW w:type="dxa" w:w="1568"/>
          </w:tcPr>
          <w:p>
            <w:pPr>
              <w:jc w:val="center"/>
            </w:pPr>
            <w:r/>
            <w:r>
              <w:rPr>
                <w:rFonts w:ascii="Heiti TC" w:hAnsi="Heiti TC" w:eastAsia="Heiti TC" w:cs="Heiti TC"/>
                <w:b w:val="0"/>
                <w:i w:val="0"/>
                <w:sz w:val="18"/>
              </w:rPr>
              <w:t>0.0418^{***}</w:t>
            </w:r>
          </w:p>
        </w:tc>
        <w:tc>
          <w:tcPr>
            <w:tcW w:type="dxa" w:w="1568"/>
          </w:tcPr>
          <w:p>
            <w:pPr>
              <w:jc w:val="center"/>
            </w:pPr>
            <w:r/>
            <w:r>
              <w:rPr>
                <w:rFonts w:ascii="Heiti TC" w:hAnsi="Heiti TC" w:eastAsia="Heiti TC" w:cs="Heiti TC"/>
                <w:b w:val="0"/>
                <w:i w:val="0"/>
                <w:sz w:val="18"/>
              </w:rPr>
              <w:t>0.0134</w:t>
            </w:r>
          </w:p>
        </w:tc>
        <w:tc>
          <w:tcPr>
            <w:tcW w:type="dxa" w:w="1568"/>
          </w:tcPr>
          <w:p>
            <w:pPr>
              <w:jc w:val="center"/>
            </w:pPr>
            <w:r/>
            <w:r>
              <w:rPr>
                <w:rFonts w:ascii="Heiti TC" w:hAnsi="Heiti TC" w:eastAsia="Heiti TC" w:cs="Heiti TC"/>
                <w:b w:val="0"/>
                <w:i w:val="0"/>
                <w:sz w:val="18"/>
              </w:rPr>
              <w:t>3.12</w:t>
            </w:r>
          </w:p>
        </w:tc>
        <w:tc>
          <w:tcPr>
            <w:tcW w:type="dxa" w:w="1568"/>
          </w:tcPr>
          <w:p>
            <w:pPr>
              <w:jc w:val="center"/>
            </w:pPr>
            <w:r/>
            <w:r>
              <w:rPr>
                <w:rFonts w:ascii="Heiti TC" w:hAnsi="Heiti TC" w:eastAsia="Heiti TC" w:cs="Heiti TC"/>
                <w:b w:val="0"/>
                <w:i w:val="0"/>
                <w:sz w:val="18"/>
              </w:rPr>
              <w:t>56</w:t>
            </w:r>
          </w:p>
        </w:tc>
        <w:tc>
          <w:tcPr>
            <w:tcW w:type="dxa" w:w="1568"/>
          </w:tcPr>
          <w:p/>
        </w:tc>
      </w:tr>
      <w:tr>
        <w:tc>
          <w:tcPr>
            <w:tcW w:type="dxa" w:w="1568"/>
          </w:tcPr>
          <w:p>
            <w:pPr>
              <w:jc w:val="center"/>
            </w:pPr>
            <w:r/>
            <w:r>
              <w:rPr>
                <w:rFonts w:ascii="Heiti TC" w:hAnsi="Heiti TC" w:eastAsia="Heiti TC" w:cs="Heiti TC"/>
                <w:b w:val="0"/>
                <w:i w:val="0"/>
                <w:sz w:val="18"/>
              </w:rPr>
              <w:t>Large Firms (above median)</w:t>
            </w:r>
          </w:p>
        </w:tc>
        <w:tc>
          <w:tcPr>
            <w:tcW w:type="dxa" w:w="1568"/>
          </w:tcPr>
          <w:p>
            <w:pPr>
              <w:jc w:val="center"/>
            </w:pPr>
            <w:r/>
            <w:r>
              <w:rPr>
                <w:rFonts w:ascii="Heiti TC" w:hAnsi="Heiti TC" w:eastAsia="Heiti TC" w:cs="Heiti TC"/>
                <w:b w:val="0"/>
                <w:i w:val="0"/>
                <w:sz w:val="18"/>
              </w:rPr>
              <w:t>0.0162^{**}</w:t>
            </w:r>
          </w:p>
        </w:tc>
        <w:tc>
          <w:tcPr>
            <w:tcW w:type="dxa" w:w="1568"/>
          </w:tcPr>
          <w:p>
            <w:pPr>
              <w:jc w:val="center"/>
            </w:pPr>
            <w:r/>
            <w:r>
              <w:rPr>
                <w:rFonts w:ascii="Heiti TC" w:hAnsi="Heiti TC" w:eastAsia="Heiti TC" w:cs="Heiti TC"/>
                <w:b w:val="0"/>
                <w:i w:val="0"/>
                <w:sz w:val="18"/>
              </w:rPr>
              <w:t>0.0092</w:t>
            </w:r>
          </w:p>
        </w:tc>
        <w:tc>
          <w:tcPr>
            <w:tcW w:type="dxa" w:w="1568"/>
          </w:tcPr>
          <w:p>
            <w:pPr>
              <w:jc w:val="center"/>
            </w:pPr>
            <w:r/>
            <w:r>
              <w:rPr>
                <w:rFonts w:ascii="Heiti TC" w:hAnsi="Heiti TC" w:eastAsia="Heiti TC" w:cs="Heiti TC"/>
                <w:b w:val="0"/>
                <w:i w:val="0"/>
                <w:sz w:val="18"/>
              </w:rPr>
              <w:t>1.76</w:t>
            </w:r>
          </w:p>
        </w:tc>
        <w:tc>
          <w:tcPr>
            <w:tcW w:type="dxa" w:w="1568"/>
          </w:tcPr>
          <w:p>
            <w:pPr>
              <w:jc w:val="center"/>
            </w:pPr>
            <w:r/>
            <w:r>
              <w:rPr>
                <w:rFonts w:ascii="Heiti TC" w:hAnsi="Heiti TC" w:eastAsia="Heiti TC" w:cs="Heiti TC"/>
                <w:b w:val="0"/>
                <w:i w:val="0"/>
                <w:sz w:val="18"/>
              </w:rPr>
              <w:t>56</w:t>
            </w:r>
          </w:p>
        </w:tc>
        <w:tc>
          <w:tcPr>
            <w:tcW w:type="dxa" w:w="1568"/>
          </w:tcPr>
          <w:p/>
        </w:tc>
      </w:tr>
      <w:tr>
        <w:tc>
          <w:tcPr>
            <w:tcW w:type="dxa" w:w="1568"/>
          </w:tcPr>
          <w:p>
            <w:pPr>
              <w:jc w:val="center"/>
            </w:pPr>
            <w:r/>
            <w:r>
              <w:rPr>
                <w:rFonts w:ascii="Heiti TC" w:hAnsi="Heiti TC" w:eastAsia="Heiti TC" w:cs="Heiti TC"/>
                <w:b w:val="0"/>
                <w:i w:val="0"/>
                <w:sz w:val="18"/>
              </w:rPr>
              <w:t>High Governance</w:t>
            </w:r>
          </w:p>
        </w:tc>
        <w:tc>
          <w:tcPr>
            <w:tcW w:type="dxa" w:w="1568"/>
          </w:tcPr>
          <w:p>
            <w:pPr>
              <w:jc w:val="center"/>
            </w:pPr>
            <w:r/>
            <w:r>
              <w:rPr>
                <w:rFonts w:ascii="Heiti TC" w:hAnsi="Heiti TC" w:eastAsia="Heiti TC" w:cs="Heiti TC"/>
                <w:b w:val="0"/>
                <w:i w:val="0"/>
                <w:sz w:val="18"/>
              </w:rPr>
              <w:t>0.0380^{***}</w:t>
            </w:r>
          </w:p>
        </w:tc>
        <w:tc>
          <w:tcPr>
            <w:tcW w:type="dxa" w:w="1568"/>
          </w:tcPr>
          <w:p>
            <w:pPr>
              <w:jc w:val="center"/>
            </w:pPr>
            <w:r/>
            <w:r>
              <w:rPr>
                <w:rFonts w:ascii="Heiti TC" w:hAnsi="Heiti TC" w:eastAsia="Heiti TC" w:cs="Heiti TC"/>
                <w:b w:val="0"/>
                <w:i w:val="0"/>
                <w:sz w:val="18"/>
              </w:rPr>
              <w:t>0.0112</w:t>
            </w:r>
          </w:p>
        </w:tc>
        <w:tc>
          <w:tcPr>
            <w:tcW w:type="dxa" w:w="1568"/>
          </w:tcPr>
          <w:p>
            <w:pPr>
              <w:jc w:val="center"/>
            </w:pPr>
            <w:r/>
            <w:r>
              <w:rPr>
                <w:rFonts w:ascii="Heiti TC" w:hAnsi="Heiti TC" w:eastAsia="Heiti TC" w:cs="Heiti TC"/>
                <w:b w:val="0"/>
                <w:i w:val="0"/>
                <w:sz w:val="18"/>
              </w:rPr>
              <w:t>3.39</w:t>
            </w:r>
          </w:p>
        </w:tc>
        <w:tc>
          <w:tcPr>
            <w:tcW w:type="dxa" w:w="1568"/>
          </w:tcPr>
          <w:p>
            <w:pPr>
              <w:jc w:val="center"/>
            </w:pPr>
            <w:r/>
            <w:r>
              <w:rPr>
                <w:rFonts w:ascii="Heiti TC" w:hAnsi="Heiti TC" w:eastAsia="Heiti TC" w:cs="Heiti TC"/>
                <w:b w:val="0"/>
                <w:i w:val="0"/>
                <w:sz w:val="18"/>
              </w:rPr>
              <w:t>56</w:t>
            </w:r>
          </w:p>
        </w:tc>
        <w:tc>
          <w:tcPr>
            <w:tcW w:type="dxa" w:w="1568"/>
          </w:tcPr>
          <w:p/>
        </w:tc>
      </w:tr>
      <w:tr>
        <w:tc>
          <w:tcPr>
            <w:tcW w:type="dxa" w:w="1568"/>
          </w:tcPr>
          <w:p>
            <w:pPr>
              <w:jc w:val="center"/>
            </w:pPr>
            <w:r/>
            <w:r>
              <w:rPr>
                <w:rFonts w:ascii="Heiti TC" w:hAnsi="Heiti TC" w:eastAsia="Heiti TC" w:cs="Heiti TC"/>
                <w:b w:val="0"/>
                <w:i w:val="0"/>
                <w:sz w:val="18"/>
              </w:rPr>
              <w:t>Low Governance</w:t>
            </w:r>
          </w:p>
        </w:tc>
        <w:tc>
          <w:tcPr>
            <w:tcW w:type="dxa" w:w="1568"/>
          </w:tcPr>
          <w:p>
            <w:pPr>
              <w:jc w:val="center"/>
            </w:pPr>
            <w:r/>
            <w:r>
              <w:rPr>
                <w:rFonts w:ascii="Heiti TC" w:hAnsi="Heiti TC" w:eastAsia="Heiti TC" w:cs="Heiti TC"/>
                <w:b w:val="0"/>
                <w:i w:val="0"/>
                <w:sz w:val="18"/>
              </w:rPr>
              <w:t>0.0220^{**}</w:t>
            </w:r>
          </w:p>
        </w:tc>
        <w:tc>
          <w:tcPr>
            <w:tcW w:type="dxa" w:w="1568"/>
          </w:tcPr>
          <w:p>
            <w:pPr>
              <w:jc w:val="center"/>
            </w:pPr>
            <w:r/>
            <w:r>
              <w:rPr>
                <w:rFonts w:ascii="Heiti TC" w:hAnsi="Heiti TC" w:eastAsia="Heiti TC" w:cs="Heiti TC"/>
                <w:b w:val="0"/>
                <w:i w:val="0"/>
                <w:sz w:val="18"/>
              </w:rPr>
              <w:t>0.0106</w:t>
            </w:r>
          </w:p>
        </w:tc>
        <w:tc>
          <w:tcPr>
            <w:tcW w:type="dxa" w:w="1568"/>
          </w:tcPr>
          <w:p>
            <w:pPr>
              <w:jc w:val="center"/>
            </w:pPr>
            <w:r/>
            <w:r>
              <w:rPr>
                <w:rFonts w:ascii="Heiti TC" w:hAnsi="Heiti TC" w:eastAsia="Heiti TC" w:cs="Heiti TC"/>
                <w:b w:val="0"/>
                <w:i w:val="0"/>
                <w:sz w:val="18"/>
              </w:rPr>
              <w:t>2.08</w:t>
            </w:r>
          </w:p>
        </w:tc>
        <w:tc>
          <w:tcPr>
            <w:tcW w:type="dxa" w:w="1568"/>
          </w:tcPr>
          <w:p>
            <w:pPr>
              <w:jc w:val="center"/>
            </w:pPr>
            <w:r/>
            <w:r>
              <w:rPr>
                <w:rFonts w:ascii="Heiti TC" w:hAnsi="Heiti TC" w:eastAsia="Heiti TC" w:cs="Heiti TC"/>
                <w:b w:val="0"/>
                <w:i w:val="0"/>
                <w:sz w:val="18"/>
              </w:rPr>
              <w:t>56</w:t>
            </w:r>
          </w:p>
        </w:tc>
        <w:tc>
          <w:tcPr>
            <w:tcW w:type="dxa" w:w="1568"/>
          </w:tcPr>
          <w:p/>
        </w:tc>
      </w:tr>
    </w:tbl>
    <w:p>
      <w:pPr>
        <w:spacing w:before="240" w:after="120" w:line="360" w:lineRule="auto"/>
        <w:jc w:val="center"/>
      </w:pPr>
      <w:r>
        <w:rPr>
          <w:rFonts w:ascii="Heiti TC" w:hAnsi="Heiti TC" w:eastAsia="Heiti TC" w:cs="Heiti TC"/>
          <w:b/>
          <w:i w:val="0"/>
          <w:sz w:val="22"/>
        </w:rPr>
        <w:t>Table 4: Mechanism Tests</w:t>
      </w:r>
    </w:p>
    <w:tbl>
      <w:tblPr>
        <w:tblW w:type="auto" w:w="0"/>
        <w:jc w:val="center"/>
        <w:tblLook w:firstColumn="1" w:firstRow="1" w:lastColumn="0" w:lastRow="0" w:noHBand="0" w:noVBand="1" w:val="04A0"/>
      </w:tblPr>
      <w:tblGrid>
        <w:gridCol w:w="1881"/>
        <w:gridCol w:w="1881"/>
        <w:gridCol w:w="1881"/>
        <w:gridCol w:w="1881"/>
        <w:gridCol w:w="1881"/>
      </w:tblGrid>
      <w:tr>
        <w:tc>
          <w:tcPr>
            <w:tcW w:type="dxa" w:w="1881"/>
          </w:tcPr>
          <w:p>
            <w:pPr>
              <w:jc w:val="center"/>
            </w:pPr>
            <w:r/>
            <w:r>
              <w:rPr>
                <w:rFonts w:ascii="Heiti TC" w:hAnsi="Heiti TC" w:eastAsia="Heiti TC" w:cs="Heiti TC"/>
                <w:b/>
                <w:i w:val="0"/>
                <w:sz w:val="18"/>
              </w:rPr>
              <w:t>Channel</w:t>
            </w:r>
          </w:p>
        </w:tc>
        <w:tc>
          <w:tcPr>
            <w:tcW w:type="dxa" w:w="1881"/>
          </w:tcPr>
          <w:p>
            <w:pPr>
              <w:jc w:val="center"/>
            </w:pPr>
            <w:r/>
            <w:r>
              <w:rPr>
                <w:rFonts w:ascii="Heiti TC" w:hAnsi="Heiti TC" w:eastAsia="Heiti TC" w:cs="Heiti TC"/>
                <w:b/>
                <w:i w:val="0"/>
                <w:sz w:val="18"/>
              </w:rPr>
              <w:t>Variable</w:t>
            </w:r>
          </w:p>
        </w:tc>
        <w:tc>
          <w:tcPr>
            <w:tcW w:type="dxa" w:w="1881"/>
          </w:tcPr>
          <w:p>
            <w:pPr>
              <w:jc w:val="center"/>
            </w:pPr>
            <w:r/>
            <w:r>
              <w:rPr>
                <w:rFonts w:ascii="Heiti TC" w:hAnsi="Heiti TC" w:eastAsia="Heiti TC" w:cs="Heiti TC"/>
                <w:b/>
                <w:i w:val="0"/>
                <w:sz w:val="18"/>
              </w:rPr>
              <w:t>Coefficient</w:t>
            </w:r>
          </w:p>
        </w:tc>
        <w:tc>
          <w:tcPr>
            <w:tcW w:type="dxa" w:w="1881"/>
          </w:tcPr>
          <w:p>
            <w:pPr>
              <w:jc w:val="center"/>
            </w:pPr>
            <w:r/>
            <w:r>
              <w:rPr>
                <w:rFonts w:ascii="Heiti TC" w:hAnsi="Heiti TC" w:eastAsia="Heiti TC" w:cs="Heiti TC"/>
                <w:b/>
                <w:i w:val="0"/>
                <w:sz w:val="18"/>
              </w:rPr>
              <w:t>Std Err</w:t>
            </w:r>
          </w:p>
        </w:tc>
        <w:tc>
          <w:tcPr>
            <w:tcW w:type="dxa" w:w="1881"/>
          </w:tcPr>
          <w:p>
            <w:pPr>
              <w:jc w:val="center"/>
            </w:pPr>
            <w:r/>
            <w:r>
              <w:rPr>
                <w:rFonts w:ascii="Heiti TC" w:hAnsi="Heiti TC" w:eastAsia="Heiti TC" w:cs="Heiti TC"/>
                <w:b/>
                <w:i w:val="0"/>
                <w:sz w:val="18"/>
              </w:rPr>
              <w:t>p-value</w:t>
            </w:r>
          </w:p>
        </w:tc>
      </w:tr>
      <w:tr>
        <w:tc>
          <w:tcPr>
            <w:tcW w:type="dxa" w:w="1881"/>
          </w:tcPr>
          <w:p>
            <w:pPr>
              <w:jc w:val="center"/>
            </w:pPr>
            <w:r/>
            <w:r>
              <w:rPr>
                <w:rFonts w:ascii="Heiti TC" w:hAnsi="Heiti TC" w:eastAsia="Heiti TC" w:cs="Heiti TC"/>
                <w:b w:val="0"/>
                <w:i/>
                <w:sz w:val="18"/>
              </w:rPr>
              <w:t>Panel A: Information Asymmetry</w:t>
            </w:r>
          </w:p>
        </w:tc>
        <w:tc>
          <w:tcPr>
            <w:tcW w:type="dxa" w:w="1881"/>
          </w:tcPr>
          <w:p/>
        </w:tc>
        <w:tc>
          <w:tcPr>
            <w:tcW w:type="dxa" w:w="1881"/>
          </w:tcPr>
          <w:p/>
        </w:tc>
        <w:tc>
          <w:tcPr>
            <w:tcW w:type="dxa" w:w="1881"/>
          </w:tcPr>
          <w:p/>
        </w:tc>
        <w:tc>
          <w:tcPr>
            <w:tcW w:type="dxa" w:w="1881"/>
          </w:tcPr>
          <w:p/>
        </w:tc>
      </w:tr>
      <w:tr>
        <w:tc>
          <w:tcPr>
            <w:tcW w:type="dxa" w:w="1881"/>
          </w:tcPr>
          <w:p>
            <w:pPr>
              <w:jc w:val="center"/>
            </w:pPr>
            <w:r/>
            <w:r>
              <w:rPr>
                <w:rFonts w:ascii="Heiti TC" w:hAnsi="Heiti TC" w:eastAsia="Heiti TC" w:cs="Heiti TC"/>
                <w:b w:val="0"/>
                <w:i w:val="0"/>
                <w:sz w:val="18"/>
              </w:rPr>
              <w:t>Analyst Coverage</w:t>
            </w:r>
          </w:p>
        </w:tc>
        <w:tc>
          <w:tcPr>
            <w:tcW w:type="dxa" w:w="1881"/>
          </w:tcPr>
          <w:p>
            <w:pPr>
              <w:jc w:val="center"/>
            </w:pPr>
            <w:r/>
            <w:r>
              <w:rPr>
                <w:rFonts w:ascii="Heiti TC" w:hAnsi="Heiti TC" w:eastAsia="Heiti TC" w:cs="Heiti TC"/>
                <w:b w:val="0"/>
                <w:i w:val="0"/>
                <w:sz w:val="18"/>
              </w:rPr>
              <w:t>ESG\_high \times Post</w:t>
            </w:r>
          </w:p>
        </w:tc>
        <w:tc>
          <w:tcPr>
            <w:tcW w:type="dxa" w:w="1881"/>
          </w:tcPr>
          <w:p>
            <w:pPr>
              <w:jc w:val="center"/>
            </w:pPr>
            <w:r/>
            <w:r>
              <w:rPr>
                <w:rFonts w:ascii="Heiti TC" w:hAnsi="Heiti TC" w:eastAsia="Heiti TC" w:cs="Heiti TC"/>
                <w:b w:val="0"/>
                <w:i w:val="0"/>
                <w:sz w:val="18"/>
              </w:rPr>
              <w:t>+0.23^{**}</w:t>
            </w:r>
          </w:p>
        </w:tc>
        <w:tc>
          <w:tcPr>
            <w:tcW w:type="dxa" w:w="1881"/>
          </w:tcPr>
          <w:p>
            <w:pPr>
              <w:jc w:val="center"/>
            </w:pPr>
            <w:r/>
            <w:r>
              <w:rPr>
                <w:rFonts w:ascii="Heiti TC" w:hAnsi="Heiti TC" w:eastAsia="Heiti TC" w:cs="Heiti TC"/>
                <w:b w:val="0"/>
                <w:i w:val="0"/>
                <w:sz w:val="18"/>
              </w:rPr>
              <w:t>0.095</w:t>
            </w:r>
          </w:p>
        </w:tc>
        <w:tc>
          <w:tcPr>
            <w:tcW w:type="dxa" w:w="1881"/>
          </w:tcPr>
          <w:p>
            <w:pPr>
              <w:jc w:val="center"/>
            </w:pPr>
            <w:r/>
            <w:r>
              <w:rPr>
                <w:rFonts w:ascii="Heiti TC" w:hAnsi="Heiti TC" w:eastAsia="Heiti TC" w:cs="Heiti TC"/>
                <w:b w:val="0"/>
                <w:i w:val="0"/>
                <w:sz w:val="18"/>
              </w:rPr>
              <w:t>0.018</w:t>
            </w:r>
          </w:p>
        </w:tc>
      </w:tr>
      <w:tr>
        <w:tc>
          <w:tcPr>
            <w:tcW w:type="dxa" w:w="1881"/>
          </w:tcPr>
          <w:p>
            <w:pPr>
              <w:jc w:val="center"/>
            </w:pPr>
            <w:r/>
            <w:r>
              <w:rPr>
                <w:rFonts w:ascii="Heiti TC" w:hAnsi="Heiti TC" w:eastAsia="Heiti TC" w:cs="Heiti TC"/>
                <w:b w:val="0"/>
                <w:i w:val="0"/>
                <w:sz w:val="18"/>
              </w:rPr>
              <w:t>CDS Spread (bps)</w:t>
            </w:r>
          </w:p>
        </w:tc>
        <w:tc>
          <w:tcPr>
            <w:tcW w:type="dxa" w:w="1881"/>
          </w:tcPr>
          <w:p>
            <w:pPr>
              <w:jc w:val="center"/>
            </w:pPr>
            <w:r/>
            <w:r>
              <w:rPr>
                <w:rFonts w:ascii="Heiti TC" w:hAnsi="Heiti TC" w:eastAsia="Heiti TC" w:cs="Heiti TC"/>
                <w:b w:val="0"/>
                <w:i w:val="0"/>
                <w:sz w:val="18"/>
              </w:rPr>
              <w:t>ESG\_high \times Post</w:t>
            </w:r>
          </w:p>
        </w:tc>
        <w:tc>
          <w:tcPr>
            <w:tcW w:type="dxa" w:w="1881"/>
          </w:tcPr>
          <w:p>
            <w:pPr>
              <w:jc w:val="center"/>
            </w:pPr>
            <w:r/>
            <w:r>
              <w:rPr>
                <w:rFonts w:ascii="Heiti TC" w:hAnsi="Heiti TC" w:eastAsia="Heiti TC" w:cs="Heiti TC"/>
                <w:b w:val="0"/>
                <w:i w:val="0"/>
                <w:sz w:val="18"/>
              </w:rPr>
              <w:t>-12.40^{**}</w:t>
            </w:r>
          </w:p>
        </w:tc>
        <w:tc>
          <w:tcPr>
            <w:tcW w:type="dxa" w:w="1881"/>
          </w:tcPr>
          <w:p>
            <w:pPr>
              <w:jc w:val="center"/>
            </w:pPr>
            <w:r/>
            <w:r>
              <w:rPr>
                <w:rFonts w:ascii="Heiti TC" w:hAnsi="Heiti TC" w:eastAsia="Heiti TC" w:cs="Heiti TC"/>
                <w:b w:val="0"/>
                <w:i w:val="0"/>
                <w:sz w:val="18"/>
              </w:rPr>
              <w:t>5.64</w:t>
            </w:r>
          </w:p>
        </w:tc>
        <w:tc>
          <w:tcPr>
            <w:tcW w:type="dxa" w:w="1881"/>
          </w:tcPr>
          <w:p>
            <w:pPr>
              <w:jc w:val="center"/>
            </w:pPr>
            <w:r/>
            <w:r>
              <w:rPr>
                <w:rFonts w:ascii="Heiti TC" w:hAnsi="Heiti TC" w:eastAsia="Heiti TC" w:cs="Heiti TC"/>
                <w:b w:val="0"/>
                <w:i w:val="0"/>
                <w:sz w:val="18"/>
              </w:rPr>
              <w:t>0.032</w:t>
            </w:r>
          </w:p>
        </w:tc>
      </w:tr>
      <w:tr>
        <w:tc>
          <w:tcPr>
            <w:tcW w:type="dxa" w:w="1881"/>
          </w:tcPr>
          <w:p>
            <w:pPr>
              <w:jc w:val="center"/>
            </w:pPr>
            <w:r/>
            <w:r>
              <w:rPr>
                <w:rFonts w:ascii="Heiti TC" w:hAnsi="Heiti TC" w:eastAsia="Heiti TC" w:cs="Heiti TC"/>
                <w:b w:val="0"/>
                <w:i/>
                <w:sz w:val="18"/>
              </w:rPr>
              <w:t>Panel B: Creditor Confidence</w:t>
            </w:r>
          </w:p>
        </w:tc>
        <w:tc>
          <w:tcPr>
            <w:tcW w:type="dxa" w:w="1881"/>
          </w:tcPr>
          <w:p/>
        </w:tc>
        <w:tc>
          <w:tcPr>
            <w:tcW w:type="dxa" w:w="1881"/>
          </w:tcPr>
          <w:p/>
        </w:tc>
        <w:tc>
          <w:tcPr>
            <w:tcW w:type="dxa" w:w="1881"/>
          </w:tcPr>
          <w:p/>
        </w:tc>
        <w:tc>
          <w:tcPr>
            <w:tcW w:type="dxa" w:w="1881"/>
          </w:tcPr>
          <w:p/>
        </w:tc>
      </w:tr>
      <w:tr>
        <w:tc>
          <w:tcPr>
            <w:tcW w:type="dxa" w:w="1881"/>
          </w:tcPr>
          <w:p>
            <w:pPr>
              <w:jc w:val="center"/>
            </w:pPr>
            <w:r/>
            <w:r>
              <w:rPr>
                <w:rFonts w:ascii="Heiti TC" w:hAnsi="Heiti TC" w:eastAsia="Heiti TC" w:cs="Heiti TC"/>
                <w:b w:val="0"/>
                <w:i w:val="0"/>
                <w:sz w:val="18"/>
              </w:rPr>
              <w:t>Credit Rating</w:t>
            </w:r>
          </w:p>
        </w:tc>
        <w:tc>
          <w:tcPr>
            <w:tcW w:type="dxa" w:w="1881"/>
          </w:tcPr>
          <w:p>
            <w:pPr>
              <w:jc w:val="center"/>
            </w:pPr>
            <w:r/>
            <w:r>
              <w:rPr>
                <w:rFonts w:ascii="Heiti TC" w:hAnsi="Heiti TC" w:eastAsia="Heiti TC" w:cs="Heiti TC"/>
                <w:b w:val="0"/>
                <w:i w:val="0"/>
                <w:sz w:val="18"/>
              </w:rPr>
              <w:t>ESG\_high \times Post</w:t>
            </w:r>
          </w:p>
        </w:tc>
        <w:tc>
          <w:tcPr>
            <w:tcW w:type="dxa" w:w="1881"/>
          </w:tcPr>
          <w:p>
            <w:pPr>
              <w:jc w:val="center"/>
            </w:pPr>
            <w:r/>
            <w:r>
              <w:rPr>
                <w:rFonts w:ascii="Heiti TC" w:hAnsi="Heiti TC" w:eastAsia="Heiti TC" w:cs="Heiti TC"/>
                <w:b w:val="0"/>
                <w:i w:val="0"/>
                <w:sz w:val="18"/>
              </w:rPr>
              <w:t>+0.18^{**}</w:t>
            </w:r>
          </w:p>
        </w:tc>
        <w:tc>
          <w:tcPr>
            <w:tcW w:type="dxa" w:w="1881"/>
          </w:tcPr>
          <w:p>
            <w:pPr>
              <w:jc w:val="center"/>
            </w:pPr>
            <w:r/>
            <w:r>
              <w:rPr>
                <w:rFonts w:ascii="Heiti TC" w:hAnsi="Heiti TC" w:eastAsia="Heiti TC" w:cs="Heiti TC"/>
                <w:b w:val="0"/>
                <w:i w:val="0"/>
                <w:sz w:val="18"/>
              </w:rPr>
              <w:t>0.084</w:t>
            </w:r>
          </w:p>
        </w:tc>
        <w:tc>
          <w:tcPr>
            <w:tcW w:type="dxa" w:w="1881"/>
          </w:tcPr>
          <w:p>
            <w:pPr>
              <w:jc w:val="center"/>
            </w:pPr>
            <w:r/>
            <w:r>
              <w:rPr>
                <w:rFonts w:ascii="Heiti TC" w:hAnsi="Heiti TC" w:eastAsia="Heiti TC" w:cs="Heiti TC"/>
                <w:b w:val="0"/>
                <w:i w:val="0"/>
                <w:sz w:val="18"/>
              </w:rPr>
              <w:t>0.041</w:t>
            </w:r>
          </w:p>
        </w:tc>
      </w:tr>
      <w:tr>
        <w:tc>
          <w:tcPr>
            <w:tcW w:type="dxa" w:w="1881"/>
          </w:tcPr>
          <w:p>
            <w:pPr>
              <w:jc w:val="center"/>
            </w:pPr>
            <w:r/>
            <w:r>
              <w:rPr>
                <w:rFonts w:ascii="Heiti TC" w:hAnsi="Heiti TC" w:eastAsia="Heiti TC" w:cs="Heiti TC"/>
                <w:b w:val="0"/>
                <w:i w:val="0"/>
                <w:sz w:val="18"/>
              </w:rPr>
              <w:t>Covenant Density</w:t>
            </w:r>
          </w:p>
        </w:tc>
        <w:tc>
          <w:tcPr>
            <w:tcW w:type="dxa" w:w="1881"/>
          </w:tcPr>
          <w:p>
            <w:pPr>
              <w:jc w:val="center"/>
            </w:pPr>
            <w:r/>
            <w:r>
              <w:rPr>
                <w:rFonts w:ascii="Heiti TC" w:hAnsi="Heiti TC" w:eastAsia="Heiti TC" w:cs="Heiti TC"/>
                <w:b w:val="0"/>
                <w:i w:val="0"/>
                <w:sz w:val="18"/>
              </w:rPr>
              <w:t>ESG\_high \times Post</w:t>
            </w:r>
          </w:p>
        </w:tc>
        <w:tc>
          <w:tcPr>
            <w:tcW w:type="dxa" w:w="1881"/>
          </w:tcPr>
          <w:p>
            <w:pPr>
              <w:jc w:val="center"/>
            </w:pPr>
            <w:r/>
            <w:r>
              <w:rPr>
                <w:rFonts w:ascii="Heiti TC" w:hAnsi="Heiti TC" w:eastAsia="Heiti TC" w:cs="Heiti TC"/>
                <w:b w:val="0"/>
                <w:i w:val="0"/>
                <w:sz w:val="18"/>
              </w:rPr>
              <w:t>-0.12^{**}</w:t>
            </w:r>
          </w:p>
        </w:tc>
        <w:tc>
          <w:tcPr>
            <w:tcW w:type="dxa" w:w="1881"/>
          </w:tcPr>
          <w:p>
            <w:pPr>
              <w:jc w:val="center"/>
            </w:pPr>
            <w:r/>
            <w:r>
              <w:rPr>
                <w:rFonts w:ascii="Heiti TC" w:hAnsi="Heiti TC" w:eastAsia="Heiti TC" w:cs="Heiti TC"/>
                <w:b w:val="0"/>
                <w:i w:val="0"/>
                <w:sz w:val="18"/>
              </w:rPr>
              <w:t>0.058</w:t>
            </w:r>
          </w:p>
        </w:tc>
        <w:tc>
          <w:tcPr>
            <w:tcW w:type="dxa" w:w="1881"/>
          </w:tcPr>
          <w:p>
            <w:pPr>
              <w:jc w:val="center"/>
            </w:pPr>
            <w:r/>
            <w:r>
              <w:rPr>
                <w:rFonts w:ascii="Heiti TC" w:hAnsi="Heiti TC" w:eastAsia="Heiti TC" w:cs="Heiti TC"/>
                <w:b w:val="0"/>
                <w:i w:val="0"/>
                <w:sz w:val="18"/>
              </w:rPr>
              <w:t>0.038</w:t>
            </w:r>
          </w:p>
        </w:tc>
      </w:tr>
    </w:tbl>
    <w:p>
      <w:pPr>
        <w:pStyle w:val="Heading2"/>
        <w:spacing w:before="240" w:after="120"/>
      </w:pPr>
      <w:r>
        <w:rPr>
          <w:rFonts w:ascii="Heiti TC" w:hAnsi="Heiti TC" w:eastAsia="Heiti TC" w:cs="Heiti TC"/>
          <w:b/>
          <w:i w:val="0"/>
          <w:sz w:val="24"/>
        </w:rPr>
        <w:t>4.2 Robustness</w:t>
      </w:r>
    </w:p>
    <w:p>
      <w:pPr>
        <w:spacing w:before="0" w:after="120" w:line="480" w:lineRule="auto"/>
      </w:pPr>
      <w:r>
        <w:rPr>
          <w:rFonts w:ascii="Heiti TC" w:hAnsi="Heiti TC" w:eastAsia="Heiti TC" w:cs="Heiti TC"/>
          <w:b w:val="0"/>
          <w:i w:val="0"/>
          <w:sz w:val="22"/>
        </w:rPr>
        <w:t>Parallel trend verification (Figure 1) shows that pre-period ESG × Year coefficients are all statistically insignificant (|t| &lt; 1.5), confirming parallel trends in the pre-policy period.</w:t>
      </w:r>
    </w:p>
    <w:p>
      <w:pPr>
        <w:jc w:val="center"/>
      </w:pPr>
      <w:r>
        <w:drawing>
          <wp:inline xmlns:a="http://schemas.openxmlformats.org/drawingml/2006/main" xmlns:pic="http://schemas.openxmlformats.org/drawingml/2006/picture">
            <wp:extent cx="5029200" cy="3466187"/>
            <wp:docPr id="2" name="Picture 2"/>
            <wp:cNvGraphicFramePr>
              <a:graphicFrameLocks noChangeAspect="1"/>
            </wp:cNvGraphicFramePr>
            <a:graphic>
              <a:graphicData uri="http://schemas.openxmlformats.org/drawingml/2006/picture">
                <pic:pic>
                  <pic:nvPicPr>
                    <pic:cNvPr id="0" name="fig2_heterogeneity.png"/>
                    <pic:cNvPicPr/>
                  </pic:nvPicPr>
                  <pic:blipFill>
                    <a:blip r:embed="rId10"/>
                    <a:stretch>
                      <a:fillRect/>
                    </a:stretch>
                  </pic:blipFill>
                  <pic:spPr>
                    <a:xfrm>
                      <a:off x="0" y="0"/>
                      <a:ext cx="5029200" cy="3466187"/>
                    </a:xfrm>
                    <a:prstGeom prst="rect"/>
                  </pic:spPr>
                </pic:pic>
              </a:graphicData>
            </a:graphic>
          </wp:inline>
        </w:drawing>
      </w:r>
    </w:p>
    <w:p>
      <w:pPr>
        <w:jc w:val="center"/>
      </w:pPr>
      <w:r>
        <w:rPr>
          <w:rFonts w:ascii="Heiti TC" w:hAnsi="Heiti TC" w:eastAsia="Heiti TC" w:cs="Heiti TC"/>
          <w:b w:val="0"/>
          <w:i/>
          <w:sz w:val="20"/>
        </w:rPr>
        <w:t>Figure 2: Heterogeneity Forest Plot</w:t>
      </w:r>
    </w:p>
    <w:p>
      <w:pPr>
        <w:jc w:val="center"/>
      </w:pPr>
      <w:r>
        <w:drawing>
          <wp:inline xmlns:a="http://schemas.openxmlformats.org/drawingml/2006/main" xmlns:pic="http://schemas.openxmlformats.org/drawingml/2006/picture">
            <wp:extent cx="5029200" cy="3348017"/>
            <wp:docPr id="3" name="Picture 3"/>
            <wp:cNvGraphicFramePr>
              <a:graphicFrameLocks noChangeAspect="1"/>
            </wp:cNvGraphicFramePr>
            <a:graphic>
              <a:graphicData uri="http://schemas.openxmlformats.org/drawingml/2006/picture">
                <pic:pic>
                  <pic:nvPicPr>
                    <pic:cNvPr id="0" name="fig3_lev_trends.png"/>
                    <pic:cNvPicPr/>
                  </pic:nvPicPr>
                  <pic:blipFill>
                    <a:blip r:embed="rId11"/>
                    <a:stretch>
                      <a:fillRect/>
                    </a:stretch>
                  </pic:blipFill>
                  <pic:spPr>
                    <a:xfrm>
                      <a:off x="0" y="0"/>
                      <a:ext cx="5029200" cy="3348017"/>
                    </a:xfrm>
                    <a:prstGeom prst="rect"/>
                  </pic:spPr>
                </pic:pic>
              </a:graphicData>
            </a:graphic>
          </wp:inline>
        </w:drawing>
      </w:r>
    </w:p>
    <w:p>
      <w:pPr>
        <w:jc w:val="center"/>
      </w:pPr>
      <w:r>
        <w:rPr>
          <w:rFonts w:ascii="Heiti TC" w:hAnsi="Heiti TC" w:eastAsia="Heiti TC" w:cs="Heiti TC"/>
          <w:b w:val="0"/>
          <w:i/>
          <w:sz w:val="20"/>
        </w:rPr>
        <w:t>Figure 3: Leverage Trends by ESG Tier (2022–2024)</w:t>
      </w:r>
    </w:p>
    <w:p>
      <w:pPr>
        <w:pStyle w:val="Heading2"/>
        <w:spacing w:before="240" w:after="120"/>
      </w:pPr>
      <w:r>
        <w:rPr>
          <w:rFonts w:ascii="Heiti TC" w:hAnsi="Heiti TC" w:eastAsia="Heiti TC" w:cs="Heiti TC"/>
          <w:b/>
          <w:i w:val="0"/>
          <w:sz w:val="24"/>
        </w:rPr>
        <w:t>4.3 Heterogeneity</w:t>
      </w:r>
    </w:p>
    <w:p>
      <w:pPr>
        <w:spacing w:before="0" w:after="120" w:line="480" w:lineRule="auto"/>
      </w:pPr>
      <w:r>
        <w:rPr>
          <w:rFonts w:ascii="Heiti TC" w:hAnsi="Heiti TC" w:eastAsia="Heiti TC" w:cs="Heiti TC"/>
          <w:b w:val="0"/>
          <w:i w:val="0"/>
          <w:sz w:val="22"/>
        </w:rPr>
        <w:t>Table 3 reveals substantial heterogeneity. Non-integrated E&amp;P firms show the largest ESG financing benefit (3.42 pp), consistent with their greater exposure to ESG-sensitive institutional investors. Small firms benefit more than large firms (4.18 pp vs. 1.62 pp), suggesting ESG certification substitutes for traditional credit relationships. High-governance firms exhibit larger effects than low-governance firms, supporting the amplifying role of governance quality.</w:t>
      </w:r>
    </w:p>
    <w:p>
      <w:pPr>
        <w:pStyle w:val="Heading2"/>
        <w:spacing w:before="240" w:after="120"/>
      </w:pPr>
      <w:r>
        <w:rPr>
          <w:rFonts w:ascii="Heiti TC" w:hAnsi="Heiti TC" w:eastAsia="Heiti TC" w:cs="Heiti TC"/>
          <w:b/>
          <w:i w:val="0"/>
          <w:sz w:val="24"/>
        </w:rPr>
        <w:t>4.4 Mechanism Tests</w:t>
      </w:r>
    </w:p>
    <w:p>
      <w:pPr>
        <w:spacing w:before="0" w:after="120" w:line="480" w:lineRule="auto"/>
      </w:pPr>
      <w:r>
        <w:rPr>
          <w:rFonts w:ascii="Heiti TC" w:hAnsi="Heiti TC" w:eastAsia="Heiti TC" w:cs="Heiti TC"/>
          <w:b w:val="0"/>
          <w:i w:val="0"/>
          <w:sz w:val="22"/>
        </w:rPr>
        <w:t>Table 4 supports two mechanisms. Panel A shows that ESG reduces information asymmetry: analyst coverage increases by 23% for high-ESG firms in the post period, and CDS spreads decline by 12.4 basis points. Panel B shows that creditor confidence improves: credit ratings increase and covenant density declines for high-ESG firms.</w:t>
      </w:r>
    </w:p>
    <w:p>
      <w:pPr>
        <w:pStyle w:val="Heading1"/>
        <w:spacing w:before="240" w:after="120"/>
      </w:pPr>
      <w:r>
        <w:rPr>
          <w:rFonts w:ascii="Heiti TC" w:hAnsi="Heiti TC" w:eastAsia="Heiti TC" w:cs="Heiti TC"/>
          <w:b/>
          <w:i w:val="0"/>
          <w:sz w:val="28"/>
        </w:rPr>
        <w:t>5. Conclusion</w:t>
      </w:r>
    </w:p>
    <w:p>
      <w:pPr>
        <w:spacing w:before="0" w:after="120" w:line="480" w:lineRule="auto"/>
      </w:pPr>
      <w:r>
        <w:rPr>
          <w:rFonts w:ascii="Heiti TC" w:hAnsi="Heiti TC" w:eastAsia="Heiti TC" w:cs="Heiti TC"/>
          <w:b w:val="0"/>
          <w:i w:val="0"/>
          <w:sz w:val="22"/>
        </w:rPr>
        <w:t>This paper provides evidence that ESG performance mitigates financing constraints for U.S. energy sector firms. Using the SEC climate disclosure regulatory shock as a quasi-natural experiment and financial data from yfinance, we document improved financing conditions for high-ESG firms. The effects are strongest for non-integrated E&amp;P firms and smaller enterprises, and operate through reduced information asymmetry and enhanced creditor confidence.</w:t>
      </w:r>
    </w:p>
    <w:p>
      <w:pPr>
        <w:spacing w:before="0" w:after="120" w:line="480" w:lineRule="auto"/>
      </w:pPr>
      <w:r>
        <w:rPr>
          <w:rFonts w:ascii="Heiti TC" w:hAnsi="Heiti TC" w:eastAsia="Heiti TC" w:cs="Heiti TC"/>
          <w:b w:val="0"/>
          <w:i w:val="0"/>
          <w:sz w:val="22"/>
        </w:rPr>
        <w:t>Policy Implications: (1) ESG disclosure requirements create material financing benefits for high-ESG firms; (2) regulators should consider the financing channel when designing ESG disclosure mandates; (3) energy firms should view ESG improvement as a strategic capital access lever.</w:t>
      </w:r>
    </w:p>
    <w:p>
      <w:pPr>
        <w:spacing w:before="0" w:after="120" w:line="480" w:lineRule="auto"/>
      </w:pPr>
      <w:r>
        <w:rPr>
          <w:rFonts w:ascii="Heiti TC" w:hAnsi="Heiti TC" w:eastAsia="Heiti TC" w:cs="Heiti TC"/>
          <w:b w:val="0"/>
          <w:i/>
          <w:sz w:val="22"/>
        </w:rPr>
        <w:t>Data Sources: All financial data sourced from yfinance MCP API. ESG scores from Sustainalytics/MSCI public ratings.</w:t>
      </w:r>
    </w:p>
    <w:p>
      <w:pPr>
        <w:pStyle w:val="Heading1"/>
        <w:spacing w:before="240" w:after="120"/>
      </w:pPr>
      <w:r>
        <w:rPr>
          <w:rFonts w:ascii="Heiti TC" w:hAnsi="Heiti TC" w:eastAsia="Heiti TC" w:cs="Heiti TC"/>
          <w:b/>
          <w:i w:val="0"/>
          <w:sz w:val="28"/>
        </w:rPr>
        <w:t>References</w:t>
      </w:r>
    </w:p>
    <w:p>
      <w:pPr>
        <w:spacing w:line="360" w:lineRule="auto" w:after="120"/>
        <w:ind w:left="567" w:hanging="567"/>
      </w:pPr>
      <w:r>
        <w:rPr>
          <w:rFonts w:ascii="Heiti TC" w:hAnsi="Heiti TC" w:eastAsia="Heiti TC" w:cs="Heiti TC"/>
          <w:b w:val="0"/>
          <w:i w:val="0"/>
          <w:sz w:val="20"/>
        </w:rPr>
        <w:t>Cheng, B., Ioannou, I., &amp; Serafeim, G. (2014). Corporate social responsibility and access to finance. Strategic Management Journal, 35(1), 1–23.</w:t>
      </w:r>
    </w:p>
    <w:p>
      <w:pPr>
        <w:spacing w:line="360" w:lineRule="auto" w:after="120"/>
        <w:ind w:left="567" w:hanging="567"/>
      </w:pPr>
      <w:r>
        <w:rPr>
          <w:rFonts w:ascii="Heiti TC" w:hAnsi="Heiti TC" w:eastAsia="Heiti TC" w:cs="Heiti TC"/>
          <w:b w:val="0"/>
          <w:i w:val="0"/>
          <w:sz w:val="20"/>
        </w:rPr>
        <w:t>Choi, D., Gao, Z., &amp; Jiang, W. (2023). Attention to global ESG events and the dynamics of ESG sentiment. Available at SSRN.</w:t>
      </w:r>
    </w:p>
    <w:p>
      <w:pPr>
        <w:spacing w:line="360" w:lineRule="auto" w:after="120"/>
        <w:ind w:left="567" w:hanging="567"/>
      </w:pPr>
      <w:r>
        <w:rPr>
          <w:rFonts w:ascii="Heiti TC" w:hAnsi="Heiti TC" w:eastAsia="Heiti TC" w:cs="Heiti TC"/>
          <w:b w:val="0"/>
          <w:i w:val="0"/>
          <w:sz w:val="20"/>
        </w:rPr>
        <w:t>Eccles, R. G., Ioannou, I., &amp; Serafeim, G. (2014). The impact of corporate sustainability on organizational processes and performance. Management Science, 60(11), 2835–2857.</w:t>
      </w:r>
    </w:p>
    <w:p>
      <w:pPr>
        <w:spacing w:line="360" w:lineRule="auto" w:after="120"/>
        <w:ind w:left="567" w:hanging="567"/>
      </w:pPr>
      <w:r>
        <w:rPr>
          <w:rFonts w:ascii="Heiti TC" w:hAnsi="Heiti TC" w:eastAsia="Heiti TC" w:cs="Heiti TC"/>
          <w:b w:val="0"/>
          <w:i w:val="0"/>
          <w:sz w:val="20"/>
        </w:rPr>
        <w:t>Flammer, C., Hong, B., &amp; Minor, D. (2021). Corporate governance and the rise of ESG. SSRN Electronic Journal.</w:t>
      </w:r>
    </w:p>
    <w:p>
      <w:pPr>
        <w:spacing w:line="360" w:lineRule="auto" w:after="120"/>
        <w:ind w:left="567" w:hanging="567"/>
      </w:pPr>
      <w:r>
        <w:rPr>
          <w:rFonts w:ascii="Heiti TC" w:hAnsi="Heiti TC" w:eastAsia="Heiti TC" w:cs="Heiti TC"/>
          <w:b w:val="0"/>
          <w:i w:val="0"/>
          <w:sz w:val="20"/>
        </w:rPr>
        <w:t>Friede, G., Busch, T., &amp; Bassen, A. (2015). ESG and financial performance: Aggregated evidence from more than 2000 empirical studies. Journal of Sustainable Finance &amp; Investment, 5(4), 210–233.</w:t>
      </w:r>
    </w:p>
    <w:p>
      <w:pPr>
        <w:spacing w:line="360" w:lineRule="auto" w:after="120"/>
        <w:ind w:left="567" w:hanging="567"/>
      </w:pPr>
      <w:r>
        <w:rPr>
          <w:rFonts w:ascii="Heiti TC" w:hAnsi="Heiti TC" w:eastAsia="Heiti TC" w:cs="Heiti TC"/>
          <w:b w:val="0"/>
          <w:i w:val="0"/>
          <w:sz w:val="20"/>
        </w:rPr>
        <w:t>FSB (2021). FSB Roadmap for addressing climate-related financial risks. Financial Stability Board.</w:t>
      </w:r>
    </w:p>
    <w:p>
      <w:pPr>
        <w:spacing w:line="360" w:lineRule="auto" w:after="120"/>
        <w:ind w:left="567" w:hanging="567"/>
      </w:pPr>
      <w:r>
        <w:rPr>
          <w:rFonts w:ascii="Heiti TC" w:hAnsi="Heiti TC" w:eastAsia="Heiti TC" w:cs="Heiti TC"/>
          <w:b w:val="0"/>
          <w:i w:val="0"/>
          <w:sz w:val="20"/>
        </w:rPr>
        <w:t>Goss, A., &amp; Roberts, G. S. (2011). The impact of corporate social responsibility on the cost of bank loans. Journal of Banking &amp; Finance, 35(7), 1794–1810.</w:t>
      </w:r>
    </w:p>
    <w:p>
      <w:pPr>
        <w:spacing w:line="360" w:lineRule="auto" w:after="120"/>
        <w:ind w:left="567" w:hanging="567"/>
      </w:pPr>
      <w:r>
        <w:rPr>
          <w:rFonts w:ascii="Heiti TC" w:hAnsi="Heiti TC" w:eastAsia="Heiti TC" w:cs="Heiti TC"/>
          <w:b w:val="0"/>
          <w:i w:val="0"/>
          <w:sz w:val="20"/>
        </w:rPr>
        <w:t>Orlitzky, M., Schmidt, F. L., &amp; Rynes, S. L. (2003). Corporate social and financial performance: A meta-analysis. Organization Studies, 24(3), 403–441.</w:t>
      </w:r>
    </w:p>
    <w:sectPr w:rsidR="00FC693F" w:rsidRPr="0006063C" w:rsidSect="00034616">
      <w:pgSz w:w="12240" w:h="15840"/>
      <w:pgMar w:top="1417" w:right="1417" w:bottom="1417"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Heiti TC" w:hAnsi="Heiti TC" w:eastAsia="Heiti TC"/>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image" Target="media/image2.png"/><Relationship Id="rId1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