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after="0"/>
      </w:pPr>
    </w:p>
    <w:p>
      <w:pPr>
        <w:spacing w:after="100"/>
        <w:jc w:val="center"/>
      </w:pPr>
      <w:r>
        <w:rPr>
          <w:rFonts w:ascii="Arial" w:cs="Arial" w:eastAsia="Arial" w:hAnsi="Arial"/>
          <w:b/>
          <w:bCs/>
          <w:color w:val="1B2A4A"/>
          <w:sz w:val="56"/>
          <w:szCs w:val="56"/>
        </w:rPr>
        <w:t xml:space="preserve">TRUSERA</w:t>
      </w:r>
    </w:p>
    <w:p>
      <w:pPr>
        <w:spacing w:after="60"/>
        <w:jc w:val="center"/>
      </w:pPr>
      <w:r>
        <w:rPr>
          <w:rFonts w:ascii="Arial" w:cs="Arial" w:eastAsia="Arial" w:hAnsi="Arial"/>
          <w:color w:val="2E5090"/>
          <w:sz w:val="36"/>
          <w:szCs w:val="36"/>
        </w:rPr>
        <w:t xml:space="preserve">Agentic Service Mesh</w:t>
      </w:r>
    </w:p>
    <w:p>
      <w:pPr>
        <w:spacing w:after="300"/>
        <w:jc w:val="center"/>
      </w:pPr>
      <w:r>
        <w:rPr>
          <w:rFonts w:ascii="Arial" w:cs="Arial" w:eastAsia="Arial" w:hAnsi="Arial"/>
          <w:i/>
          <w:iCs/>
          <w:color w:val="666666"/>
          <w:sz w:val="22"/>
          <w:szCs w:val="22"/>
        </w:rPr>
        <w:t xml:space="preserve">The Trust Infrastructure Layer for the Multi-Agent Enterprise</w:t>
      </w:r>
    </w:p>
    <w:p>
      <w:pPr>
        <w:spacing w:before="200" w:after="0"/>
      </w:pP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6000"/>
      </w:tblGrid>
      <w:tr>
        <w:tc>
          <w:tcPr>
            <w:tcW w:type="dxa" w:w="6000"/>
            <w:tcBorders>
              <w:top w:val="none" w:color="FFFFFF" w:sz="0"/>
              <w:left w:val="none" w:color="FFFFFF" w:sz="0"/>
              <w:bottom w:val="none" w:color="FFFFFF" w:sz="0"/>
              <w:right w:val="none" w:color="FFFFFF" w:sz="0"/>
            </w:tcBorders>
            <w:shd w:fill="1B2A4A" w:val="clear"/>
            <w:tcMar>
              <w:top w:type="dxa" w:w="160"/>
              <w:left w:type="dxa" w:w="240"/>
              <w:bottom w:type="dxa" w:w="160"/>
              <w:right w:type="dxa" w:w="240"/>
            </w:tcMar>
          </w:tcPr>
          <w:p>
            <w:pPr>
              <w:spacing w:after="40"/>
              <w:jc w:val="center"/>
            </w:pPr>
            <w:r>
              <w:rPr>
                <w:rFonts w:ascii="Arial" w:cs="Arial" w:eastAsia="Arial" w:hAnsi="Arial"/>
                <w:b/>
                <w:bCs/>
                <w:color w:val="FFFFFF"/>
                <w:sz w:val="22"/>
                <w:szCs w:val="22"/>
              </w:rPr>
              <w:t xml:space="preserve">Operational Playbook &amp; Business Plan</w:t>
            </w:r>
          </w:p>
          <w:p>
            <w:pPr>
              <w:spacing w:after="0"/>
              <w:jc w:val="center"/>
            </w:pPr>
            <w:r>
              <w:rPr>
                <w:rFonts w:ascii="Arial" w:cs="Arial" w:eastAsia="Arial" w:hAnsi="Arial"/>
                <w:color w:val="A0B4D0"/>
                <w:sz w:val="20"/>
                <w:szCs w:val="20"/>
              </w:rPr>
              <w:t xml:space="preserve">Pre-Seed → Seed → Unicorn</w:t>
            </w:r>
          </w:p>
        </w:tc>
      </w:tr>
    </w:tbl>
    <w:p>
      <w:pPr>
        <w:spacing w:before="600" w:after="0"/>
      </w:pPr>
    </w:p>
    <w:p>
      <w:pPr>
        <w:spacing w:after="60"/>
        <w:jc w:val="center"/>
      </w:pPr>
      <w:r>
        <w:rPr>
          <w:rFonts w:ascii="Arial" w:cs="Arial" w:eastAsia="Arial" w:hAnsi="Arial"/>
          <w:b/>
          <w:bCs/>
          <w:color w:val="C0392B"/>
          <w:sz w:val="18"/>
          <w:szCs w:val="18"/>
        </w:rPr>
        <w:t xml:space="preserve">CONFIDENTIAL</w:t>
      </w:r>
    </w:p>
    <w:p>
      <w:pPr>
        <w:spacing w:after="60"/>
        <w:jc w:val="center"/>
      </w:pPr>
      <w:r>
        <w:rPr>
          <w:rFonts w:ascii="Arial" w:cs="Arial" w:eastAsia="Arial" w:hAnsi="Arial"/>
          <w:color w:val="666666"/>
          <w:sz w:val="18"/>
          <w:szCs w:val="18"/>
        </w:rPr>
        <w:t xml:space="preserve">February 2026</w:t>
      </w:r>
    </w:p>
    <w:p>
      <w:pPr>
        <w:jc w:val="center"/>
      </w:pPr>
      <w:r>
        <w:rPr>
          <w:rFonts w:ascii="Arial" w:cs="Arial" w:eastAsia="Arial" w:hAnsi="Arial"/>
          <w:color w:val="666666"/>
          <w:sz w:val="18"/>
          <w:szCs w:val="18"/>
        </w:rPr>
        <w:t xml:space="preserve">Herzliya, Israel</w:t>
      </w:r>
    </w:p>
    <w:p>
      <w:pPr>
        <w:sectPr>
          <w:pgSz w:w="12240" w:h="15840" w:orient="portrait"/>
          <w:pgMar w:top="1440" w:right="1440" w:bottom="1440" w:left="1440" w:header="708" w:footer="708" w:gutter="0"/>
          <w:pgNumType/>
          <w:docGrid w:linePitch="360"/>
        </w:sectPr>
      </w:pPr>
    </w:p>
    <w:p>
      <w:pPr>
        <w:pStyle w:val="Heading1"/>
        <w:spacing w:before="400" w:after="200"/>
      </w:pPr>
      <w:r>
        <w:rPr>
          <w:rFonts w:ascii="Arial" w:cs="Arial" w:eastAsia="Arial" w:hAnsi="Arial"/>
          <w:b/>
          <w:bCs/>
          <w:color w:val="1B2A4A"/>
          <w:sz w:val="32"/>
          <w:szCs w:val="32"/>
        </w:rPr>
        <w:t xml:space="preserve">1. Executive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1B2A4A" w:sz="6"/>
              <w:bottom w:val="none" w:color="FFFFFF" w:sz="0"/>
              <w:right w:val="none" w:color="FFFFFF" w:sz="0"/>
            </w:tcBorders>
            <w:shd w:fill="E8EFF7" w:val="clear"/>
          </w:tcPr>
          <w:p/>
        </w:tc>
        <w:tc>
          <w:tcPr>
            <w:tcW w:type="dxa" w:w="9240"/>
            <w:tcBorders>
              <w:top w:val="none" w:color="FFFFFF" w:sz="0"/>
              <w:left w:val="none" w:color="FFFFFF" w:sz="0"/>
              <w:bottom w:val="none" w:color="FFFFFF" w:sz="0"/>
              <w:right w:val="none" w:color="FFFFFF" w:sz="0"/>
            </w:tcBorders>
            <w:shd w:fill="E8EFF7" w:val="clear"/>
            <w:tcMar>
              <w:top w:type="dxa" w:w="120"/>
              <w:left w:type="dxa" w:w="160"/>
              <w:bottom w:type="dxa" w:w="120"/>
              <w:right w:type="dxa" w:w="160"/>
            </w:tcMar>
          </w:tcPr>
          <w:p>
            <w:pPr>
              <w:spacing w:after="60"/>
            </w:pPr>
            <w:r>
              <w:rPr>
                <w:rFonts w:ascii="Arial" w:cs="Arial" w:eastAsia="Arial" w:hAnsi="Arial"/>
                <w:b/>
                <w:bCs/>
                <w:color w:val="1B2A4A"/>
                <w:sz w:val="20"/>
                <w:szCs w:val="20"/>
              </w:rPr>
              <w:t xml:space="preserve">THE CORE THESIS</w:t>
            </w:r>
          </w:p>
          <w:p>
            <w:pPr>
              <w:spacing w:after="0" w:line="276"/>
            </w:pPr>
            <w:r>
              <w:rPr>
                <w:rFonts w:ascii="Arial" w:cs="Arial" w:eastAsia="Arial" w:hAnsi="Arial"/>
                <w:color w:val="1A1A1A"/>
                <w:sz w:val="19"/>
                <w:szCs w:val="19"/>
              </w:rPr>
              <w:t xml:space="preserve">AI agents are the new enterprise workforce — communicating without identity, authentication, or trust. Trusera builds the Agentic Service Mesh: vendor-neutral trust infrastructure securing East-West agent traffic across every platform. We are not another security product. We are the infrastructure layer without which enterprises cannot run agents at scale.</w:t>
            </w:r>
          </w:p>
        </w:tc>
      </w:tr>
    </w:tbl>
    <w:p>
      <w:pPr>
        <w:spacing w:before="120" w:after="0"/>
      </w:pPr>
    </w:p>
    <w:p>
      <w:pPr>
        <w:spacing w:after="120" w:line="276" w:before="0"/>
        <w:jc w:val="left"/>
      </w:pPr>
      <w:r>
        <w:rPr>
          <w:rFonts w:ascii="Arial" w:cs="Arial" w:eastAsia="Arial" w:hAnsi="Arial"/>
          <w:b/>
          <w:bCs/>
          <w:color w:val="1A1A1A"/>
          <w:sz w:val="20"/>
          <w:szCs w:val="20"/>
        </w:rPr>
        <w:t xml:space="preserve">The opportunity is structural. </w:t>
      </w:r>
      <w:r>
        <w:rPr>
          <w:rFonts w:ascii="Arial" w:cs="Arial" w:eastAsia="Arial" w:hAnsi="Arial"/>
          <w:color w:val="1A1A1A"/>
          <w:sz w:val="20"/>
          <w:szCs w:val="20"/>
        </w:rPr>
        <w:t xml:space="preserve">While competitors build gateways (Noma, $132M raised), identity tokens (Keycard AI, $38M), and NHI management (Oasis, Astrix), no one provides cross-platform cryptographic trust for agent-to-agent communication. Microsoft will not secure Google’s agents. Google will not secure Anthropic’s. We are the Switzerland of the agentic era.</w:t>
      </w:r>
    </w:p>
    <w:p>
      <w:pPr>
        <w:spacing w:after="120" w:line="276" w:before="0"/>
        <w:jc w:val="left"/>
      </w:pPr>
      <w:r>
        <w:rPr>
          <w:rFonts w:ascii="Arial" w:cs="Arial" w:eastAsia="Arial" w:hAnsi="Arial"/>
          <w:b/>
          <w:bCs/>
          <w:color w:val="1A1A1A"/>
          <w:sz w:val="20"/>
          <w:szCs w:val="20"/>
        </w:rPr>
        <w:t xml:space="preserve">Market validation: </w:t>
      </w:r>
      <w:r>
        <w:rPr>
          <w:rFonts w:ascii="Arial" w:cs="Arial" w:eastAsia="Arial" w:hAnsi="Arial"/>
          <w:color w:val="1A1A1A"/>
          <w:sz w:val="20"/>
          <w:szCs w:val="20"/>
        </w:rPr>
        <w:t xml:space="preserve">CrowdStrike paid $740M for SGNL (January 2026). Israeli cybersecurity funding hit $4.4B in 2025 with 71 seed rounds averaging $9.6M. EU AI Act mandates AI-BOM documentation (Article 53, enforceable August 2025). NIST published an RFI on AI Agent Security (January 2026). OWASP released Top 10 for Agentic Applications (December 2025) with ASI07 mapping directly to our product.</w:t>
      </w:r>
    </w:p>
    <w:p>
      <w:pPr>
        <w:spacing w:after="120" w:line="276" w:before="0"/>
        <w:jc w:val="left"/>
      </w:pPr>
      <w:r>
        <w:rPr>
          <w:rFonts w:ascii="Arial" w:cs="Arial" w:eastAsia="Arial" w:hAnsi="Arial"/>
          <w:b/>
          <w:bCs/>
          <w:color w:val="1A1A1A"/>
          <w:sz w:val="20"/>
          <w:szCs w:val="20"/>
        </w:rPr>
        <w:t xml:space="preserve">The team: </w:t>
      </w:r>
      <w:r>
        <w:rPr>
          <w:rFonts w:ascii="Arial" w:cs="Arial" w:eastAsia="Arial" w:hAnsi="Arial"/>
          <w:color w:val="1A1A1A"/>
          <w:sz w:val="20"/>
          <w:szCs w:val="20"/>
        </w:rPr>
        <w:t xml:space="preserve">CTO with working Semantic Trust Mesh PoC, 4,000+ automation workflows, Israeli cybersecurity experience (Guardio). CPO with Unit 8200 background and deep insider knowledge of Microsoft Cloud Security and Entra Agent ID architecture.</w:t>
      </w:r>
    </w:p>
    <w:p>
      <w:pPr>
        <w:spacing w:after="120" w:line="276" w:before="0"/>
        <w:jc w:val="left"/>
      </w:pPr>
      <w:r>
        <w:rPr>
          <w:rFonts w:ascii="Arial" w:cs="Arial" w:eastAsia="Arial" w:hAnsi="Arial"/>
          <w:b/>
          <w:bCs/>
          <w:color w:val="1A1A1A"/>
          <w:sz w:val="20"/>
          <w:szCs w:val="20"/>
        </w:rPr>
        <w:t xml:space="preserve">Raising $1.5-2.5M Pre-Seed </w:t>
      </w:r>
      <w:r>
        <w:rPr>
          <w:rFonts w:ascii="Arial" w:cs="Arial" w:eastAsia="Arial" w:hAnsi="Arial"/>
          <w:color w:val="1A1A1A"/>
          <w:sz w:val="20"/>
          <w:szCs w:val="20"/>
        </w:rPr>
        <w:t xml:space="preserve">to go from PoC to 10 design partners. Positioning for $7-10M seed (Q3-Q4 2026) led by top-tier Israeli cyber VC.</w:t>
      </w:r>
    </w:p>
    <w:p>
      <w:r>
        <w:br w:type="page"/>
      </w:r>
    </w:p>
    <w:p>
      <w:pPr>
        <w:pStyle w:val="Heading1"/>
        <w:spacing w:before="400" w:after="200"/>
      </w:pPr>
      <w:r>
        <w:rPr>
          <w:rFonts w:ascii="Arial" w:cs="Arial" w:eastAsia="Arial" w:hAnsi="Arial"/>
          <w:b/>
          <w:bCs/>
          <w:color w:val="1B2A4A"/>
          <w:sz w:val="32"/>
          <w:szCs w:val="32"/>
        </w:rPr>
        <w:t xml:space="preserve">2. Market Opportunity</w:t>
      </w:r>
    </w:p>
    <w:p>
      <w:pPr>
        <w:pStyle w:val="Heading2"/>
        <w:spacing w:before="300" w:after="150"/>
      </w:pPr>
      <w:r>
        <w:rPr>
          <w:rFonts w:ascii="Arial" w:cs="Arial" w:eastAsia="Arial" w:hAnsi="Arial"/>
          <w:b/>
          <w:bCs/>
          <w:color w:val="2E5090"/>
          <w:sz w:val="26"/>
          <w:szCs w:val="26"/>
        </w:rPr>
        <w:t xml:space="preserve">2.1 The Agent Explosion</w:t>
      </w:r>
    </w:p>
    <w:p>
      <w:pPr>
        <w:spacing w:after="120" w:line="276"/>
        <w:jc w:val="left"/>
      </w:pPr>
      <w:r>
        <w:rPr>
          <w:rFonts w:ascii="Arial" w:cs="Arial" w:eastAsia="Arial" w:hAnsi="Arial"/>
          <w:b w:val="false"/>
          <w:bCs w:val="false"/>
          <w:i w:val="false"/>
          <w:iCs w:val="false"/>
          <w:color w:val="1A1A1A"/>
          <w:sz w:val="20"/>
          <w:szCs w:val="20"/>
        </w:rPr>
        <w:t xml:space="preserve">Enterprise AI agent adoption has reached an inflection point:</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400"/>
        <w:gridCol w:w="2760"/>
      </w:tblGrid>
      <w:tr>
        <w:trPr>
          <w:tblHeader/>
        </w:trPr>
        <w:tc>
          <w:tcPr>
            <w:tcW w:type="dxa" w:w="22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Metric</w:t>
            </w:r>
          </w:p>
        </w:tc>
        <w:tc>
          <w:tcPr>
            <w:tcW w:type="dxa" w:w="4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Data</w:t>
            </w:r>
          </w:p>
        </w:tc>
        <w:tc>
          <w:tcPr>
            <w:tcW w:type="dxa" w:w="27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Source</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Enterprise adoption</w:t>
            </w:r>
          </w:p>
        </w:tc>
        <w:tc>
          <w:tcPr>
            <w:tcW w:type="dxa" w:w="4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79% of organizations already adopting agents</w:t>
            </w:r>
          </w:p>
        </w:tc>
        <w:tc>
          <w:tcPr>
            <w:tcW w:type="dxa" w:w="27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PwC 2025</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Agent embedding rate</w:t>
            </w:r>
          </w:p>
        </w:tc>
        <w:tc>
          <w:tcPr>
            <w:tcW w:type="dxa" w:w="4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40% of enterprise apps embed agents by end of 2026</w:t>
            </w:r>
          </w:p>
        </w:tc>
        <w:tc>
          <w:tcPr>
            <w:tcW w:type="dxa" w:w="27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Gartner</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Current agent count</w:t>
            </w:r>
          </w:p>
        </w:tc>
        <w:tc>
          <w:tcPr>
            <w:tcW w:type="dxa" w:w="4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Average enterprise: 12 agents, growing to 20 by 2027</w:t>
            </w:r>
          </w:p>
        </w:tc>
        <w:tc>
          <w:tcPr>
            <w:tcW w:type="dxa" w:w="27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Salesforce 2026</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Large enterprise</w:t>
            </w:r>
          </w:p>
        </w:tc>
        <w:tc>
          <w:tcPr>
            <w:tcW w:type="dxa" w:w="4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Hundreds to thousands across 40+ agent types</w:t>
            </w:r>
          </w:p>
        </w:tc>
        <w:tc>
          <w:tcPr>
            <w:tcW w:type="dxa" w:w="27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Industry</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NHI-to-human ratio</w:t>
            </w:r>
          </w:p>
        </w:tc>
        <w:tc>
          <w:tcPr>
            <w:tcW w:type="dxa" w:w="4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144:1, growing 44% annually. Some orgs: 500:1</w:t>
            </w:r>
          </w:p>
        </w:tc>
        <w:tc>
          <w:tcPr>
            <w:tcW w:type="dxa" w:w="27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Entro H1 2025</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Auth gap</w:t>
            </w:r>
          </w:p>
        </w:tc>
        <w:tc>
          <w:tcPr>
            <w:tcW w:type="dxa" w:w="4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45.6% use shared API keys for agent auth</w:t>
            </w:r>
          </w:p>
        </w:tc>
        <w:tc>
          <w:tcPr>
            <w:tcW w:type="dxa" w:w="27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Industry survey</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Multi-agent maturity</w:t>
            </w:r>
          </w:p>
        </w:tc>
        <w:tc>
          <w:tcPr>
            <w:tcW w:type="dxa" w:w="4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Only 2% at full scale</w:t>
            </w:r>
          </w:p>
        </w:tc>
        <w:tc>
          <w:tcPr>
            <w:tcW w:type="dxa" w:w="27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Industry data</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Projected agents</w:t>
            </w:r>
          </w:p>
        </w:tc>
        <w:tc>
          <w:tcPr>
            <w:tcW w:type="dxa" w:w="4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1.3 billion AI agents in enterprises by 2028</w:t>
            </w:r>
          </w:p>
        </w:tc>
        <w:tc>
          <w:tcPr>
            <w:tcW w:type="dxa" w:w="27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IDC</w:t>
            </w:r>
          </w:p>
        </w:tc>
      </w:tr>
    </w:tbl>
    <w:p>
      <w:pPr>
        <w:spacing w:before="8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D4772C" w:sz="6"/>
              <w:bottom w:val="none" w:color="FFFFFF" w:sz="0"/>
              <w:right w:val="none" w:color="FFFFFF" w:sz="0"/>
            </w:tcBorders>
            <w:shd w:fill="FDF0E6" w:val="clear"/>
          </w:tcPr>
          <w:p/>
        </w:tc>
        <w:tc>
          <w:tcPr>
            <w:tcW w:type="dxa" w:w="9240"/>
            <w:tcBorders>
              <w:top w:val="none" w:color="FFFFFF" w:sz="0"/>
              <w:left w:val="none" w:color="FFFFFF" w:sz="0"/>
              <w:bottom w:val="none" w:color="FFFFFF" w:sz="0"/>
              <w:right w:val="none" w:color="FFFFFF" w:sz="0"/>
            </w:tcBorders>
            <w:shd w:fill="FDF0E6" w:val="clear"/>
            <w:tcMar>
              <w:top w:type="dxa" w:w="120"/>
              <w:left w:type="dxa" w:w="160"/>
              <w:bottom w:type="dxa" w:w="120"/>
              <w:right w:type="dxa" w:w="160"/>
            </w:tcMar>
          </w:tcPr>
          <w:p>
            <w:pPr>
              <w:spacing w:after="60"/>
            </w:pPr>
            <w:r>
              <w:rPr>
                <w:rFonts w:ascii="Arial" w:cs="Arial" w:eastAsia="Arial" w:hAnsi="Arial"/>
                <w:b/>
                <w:bCs/>
                <w:color w:val="D4772C"/>
                <w:sz w:val="20"/>
                <w:szCs w:val="20"/>
              </w:rPr>
              <w:t xml:space="preserve">WHY NOW</w:t>
            </w:r>
          </w:p>
          <w:p>
            <w:pPr>
              <w:spacing w:after="0" w:line="276"/>
            </w:pPr>
            <w:r>
              <w:rPr>
                <w:rFonts w:ascii="Arial" w:cs="Arial" w:eastAsia="Arial" w:hAnsi="Arial"/>
                <w:color w:val="1A1A1A"/>
                <w:sz w:val="19"/>
                <w:szCs w:val="19"/>
              </w:rPr>
              <w:t xml:space="preserve">Agent sprawl tracks 3-5x faster than SaaS app sprawl — the curve that drove $20B+ in SSPM/CASB investment. But agents can be created via low-code, embedded by vendors, and spawned by other agents automatically. The attack surface expands faster than any previous enterprise technology wave.</w:t>
            </w:r>
          </w:p>
        </w:tc>
      </w:tr>
    </w:tbl>
    <w:p>
      <w:pPr>
        <w:pStyle w:val="Heading2"/>
        <w:spacing w:before="300" w:after="150"/>
      </w:pPr>
      <w:r>
        <w:rPr>
          <w:rFonts w:ascii="Arial" w:cs="Arial" w:eastAsia="Arial" w:hAnsi="Arial"/>
          <w:b/>
          <w:bCs/>
          <w:color w:val="2E5090"/>
          <w:sz w:val="26"/>
          <w:szCs w:val="26"/>
        </w:rPr>
        <w:t xml:space="preserve">2.2 Market Sizing</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60"/>
        <w:gridCol w:w="2000"/>
        <w:gridCol w:w="2000"/>
        <w:gridCol w:w="2000"/>
      </w:tblGrid>
      <w:tr>
        <w:trPr>
          <w:tblHeader/>
        </w:trPr>
        <w:tc>
          <w:tcPr>
            <w:tcW w:type="dxa" w:w="33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Segment</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2026</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2027</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2028</w:t>
            </w:r>
          </w:p>
        </w:tc>
      </w:tr>
      <w:tr>
        <w:tc>
          <w:tcPr>
            <w:tcW w:type="dxa" w:w="3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TAM (AI agent security)</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$4-6B</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$6-9B</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$8-12B</w:t>
            </w:r>
          </w:p>
        </w:tc>
      </w:tr>
      <w:tr>
        <w:tc>
          <w:tcPr>
            <w:tcW w:type="dxa" w:w="33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SAM (multi-agent trust infra)</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$500M-$1B</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$1-2B</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$1.5-3B</w:t>
            </w:r>
          </w:p>
        </w:tc>
      </w:tr>
      <w:tr>
        <w:tc>
          <w:tcPr>
            <w:tcW w:type="dxa" w:w="3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SOM (obtainable)</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$1-2M ARR</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$6-15M ARR</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$30-80M ARR</w:t>
            </w:r>
          </w:p>
        </w:tc>
      </w:tr>
    </w:tbl>
    <w:p>
      <w:pPr>
        <w:pStyle w:val="Heading2"/>
        <w:spacing w:before="300" w:after="150"/>
      </w:pPr>
      <w:r>
        <w:rPr>
          <w:rFonts w:ascii="Arial" w:cs="Arial" w:eastAsia="Arial" w:hAnsi="Arial"/>
          <w:b/>
          <w:bCs/>
          <w:color w:val="2E5090"/>
          <w:sz w:val="26"/>
          <w:szCs w:val="26"/>
        </w:rPr>
        <w:t xml:space="preserve">2.3 Regulatory Tailwinds</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000"/>
        <w:gridCol w:w="4160"/>
      </w:tblGrid>
      <w:tr>
        <w:trPr>
          <w:tblHeader/>
        </w:trPr>
        <w:tc>
          <w:tcPr>
            <w:tcW w:type="dxa" w:w="22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Regulation</w:t>
            </w:r>
          </w:p>
        </w:tc>
        <w:tc>
          <w:tcPr>
            <w:tcW w:type="dxa" w:w="3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Status</w:t>
            </w:r>
          </w:p>
        </w:tc>
        <w:tc>
          <w:tcPr>
            <w:tcW w:type="dxa" w:w="41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Impact</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EU AI Act (Art. 53)</w:t>
            </w:r>
          </w:p>
        </w:tc>
        <w:tc>
          <w:tcPr>
            <w:tcW w:type="dxa" w:w="3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GPAI obligations enforceable since Aug 2025. Penalties: €35M or 7% turnover.</w:t>
            </w:r>
          </w:p>
        </w:tc>
        <w:tc>
          <w:tcPr>
            <w:tcW w:type="dxa" w:w="41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Functionally an AI-BOM mandate. Our scanner generates Article 53/Annex XI compliant documentation.</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NIST RFI on AI Agent Security</w:t>
            </w:r>
          </w:p>
        </w:tc>
        <w:tc>
          <w:tcPr>
            <w:tcW w:type="dxa" w:w="3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Published Jan 8, 2026.</w:t>
            </w:r>
          </w:p>
        </w:tc>
        <w:tc>
          <w:tcPr>
            <w:tcW w:type="dxa" w:w="41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Opportunity to shape US federal standards. Our architecture = reference implementation.</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OWASP Agentic Top 10</w:t>
            </w:r>
          </w:p>
        </w:tc>
        <w:tc>
          <w:tcPr>
            <w:tcW w:type="dxa" w:w="3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Released Dec 2025.</w:t>
            </w:r>
          </w:p>
        </w:tc>
        <w:tc>
          <w:tcPr>
            <w:tcW w:type="dxa" w:w="41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ASI07 (Insecure Inter-Agent Communication) + ASI03 (Identity Abuse) = our exact scope.</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ISO 42001</w:t>
            </w:r>
          </w:p>
        </w:tc>
        <w:tc>
          <w:tcPr>
            <w:tcW w:type="dxa" w:w="3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76% of orgs plan alignment (CSA 2025).</w:t>
            </w:r>
          </w:p>
        </w:tc>
        <w:tc>
          <w:tcPr>
            <w:tcW w:type="dxa" w:w="41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AI-BOM and agent governance map directly to ISO 42001 controls.</w:t>
            </w:r>
          </w:p>
        </w:tc>
      </w:tr>
    </w:tbl>
    <w:p>
      <w:r>
        <w:br w:type="page"/>
      </w:r>
    </w:p>
    <w:p>
      <w:pPr>
        <w:pStyle w:val="Heading1"/>
        <w:spacing w:before="400" w:after="200"/>
      </w:pPr>
      <w:r>
        <w:rPr>
          <w:rFonts w:ascii="Arial" w:cs="Arial" w:eastAsia="Arial" w:hAnsi="Arial"/>
          <w:b/>
          <w:bCs/>
          <w:color w:val="1B2A4A"/>
          <w:sz w:val="32"/>
          <w:szCs w:val="32"/>
        </w:rPr>
        <w:t xml:space="preserve">3. Competitive Landscape</w:t>
      </w:r>
    </w:p>
    <w:p>
      <w:pPr>
        <w:spacing w:after="120" w:line="276" w:before="0"/>
        <w:jc w:val="left"/>
      </w:pPr>
      <w:r>
        <w:rPr>
          <w:rFonts w:ascii="Arial" w:cs="Arial" w:eastAsia="Arial" w:hAnsi="Arial"/>
          <w:b/>
          <w:bCs/>
          <w:color w:val="1A1A1A"/>
          <w:sz w:val="20"/>
          <w:szCs w:val="20"/>
        </w:rPr>
        <w:t xml:space="preserve">14+ companies analyzed. </w:t>
      </w:r>
      <w:r>
        <w:rPr>
          <w:rFonts w:ascii="Arial" w:cs="Arial" w:eastAsia="Arial" w:hAnsi="Arial"/>
          <w:color w:val="1A1A1A"/>
          <w:sz w:val="20"/>
          <w:szCs w:val="20"/>
        </w:rPr>
        <w:t xml:space="preserve">The landscape divides into four categories — none occupies our space.</w:t>
      </w:r>
    </w:p>
    <w:p>
      <w:pPr>
        <w:pStyle w:val="Heading2"/>
        <w:spacing w:before="300" w:after="150"/>
      </w:pPr>
      <w:r>
        <w:rPr>
          <w:rFonts w:ascii="Arial" w:cs="Arial" w:eastAsia="Arial" w:hAnsi="Arial"/>
          <w:b/>
          <w:bCs/>
          <w:color w:val="2E5090"/>
          <w:sz w:val="26"/>
          <w:szCs w:val="26"/>
        </w:rPr>
        <w:t xml:space="preserve">3.1 Competitive Map</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000"/>
        <w:gridCol w:w="2600"/>
        <w:gridCol w:w="3160"/>
      </w:tblGrid>
      <w:tr>
        <w:trPr>
          <w:tblHeader/>
        </w:trPr>
        <w:tc>
          <w:tcPr>
            <w:tcW w:type="dxa" w:w="16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Category</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Players</w:t>
            </w:r>
          </w:p>
        </w:tc>
        <w:tc>
          <w:tcPr>
            <w:tcW w:type="dxa" w:w="26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What They Do</w:t>
            </w:r>
          </w:p>
        </w:tc>
        <w:tc>
          <w:tcPr>
            <w:tcW w:type="dxa" w:w="31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Gap</w:t>
            </w:r>
          </w:p>
        </w:tc>
      </w:tr>
      <w:tr>
        <w:tc>
          <w:tcPr>
            <w:tcW w:type="dxa" w:w="16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AI Security Platforms</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Noma ($132M), Zenity ($55M), Pillar ($9M)</w:t>
            </w:r>
          </w:p>
        </w:tc>
        <w:tc>
          <w:tcPr>
            <w:tcW w:type="dxa" w:w="26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Discovery, AI-BOM, posture, shadow AI</w:t>
            </w:r>
          </w:p>
        </w:tc>
        <w:tc>
          <w:tcPr>
            <w:tcW w:type="dxa" w:w="31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Observability overlay. Watches agents, doesn’t mediate trust.</w:t>
            </w:r>
          </w:p>
        </w:tc>
      </w:tr>
      <w:tr>
        <w:tc>
          <w:tcPr>
            <w:tcW w:type="dxa" w:w="16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NHI Management</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Oasis ($75M), Astrix ($85M), Aembit ($45M)</w:t>
            </w:r>
          </w:p>
        </w:tc>
        <w:tc>
          <w:tcPr>
            <w:tcW w:type="dxa" w:w="26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NHI lifecycle, credentials, access governance</w:t>
            </w:r>
          </w:p>
        </w:tc>
        <w:tc>
          <w:tcPr>
            <w:tcW w:type="dxa" w:w="31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North-South (agent→resource). Not East-West (agent↔agent).</w:t>
            </w:r>
          </w:p>
        </w:tc>
      </w:tr>
      <w:tr>
        <w:tc>
          <w:tcPr>
            <w:tcW w:type="dxa" w:w="16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Agent Identity</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Keycard AI ($38M), Okta XAA, Entra Agent ID</w:t>
            </w:r>
          </w:p>
        </w:tc>
        <w:tc>
          <w:tcPr>
            <w:tcW w:type="dxa" w:w="26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Identity issuance, tokens, agent IAM</w:t>
            </w:r>
          </w:p>
        </w:tc>
        <w:tc>
          <w:tcPr>
            <w:tcW w:type="dxa" w:w="31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Issues tokens, doesn’t provide communication fabric.</w:t>
            </w:r>
          </w:p>
        </w:tc>
      </w:tr>
      <w:tr>
        <w:tc>
          <w:tcPr>
            <w:tcW w:type="dxa" w:w="16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Infrastructure</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Solo.io, F5 (CalypsoAI), SentinelOne (Prompt Security)</w:t>
            </w:r>
          </w:p>
        </w:tc>
        <w:tc>
          <w:tcPr>
            <w:tcW w:type="dxa" w:w="26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Gateways, prompt filtering, proxies</w:t>
            </w:r>
          </w:p>
        </w:tc>
        <w:tc>
          <w:tcPr>
            <w:tcW w:type="dxa" w:w="31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API/inference boundary. Not agent-to-agent mesh.</w:t>
            </w:r>
          </w:p>
        </w:tc>
      </w:tr>
    </w:tbl>
    <w:p>
      <w:pPr>
        <w:pStyle w:val="Heading2"/>
        <w:spacing w:before="300" w:after="150"/>
      </w:pPr>
      <w:r>
        <w:rPr>
          <w:rFonts w:ascii="Arial" w:cs="Arial" w:eastAsia="Arial" w:hAnsi="Arial"/>
          <w:b/>
          <w:bCs/>
          <w:color w:val="2E5090"/>
          <w:sz w:val="26"/>
          <w:szCs w:val="26"/>
        </w:rPr>
        <w:t xml:space="preserve">3.2 Acquisitions Validating the Category</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100"/>
        <w:gridCol w:w="1200"/>
        <w:gridCol w:w="4660"/>
      </w:tblGrid>
      <w:tr>
        <w:trPr>
          <w:tblHeader/>
        </w:trPr>
        <w:tc>
          <w:tcPr>
            <w:tcW w:type="dxa" w:w="2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Deal</w:t>
            </w:r>
          </w:p>
        </w:tc>
        <w:tc>
          <w:tcPr>
            <w:tcW w:type="dxa" w:w="11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Price</w:t>
            </w:r>
          </w:p>
        </w:tc>
        <w:tc>
          <w:tcPr>
            <w:tcW w:type="dxa" w:w="12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Date</w:t>
            </w:r>
          </w:p>
        </w:tc>
        <w:tc>
          <w:tcPr>
            <w:tcW w:type="dxa" w:w="46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Signal</w:t>
            </w:r>
          </w:p>
        </w:tc>
      </w:tr>
      <w:tr>
        <w:tc>
          <w:tcPr>
            <w:tcW w:type="dxa" w:w="2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CrowdStrike ← SGNL</w:t>
            </w:r>
          </w:p>
        </w:tc>
        <w:tc>
          <w:tcPr>
            <w:tcW w:type="dxa" w:w="11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$740M</w:t>
            </w:r>
          </w:p>
        </w:tc>
        <w:tc>
          <w:tcPr>
            <w:tcW w:type="dxa" w:w="1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Jan 2026</w:t>
            </w:r>
          </w:p>
        </w:tc>
        <w:tc>
          <w:tcPr>
            <w:tcW w:type="dxa" w:w="46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Authorization (North-South). We fill East-West gap.</w:t>
            </w:r>
          </w:p>
        </w:tc>
      </w:tr>
      <w:tr>
        <w:tc>
          <w:tcPr>
            <w:tcW w:type="dxa" w:w="2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Palo Alto ← Protect AI</w:t>
            </w:r>
          </w:p>
        </w:tc>
        <w:tc>
          <w:tcPr>
            <w:tcW w:type="dxa" w:w="11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~$650M</w:t>
            </w:r>
          </w:p>
        </w:tc>
        <w:tc>
          <w:tcPr>
            <w:tcW w:type="dxa" w:w="1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Dec 2025</w:t>
            </w:r>
          </w:p>
        </w:tc>
        <w:tc>
          <w:tcPr>
            <w:tcW w:type="dxa" w:w="46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Model security, not communication security.</w:t>
            </w:r>
          </w:p>
        </w:tc>
      </w:tr>
      <w:tr>
        <w:tc>
          <w:tcPr>
            <w:tcW w:type="dxa" w:w="2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SentinelOne ← Prompt Security</w:t>
            </w:r>
          </w:p>
        </w:tc>
        <w:tc>
          <w:tcPr>
            <w:tcW w:type="dxa" w:w="11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~$180M</w:t>
            </w:r>
          </w:p>
        </w:tc>
        <w:tc>
          <w:tcPr>
            <w:tcW w:type="dxa" w:w="1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Sep 2025</w:t>
            </w:r>
          </w:p>
        </w:tc>
        <w:tc>
          <w:tcPr>
            <w:tcW w:type="dxa" w:w="46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Prompt-layer, not inter-agent trust.</w:t>
            </w:r>
          </w:p>
        </w:tc>
      </w:tr>
      <w:tr>
        <w:tc>
          <w:tcPr>
            <w:tcW w:type="dxa" w:w="2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Palo Alto ← CyberArk</w:t>
            </w:r>
          </w:p>
        </w:tc>
        <w:tc>
          <w:tcPr>
            <w:tcW w:type="dxa" w:w="11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$25B</w:t>
            </w:r>
          </w:p>
        </w:tc>
        <w:tc>
          <w:tcPr>
            <w:tcW w:type="dxa" w:w="1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2025</w:t>
            </w:r>
          </w:p>
        </w:tc>
        <w:tc>
          <w:tcPr>
            <w:tcW w:type="dxa" w:w="46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Human + NHI identity, not agent-to-agent.</w:t>
            </w:r>
          </w:p>
        </w:tc>
      </w:tr>
    </w:tbl>
    <w:p>
      <w:pPr>
        <w:pStyle w:val="Heading2"/>
        <w:spacing w:before="300" w:after="150"/>
      </w:pPr>
      <w:r>
        <w:rPr>
          <w:rFonts w:ascii="Arial" w:cs="Arial" w:eastAsia="Arial" w:hAnsi="Arial"/>
          <w:b/>
          <w:bCs/>
          <w:color w:val="2E5090"/>
          <w:sz w:val="26"/>
          <w:szCs w:val="26"/>
        </w:rPr>
        <w:t xml:space="preserve">3.3 The Protocol Gap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C0392B" w:sz="6"/>
              <w:bottom w:val="none" w:color="FFFFFF" w:sz="0"/>
              <w:right w:val="none" w:color="FFFFFF" w:sz="0"/>
            </w:tcBorders>
            <w:shd w:fill="FDECEC" w:val="clear"/>
          </w:tcPr>
          <w:p/>
        </w:tc>
        <w:tc>
          <w:tcPr>
            <w:tcW w:type="dxa" w:w="9240"/>
            <w:tcBorders>
              <w:top w:val="none" w:color="FFFFFF" w:sz="0"/>
              <w:left w:val="none" w:color="FFFFFF" w:sz="0"/>
              <w:bottom w:val="none" w:color="FFFFFF" w:sz="0"/>
              <w:right w:val="none" w:color="FFFFFF" w:sz="0"/>
            </w:tcBorders>
            <w:shd w:fill="FDECEC" w:val="clear"/>
            <w:tcMar>
              <w:top w:type="dxa" w:w="120"/>
              <w:left w:type="dxa" w:w="160"/>
              <w:bottom w:type="dxa" w:w="120"/>
              <w:right w:type="dxa" w:w="160"/>
            </w:tcMar>
          </w:tcPr>
          <w:p>
            <w:pPr>
              <w:spacing w:after="60"/>
            </w:pPr>
            <w:r>
              <w:rPr>
                <w:rFonts w:ascii="Arial" w:cs="Arial" w:eastAsia="Arial" w:hAnsi="Arial"/>
                <w:b/>
                <w:bCs/>
                <w:color w:val="C0392B"/>
                <w:sz w:val="20"/>
                <w:szCs w:val="20"/>
              </w:rPr>
              <w:t xml:space="preserve">DEFINITIVE WHITE SPACE</w:t>
            </w:r>
          </w:p>
          <w:p>
            <w:pPr>
              <w:spacing w:after="40" w:line="276" w:before="0"/>
              <w:jc w:val="left"/>
            </w:pPr>
            <w:r>
              <w:rPr>
                <w:rFonts w:ascii="Arial" w:cs="Arial" w:eastAsia="Arial" w:hAnsi="Arial"/>
                <w:b/>
                <w:bCs/>
                <w:color w:val="1A1A1A"/>
                <w:sz w:val="20"/>
                <w:szCs w:val="20"/>
              </w:rPr>
              <w:t xml:space="preserve">MCP: </w:t>
            </w:r>
            <w:r>
              <w:rPr>
                <w:rFonts w:ascii="Arial" w:cs="Arial" w:eastAsia="Arial" w:hAnsi="Arial"/>
                <w:color w:val="1A1A1A"/>
                <w:sz w:val="20"/>
                <w:szCs w:val="20"/>
              </w:rPr>
              <w:t xml:space="preserve">Authorization optional. No agent-to-agent auth. Server-to-server “not well defined.”</w:t>
            </w:r>
          </w:p>
          <w:p>
            <w:pPr>
              <w:spacing w:after="40" w:line="276" w:before="0"/>
              <w:jc w:val="left"/>
            </w:pPr>
            <w:r>
              <w:rPr>
                <w:rFonts w:ascii="Arial" w:cs="Arial" w:eastAsia="Arial" w:hAnsi="Arial"/>
                <w:b/>
                <w:bCs/>
                <w:color w:val="1A1A1A"/>
                <w:sz w:val="20"/>
                <w:szCs w:val="20"/>
              </w:rPr>
              <w:t xml:space="preserve">A2A (Linux Foundation, v0.3, 150+ orgs): </w:t>
            </w:r>
            <w:r>
              <w:rPr>
                <w:rFonts w:ascii="Arial" w:cs="Arial" w:eastAsia="Arial" w:hAnsi="Arial"/>
                <w:color w:val="1A1A1A"/>
                <w:sz w:val="20"/>
                <w:szCs w:val="20"/>
              </w:rPr>
              <w:t xml:space="preserve">Credential provisioning “out of scope.” Agent Card signing optional.</w:t>
            </w:r>
          </w:p>
          <w:p>
            <w:pPr>
              <w:spacing w:after="120" w:line="276" w:before="0"/>
              <w:jc w:val="left"/>
            </w:pPr>
            <w:r>
              <w:rPr>
                <w:rFonts w:ascii="Arial" w:cs="Arial" w:eastAsia="Arial" w:hAnsi="Arial"/>
                <w:b/>
                <w:bCs/>
                <w:color w:val="1A1A1A"/>
                <w:sz w:val="20"/>
                <w:szCs w:val="20"/>
              </w:rPr>
              <w:t xml:space="preserve">Neither provides: </w:t>
            </w:r>
            <w:r>
              <w:rPr>
                <w:rFonts w:ascii="Arial" w:cs="Arial" w:eastAsia="Arial" w:hAnsi="Arial"/>
                <w:color w:val="1A1A1A"/>
                <w:sz w:val="20"/>
                <w:szCs w:val="20"/>
              </w:rPr>
              <w:t xml:space="preserve">federated multi-IdP trust, behavioral trust scoring, or cross-protocol bridging. This is what Trusera delivers.</w:t>
            </w:r>
          </w:p>
        </w:tc>
      </w:tr>
    </w:tbl>
    <w:p>
      <w:pPr>
        <w:spacing w:before="80" w:after="0"/>
      </w:pPr>
    </w:p>
    <w:p>
      <w:pPr>
        <w:spacing w:after="120" w:line="276" w:before="0"/>
        <w:jc w:val="left"/>
      </w:pPr>
      <w:r>
        <w:rPr>
          <w:rFonts w:ascii="Arial" w:cs="Arial" w:eastAsia="Arial" w:hAnsi="Arial"/>
          <w:b/>
          <w:bCs/>
          <w:color w:val="C0392B"/>
          <w:sz w:val="20"/>
          <w:szCs w:val="20"/>
        </w:rPr>
        <w:t xml:space="preserve">Window: 6-18 months </w:t>
      </w:r>
      <w:r>
        <w:rPr>
          <w:rFonts w:ascii="Arial" w:cs="Arial" w:eastAsia="Arial" w:hAnsi="Arial"/>
          <w:color w:val="1A1A1A"/>
          <w:sz w:val="20"/>
          <w:szCs w:val="20"/>
        </w:rPr>
        <w:t xml:space="preserve">before platforms extend or competitors pivot.</w:t>
      </w:r>
    </w:p>
    <w:p>
      <w:r>
        <w:br w:type="page"/>
      </w:r>
    </w:p>
    <w:p>
      <w:pPr>
        <w:pStyle w:val="Heading1"/>
        <w:spacing w:before="400" w:after="200"/>
      </w:pPr>
      <w:r>
        <w:rPr>
          <w:rFonts w:ascii="Arial" w:cs="Arial" w:eastAsia="Arial" w:hAnsi="Arial"/>
          <w:b/>
          <w:bCs/>
          <w:color w:val="1B2A4A"/>
          <w:sz w:val="32"/>
          <w:szCs w:val="32"/>
        </w:rPr>
        <w:t xml:space="preserve">4. Product Architecture: Three-Stage Wedge</w:t>
      </w:r>
    </w:p>
    <w:p>
      <w:pPr>
        <w:pStyle w:val="Heading2"/>
        <w:spacing w:before="300" w:after="150"/>
      </w:pPr>
      <w:r>
        <w:rPr>
          <w:rFonts w:ascii="Arial" w:cs="Arial" w:eastAsia="Arial" w:hAnsi="Arial"/>
          <w:b/>
          <w:bCs/>
          <w:color w:val="2E5090"/>
          <w:sz w:val="26"/>
          <w:szCs w:val="26"/>
        </w:rPr>
        <w:t xml:space="preserve">Stage 1: AI-BOM &amp; Discovery (Months 0-12)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2E5090" w:sz="6"/>
              <w:bottom w:val="none" w:color="FFFFFF" w:sz="0"/>
              <w:right w:val="none" w:color="FFFFFF" w:sz="0"/>
            </w:tcBorders>
            <w:shd w:fill="E8EFF7" w:val="clear"/>
          </w:tcPr>
          <w:p/>
        </w:tc>
        <w:tc>
          <w:tcPr>
            <w:tcW w:type="dxa" w:w="9240"/>
            <w:tcBorders>
              <w:top w:val="none" w:color="FFFFFF" w:sz="0"/>
              <w:left w:val="none" w:color="FFFFFF" w:sz="0"/>
              <w:bottom w:val="none" w:color="FFFFFF" w:sz="0"/>
              <w:right w:val="none" w:color="FFFFFF" w:sz="0"/>
            </w:tcBorders>
            <w:shd w:fill="E8EFF7" w:val="clear"/>
            <w:tcMar>
              <w:top w:type="dxa" w:w="120"/>
              <w:left w:type="dxa" w:w="160"/>
              <w:bottom w:type="dxa" w:w="120"/>
              <w:right w:type="dxa" w:w="160"/>
            </w:tcMar>
          </w:tcPr>
          <w:p>
            <w:pPr>
              <w:spacing w:after="60"/>
            </w:pPr>
            <w:r>
              <w:rPr>
                <w:rFonts w:ascii="Arial" w:cs="Arial" w:eastAsia="Arial" w:hAnsi="Arial"/>
                <w:b/>
                <w:bCs/>
                <w:color w:val="2E5090"/>
                <w:sz w:val="20"/>
                <w:szCs w:val="20"/>
              </w:rPr>
              <w:t xml:space="preserve">CISO QUESTION</w:t>
            </w:r>
          </w:p>
          <w:p>
            <w:pPr>
              <w:spacing w:after="0" w:line="276"/>
            </w:pPr>
            <w:r>
              <w:rPr>
                <w:rFonts w:ascii="Arial" w:cs="Arial" w:eastAsia="Arial" w:hAnsi="Arial"/>
                <w:color w:val="1A1A1A"/>
                <w:sz w:val="19"/>
                <w:szCs w:val="19"/>
              </w:rPr>
              <w:t xml:space="preserve">"How many AI agents do I have, what are they made of, and which ones are shadow AI?"</w:t>
            </w:r>
          </w:p>
        </w:tc>
      </w:tr>
    </w:tbl>
    <w:p>
      <w:pPr>
        <w:spacing w:before="80" w:after="0"/>
      </w:pPr>
    </w:p>
    <w:p>
      <w:pPr>
        <w:spacing w:after="120" w:line="276" w:before="0"/>
        <w:jc w:val="left"/>
      </w:pPr>
      <w:r>
        <w:rPr>
          <w:rFonts w:ascii="Arial" w:cs="Arial" w:eastAsia="Arial" w:hAnsi="Arial"/>
          <w:b/>
          <w:bCs/>
          <w:color w:val="1A1A1A"/>
          <w:sz w:val="20"/>
          <w:szCs w:val="20"/>
        </w:rPr>
        <w:t xml:space="preserve">Why this wedge: </w:t>
      </w:r>
      <w:r>
        <w:rPr>
          <w:rFonts w:ascii="Arial" w:cs="Arial" w:eastAsia="Arial" w:hAnsi="Arial"/>
          <w:color w:val="1A1A1A"/>
          <w:sz w:val="20"/>
          <w:szCs w:val="20"/>
        </w:rPr>
        <w:t xml:space="preserve">73% of CISOs critically concerned about AI agent risks (NeuralTrust, 160+ CISOs), only 21% maintain up-to-date inventory (Akto 2025). Free 15-minute scan creates a “Wiz Moment” — showing risks the CISO didn’t know existed.</w:t>
      </w:r>
    </w:p>
    <w:p>
      <w:pPr>
        <w:spacing w:before="200" w:after="100"/>
      </w:pPr>
      <w:r>
        <w:rPr>
          <w:rFonts w:ascii="Arial" w:cs="Arial" w:eastAsia="Arial" w:hAnsi="Arial"/>
          <w:b/>
          <w:bCs/>
          <w:color w:val="3A7CA5"/>
          <w:sz w:val="22"/>
          <w:szCs w:val="22"/>
        </w:rPr>
        <w:t xml:space="preserve">AI-BOM Specification (per agent)</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Component</w:t>
            </w:r>
          </w:p>
        </w:tc>
        <w:tc>
          <w:tcPr>
            <w:tcW w:type="dxa" w:w="68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Data Captured</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Identity</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Agent ID, owner, version, deployment env, creation timestamp</w:t>
            </w:r>
          </w:p>
        </w:tc>
      </w:tr>
      <w:tr>
        <w:tc>
          <w:tcPr>
            <w:tcW w:type="dxa" w:w="2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Model details</w:t>
            </w:r>
          </w:p>
        </w:tc>
        <w:tc>
          <w:tcPr>
            <w:tcW w:type="dxa" w:w="6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Provider, architecture, parameters, fine-tuning provenance</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Capabilities</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Tool access, API connections, MCP servers, data classification</w:t>
            </w:r>
          </w:p>
        </w:tc>
      </w:tr>
      <w:tr>
        <w:tc>
          <w:tcPr>
            <w:tcW w:type="dxa" w:w="2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Permissions</w:t>
            </w:r>
          </w:p>
        </w:tc>
        <w:tc>
          <w:tcPr>
            <w:tcW w:type="dxa" w:w="6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RBAC roles, delegation rights, credential types, OAuth scopes</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Data flows</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Inbound/outbound classifications, trust boundary crossings</w:t>
            </w:r>
          </w:p>
        </w:tc>
      </w:tr>
      <w:tr>
        <w:tc>
          <w:tcPr>
            <w:tcW w:type="dxa" w:w="2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Dependencies</w:t>
            </w:r>
          </w:p>
        </w:tc>
        <w:tc>
          <w:tcPr>
            <w:tcW w:type="dxa" w:w="6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Framework, runtime, SDK versions, third-party services</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Compliance</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EU AI Act risk level, HIPAA/SOX applicability, audit date</w:t>
            </w:r>
          </w:p>
        </w:tc>
      </w:tr>
    </w:tbl>
    <w:p>
      <w:pPr>
        <w:spacing w:before="200" w:after="100"/>
      </w:pPr>
      <w:r>
        <w:rPr>
          <w:rFonts w:ascii="Arial" w:cs="Arial" w:eastAsia="Arial" w:hAnsi="Arial"/>
          <w:b/>
          <w:bCs/>
          <w:color w:val="3A7CA5"/>
          <w:sz w:val="22"/>
          <w:szCs w:val="22"/>
        </w:rPr>
        <w:t xml:space="preserve">Discovery Mechanisms</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rPr>
          <w:tblHeader/>
        </w:trPr>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Platform</w:t>
            </w:r>
          </w:p>
        </w:tc>
        <w:tc>
          <w:tcPr>
            <w:tcW w:type="dxa" w:w="73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Method</w:t>
            </w:r>
          </w:p>
        </w:tc>
      </w:tr>
      <w:tr>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Microsoft</w:t>
            </w:r>
          </w:p>
        </w:tc>
        <w:tc>
          <w:tcPr>
            <w:tcW w:type="dxa" w:w="7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Graph API /applications, /servicePrincipals, Copilot Studio registry, Azure AI enumeration</w:t>
            </w:r>
          </w:p>
        </w:tc>
      </w:tr>
      <w:tr>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Google</w:t>
            </w:r>
          </w:p>
        </w:tc>
        <w:tc>
          <w:tcPr>
            <w:tcW w:type="dxa" w:w="73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Vertex AI Agent Builder API, Dialogflow CX, Cloud IAM service accounts</w:t>
            </w:r>
          </w:p>
        </w:tc>
      </w:tr>
      <w:tr>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Open-source</w:t>
            </w:r>
          </w:p>
        </w:tc>
        <w:tc>
          <w:tcPr>
            <w:tcW w:type="dxa" w:w="7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n8n workflow scanning, LangSmith, CrewAI config, MCP (/.well-known/mcp.json), A2A (/.well-known/agent.json)</w:t>
            </w:r>
          </w:p>
        </w:tc>
      </w:tr>
      <w:tr>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Network</w:t>
            </w:r>
          </w:p>
        </w:tc>
        <w:tc>
          <w:tcPr>
            <w:tcW w:type="dxa" w:w="73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DNS monitoring for AI provider domains, OpenTelemetry, container metadata</w:t>
            </w:r>
          </w:p>
        </w:tc>
      </w:tr>
    </w:tbl>
    <w:p>
      <w:pPr>
        <w:spacing w:before="200" w:after="100"/>
      </w:pPr>
      <w:r>
        <w:rPr>
          <w:rFonts w:ascii="Arial" w:cs="Arial" w:eastAsia="Arial" w:hAnsi="Arial"/>
          <w:b/>
          <w:bCs/>
          <w:color w:val="3A7CA5"/>
          <w:sz w:val="22"/>
          <w:szCs w:val="22"/>
        </w:rPr>
        <w:t xml:space="preserve">Pricing (Stage 1)</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000"/>
        <w:gridCol w:w="5860"/>
      </w:tblGrid>
      <w:tr>
        <w:trPr>
          <w:tblHeader/>
        </w:trPr>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Tier</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Price</w:t>
            </w:r>
          </w:p>
        </w:tc>
        <w:tc>
          <w:tcPr>
            <w:tcW w:type="dxa" w:w="58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Includes</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Free</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$0</w:t>
            </w:r>
          </w:p>
        </w:tc>
        <w:tc>
          <w:tcPr>
            <w:tcW w:type="dxa" w:w="5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25 agents. Full discovery + AI-BOM. Risk dashboard.</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$5K-$15K/year</w:t>
            </w:r>
          </w:p>
        </w:tc>
        <w:tc>
          <w:tcPr>
            <w:tcW w:type="dxa" w:w="5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100 agents. Shadow AI alerting. Compliance reports.</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Enterprise</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$50K-$150K/year</w:t>
            </w:r>
          </w:p>
        </w:tc>
        <w:tc>
          <w:tcPr>
            <w:tcW w:type="dxa" w:w="5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Unlimited. Multi-cloud. SSO/SCIM. SLA.</w:t>
            </w:r>
          </w:p>
        </w:tc>
      </w:tr>
    </w:tbl>
    <w:p>
      <w:pPr>
        <w:pStyle w:val="Heading2"/>
        <w:spacing w:before="300" w:after="150"/>
      </w:pPr>
      <w:r>
        <w:rPr>
          <w:rFonts w:ascii="Arial" w:cs="Arial" w:eastAsia="Arial" w:hAnsi="Arial"/>
          <w:b/>
          <w:bCs/>
          <w:color w:val="2E5090"/>
          <w:sz w:val="26"/>
          <w:szCs w:val="26"/>
        </w:rPr>
        <w:t xml:space="preserve">Stage 2: Runtime Policy Enforcement (Months 12-24)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2D8659" w:sz="6"/>
              <w:bottom w:val="none" w:color="FFFFFF" w:sz="0"/>
              <w:right w:val="none" w:color="FFFFFF" w:sz="0"/>
            </w:tcBorders>
            <w:shd w:fill="E8F5EE" w:val="clear"/>
          </w:tcPr>
          <w:p/>
        </w:tc>
        <w:tc>
          <w:tcPr>
            <w:tcW w:type="dxa" w:w="9240"/>
            <w:tcBorders>
              <w:top w:val="none" w:color="FFFFFF" w:sz="0"/>
              <w:left w:val="none" w:color="FFFFFF" w:sz="0"/>
              <w:bottom w:val="none" w:color="FFFFFF" w:sz="0"/>
              <w:right w:val="none" w:color="FFFFFF" w:sz="0"/>
            </w:tcBorders>
            <w:shd w:fill="E8F5EE" w:val="clear"/>
            <w:tcMar>
              <w:top w:type="dxa" w:w="120"/>
              <w:left w:type="dxa" w:w="160"/>
              <w:bottom w:type="dxa" w:w="120"/>
              <w:right w:type="dxa" w:w="160"/>
            </w:tcMar>
          </w:tcPr>
          <w:p>
            <w:pPr>
              <w:spacing w:after="60"/>
            </w:pPr>
            <w:r>
              <w:rPr>
                <w:rFonts w:ascii="Arial" w:cs="Arial" w:eastAsia="Arial" w:hAnsi="Arial"/>
                <w:b/>
                <w:bCs/>
                <w:color w:val="2D8659"/>
                <w:sz w:val="20"/>
                <w:szCs w:val="20"/>
              </w:rPr>
              <w:t xml:space="preserve">CISO QUESTION</w:t>
            </w:r>
          </w:p>
          <w:p>
            <w:pPr>
              <w:spacing w:after="0" w:line="276"/>
            </w:pPr>
            <w:r>
              <w:rPr>
                <w:rFonts w:ascii="Arial" w:cs="Arial" w:eastAsia="Arial" w:hAnsi="Arial"/>
                <w:color w:val="1A1A1A"/>
                <w:sz w:val="19"/>
                <w:szCs w:val="19"/>
              </w:rPr>
              <w:t xml:space="preserve">"How do I enforce that the sales agent cannot request data from the payroll agent?"</w:t>
            </w:r>
          </w:p>
        </w:tc>
      </w:tr>
    </w:tbl>
    <w:p>
      <w:pPr>
        <w:spacing w:before="80" w:after="0"/>
      </w:pPr>
    </w:p>
    <w:p>
      <w:pPr>
        <w:spacing w:before="200" w:after="100"/>
      </w:pPr>
      <w:r>
        <w:rPr>
          <w:rFonts w:ascii="Arial" w:cs="Arial" w:eastAsia="Arial" w:hAnsi="Arial"/>
          <w:b/>
          <w:bCs/>
          <w:color w:val="3A7CA5"/>
          <w:sz w:val="22"/>
          <w:szCs w:val="22"/>
        </w:rPr>
        <w:t xml:space="preserve">Why Cedar, Not OPA/Rego</w:t>
      </w:r>
    </w:p>
    <w:p>
      <w:pPr>
        <w:spacing w:after="120" w:line="276" w:before="0"/>
        <w:jc w:val="left"/>
      </w:pPr>
      <w:r>
        <w:rPr>
          <w:rFonts w:ascii="Arial" w:cs="Arial" w:eastAsia="Arial" w:hAnsi="Arial"/>
          <w:b/>
          <w:bCs/>
          <w:color w:val="1A1A1A"/>
          <w:sz w:val="20"/>
          <w:szCs w:val="20"/>
        </w:rPr>
        <w:t xml:space="preserve">Cedar </w:t>
      </w:r>
      <w:r>
        <w:rPr>
          <w:rFonts w:ascii="Arial" w:cs="Arial" w:eastAsia="Arial" w:hAnsi="Arial"/>
          <w:color w:val="1A1A1A"/>
          <w:sz w:val="20"/>
          <w:szCs w:val="20"/>
        </w:rPr>
        <w:t xml:space="preserve">(AWS formally verified authorization language): deterministic, sub-millisecond evaluation, Principal→Action→Resource model. Trail of Bits: “safe and deterministic” vs Rego “expressive but error-prone.” OPA future uncertain after Apple hired Styra core maintainers (Aug 2025).</w:t>
      </w:r>
    </w:p>
    <w:p>
      <w:pPr>
        <w:spacing w:before="200" w:after="100"/>
      </w:pPr>
      <w:r>
        <w:rPr>
          <w:rFonts w:ascii="Arial" w:cs="Arial" w:eastAsia="Arial" w:hAnsi="Arial"/>
          <w:b/>
          <w:bCs/>
          <w:color w:val="3A7CA5"/>
          <w:sz w:val="22"/>
          <w:szCs w:val="22"/>
        </w:rPr>
        <w:t xml:space="preserve">Agent-Specific Primitives</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rPr>
          <w:tblHeader/>
        </w:trPr>
        <w:tc>
          <w:tcPr>
            <w:tcW w:type="dxa" w:w="2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Primitive</w:t>
            </w:r>
          </w:p>
        </w:tc>
        <w:tc>
          <w:tcPr>
            <w:tcW w:type="dxa" w:w="68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Function</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intentCategory</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Semantic classification of agent request intent</w:t>
            </w:r>
          </w:p>
        </w:tc>
      </w:tr>
      <w:tr>
        <w:tc>
          <w:tcPr>
            <w:tcW w:type="dxa" w:w="2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delegationDepth</w:t>
            </w:r>
          </w:p>
        </w:tc>
        <w:tc>
          <w:tcPr>
            <w:tcW w:type="dxa" w:w="6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Chain-of-trust limits (prevents infinite delegation)</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dataClassification</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Sensitivity enforcement (PII, financial, classified)</w:t>
            </w:r>
          </w:p>
        </w:tc>
      </w:tr>
      <w:tr>
        <w:tc>
          <w:tcPr>
            <w:tcW w:type="dxa" w:w="2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riskScore</w:t>
            </w:r>
          </w:p>
        </w:tc>
        <w:tc>
          <w:tcPr>
            <w:tcW w:type="dxa" w:w="6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Dynamic behavioral trust score (real-time)</w:t>
            </w:r>
          </w:p>
        </w:tc>
      </w:tr>
      <w:tr>
        <w:tc>
          <w:tcPr>
            <w:tcW w:type="dxa" w:w="2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agentLineage</w:t>
            </w:r>
          </w:p>
        </w:tc>
        <w:tc>
          <w:tcPr>
            <w:tcW w:type="dxa" w:w="6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Provenance tracking (creator, model, training data)</w:t>
            </w:r>
          </w:p>
        </w:tc>
      </w:tr>
    </w:tbl>
    <w:p>
      <w:pPr>
        <w:spacing w:before="200" w:after="100"/>
      </w:pPr>
      <w:r>
        <w:rPr>
          <w:rFonts w:ascii="Arial" w:cs="Arial" w:eastAsia="Arial" w:hAnsi="Arial"/>
          <w:b/>
          <w:bCs/>
          <w:color w:val="3A7CA5"/>
          <w:sz w:val="22"/>
          <w:szCs w:val="22"/>
        </w:rPr>
        <w:t xml:space="preserve">Performance Targets</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rPr>
          <w:tblHeader/>
        </w:trPr>
        <w:tc>
          <w:tcPr>
            <w:tcW w:type="dxa" w:w="3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Metric</w:t>
            </w:r>
          </w:p>
        </w:tc>
        <w:tc>
          <w:tcPr>
            <w:tcW w:type="dxa" w:w="58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Target</w:t>
            </w:r>
          </w:p>
        </w:tc>
      </w:tr>
      <w:tr>
        <w:tc>
          <w:tcPr>
            <w:tcW w:type="dxa" w:w="3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Policy evaluation</w:t>
            </w:r>
          </w:p>
        </w:tc>
        <w:tc>
          <w:tcPr>
            <w:tcW w:type="dxa" w:w="5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&lt;5ms (Cedar: sub-ms)</w:t>
            </w:r>
          </w:p>
        </w:tc>
      </w:tr>
      <w:tr>
        <w:tc>
          <w:tcPr>
            <w:tcW w:type="dxa" w:w="3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mTLS handshake</w:t>
            </w:r>
          </w:p>
        </w:tc>
        <w:tc>
          <w:tcPr>
            <w:tcW w:type="dxa" w:w="5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&lt;10ms with session resumption</w:t>
            </w:r>
          </w:p>
        </w:tc>
      </w:tr>
      <w:tr>
        <w:tc>
          <w:tcPr>
            <w:tcW w:type="dxa" w:w="3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Total added latency</w:t>
            </w:r>
          </w:p>
        </w:tc>
        <w:tc>
          <w:tcPr>
            <w:tcW w:type="dxa" w:w="5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&lt;15ms end-to-end per agent call</w:t>
            </w:r>
          </w:p>
        </w:tc>
      </w:tr>
    </w:tbl>
    <w:p>
      <w:pPr>
        <w:pStyle w:val="Heading2"/>
        <w:spacing w:before="300" w:after="150"/>
      </w:pPr>
      <w:r>
        <w:rPr>
          <w:rFonts w:ascii="Arial" w:cs="Arial" w:eastAsia="Arial" w:hAnsi="Arial"/>
          <w:b/>
          <w:bCs/>
          <w:color w:val="2E5090"/>
          <w:sz w:val="26"/>
          <w:szCs w:val="26"/>
        </w:rPr>
        <w:t xml:space="preserve">Stage 3: Full Agentic Service Mesh (Months 24-36)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D4772C" w:sz="6"/>
              <w:bottom w:val="none" w:color="FFFFFF" w:sz="0"/>
              <w:right w:val="none" w:color="FFFFFF" w:sz="0"/>
            </w:tcBorders>
            <w:shd w:fill="FDF0E6" w:val="clear"/>
          </w:tcPr>
          <w:p/>
        </w:tc>
        <w:tc>
          <w:tcPr>
            <w:tcW w:type="dxa" w:w="9240"/>
            <w:tcBorders>
              <w:top w:val="none" w:color="FFFFFF" w:sz="0"/>
              <w:left w:val="none" w:color="FFFFFF" w:sz="0"/>
              <w:bottom w:val="none" w:color="FFFFFF" w:sz="0"/>
              <w:right w:val="none" w:color="FFFFFF" w:sz="0"/>
            </w:tcBorders>
            <w:shd w:fill="FDF0E6" w:val="clear"/>
            <w:tcMar>
              <w:top w:type="dxa" w:w="120"/>
              <w:left w:type="dxa" w:w="160"/>
              <w:bottom w:type="dxa" w:w="120"/>
              <w:right w:type="dxa" w:w="160"/>
            </w:tcMar>
          </w:tcPr>
          <w:p>
            <w:pPr>
              <w:spacing w:after="60"/>
            </w:pPr>
            <w:r>
              <w:rPr>
                <w:rFonts w:ascii="Arial" w:cs="Arial" w:eastAsia="Arial" w:hAnsi="Arial"/>
                <w:b/>
                <w:bCs/>
                <w:color w:val="D4772C"/>
                <w:sz w:val="20"/>
                <w:szCs w:val="20"/>
              </w:rPr>
              <w:t xml:space="preserve">CISO QUESTION</w:t>
            </w:r>
          </w:p>
          <w:p>
            <w:pPr>
              <w:spacing w:after="0" w:line="276"/>
            </w:pPr>
            <w:r>
              <w:rPr>
                <w:rFonts w:ascii="Arial" w:cs="Arial" w:eastAsia="Arial" w:hAnsi="Arial"/>
                <w:color w:val="1A1A1A"/>
                <w:sz w:val="19"/>
                <w:szCs w:val="19"/>
              </w:rPr>
              <w:t xml:space="preserve">"Give me full control and observability over all agent traffic, across every platform."</w:t>
            </w:r>
          </w:p>
        </w:tc>
      </w:tr>
    </w:tbl>
    <w:p>
      <w:pPr>
        <w:spacing w:before="80" w:after="0"/>
      </w:pPr>
    </w:p>
    <w:p>
      <w:pPr>
        <w:spacing w:after="120" w:line="276" w:before="0"/>
        <w:jc w:val="left"/>
      </w:pPr>
      <w:r>
        <w:rPr>
          <w:rFonts w:ascii="Arial" w:cs="Arial" w:eastAsia="Arial" w:hAnsi="Arial"/>
          <w:b/>
          <w:bCs/>
          <w:color w:val="1A1A1A"/>
          <w:sz w:val="20"/>
          <w:szCs w:val="20"/>
        </w:rPr>
        <w:t xml:space="preserve">Complete control plane: </w:t>
      </w:r>
      <w:r>
        <w:rPr>
          <w:rFonts w:ascii="Arial" w:cs="Arial" w:eastAsia="Arial" w:hAnsi="Arial"/>
          <w:color w:val="1A1A1A"/>
          <w:sz w:val="20"/>
          <w:szCs w:val="20"/>
        </w:rPr>
        <w:t xml:space="preserve">Traffic management (routing, canary, circuit breaking). Observability (OpenTelemetry tracing, cost metrics, interaction graphs). Security (mTLS via SPIFFE/SPIRE, RBAC+ABAC+intent, JIT credentials, DLP). Lifecycle (registration, health checks, versioning, quarantine).</w:t>
      </w:r>
    </w:p>
    <w:p>
      <w:pPr>
        <w:spacing w:before="200" w:after="100"/>
      </w:pPr>
      <w:r>
        <w:rPr>
          <w:rFonts w:ascii="Arial" w:cs="Arial" w:eastAsia="Arial" w:hAnsi="Arial"/>
          <w:b/>
          <w:bCs/>
          <w:color w:val="3A7CA5"/>
          <w:sz w:val="22"/>
          <w:szCs w:val="22"/>
        </w:rPr>
        <w:t xml:space="preserve">Technology Stack</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800"/>
        <w:gridCol w:w="4560"/>
      </w:tblGrid>
      <w:tr>
        <w:trPr>
          <w:tblHeader/>
        </w:trPr>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Layer</w:t>
            </w:r>
          </w:p>
        </w:tc>
        <w:tc>
          <w:tcPr>
            <w:tcW w:type="dxa" w:w="2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Tech</w:t>
            </w:r>
          </w:p>
        </w:tc>
        <w:tc>
          <w:tcPr>
            <w:tcW w:type="dxa" w:w="4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Why</w:t>
            </w:r>
          </w:p>
        </w:tc>
      </w:tr>
      <w:tr>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Control Plane</w:t>
            </w:r>
          </w:p>
        </w:tc>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Go</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K8s-native, excellent concurrency</w:t>
            </w:r>
          </w:p>
        </w:tc>
      </w:tr>
      <w:tr>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Data Plane</w:t>
            </w:r>
          </w:p>
        </w:tc>
        <w:tc>
          <w:tcPr>
            <w:tcW w:type="dxa" w:w="2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Rust (custom proxy)</w:t>
            </w:r>
          </w:p>
        </w:tc>
        <w:tc>
          <w:tcPr>
            <w:tcW w:type="dxa" w:w="4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Envoy too heavy per-agent. WASM plugins.</w:t>
            </w:r>
          </w:p>
        </w:tc>
      </w:tr>
      <w:tr>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Traffic redirect</w:t>
            </w:r>
          </w:p>
        </w:tc>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eBPF</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Ambient mesh, no sidecar overhead</w:t>
            </w:r>
          </w:p>
        </w:tc>
      </w:tr>
      <w:tr>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Policy engine</w:t>
            </w:r>
          </w:p>
        </w:tc>
        <w:tc>
          <w:tcPr>
            <w:tcW w:type="dxa" w:w="2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Cedar (embedded)</w:t>
            </w:r>
          </w:p>
        </w:tc>
        <w:tc>
          <w:tcPr>
            <w:tcW w:type="dxa" w:w="4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Local eval, sub-ms, formally verified</w:t>
            </w:r>
          </w:p>
        </w:tc>
      </w:tr>
      <w:tr>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Registry/AI-BOM</w:t>
            </w:r>
          </w:p>
        </w:tc>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PostgreSQL + JSONB</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Flexible schema for evolving metadata</w:t>
            </w:r>
          </w:p>
        </w:tc>
      </w:tr>
      <w:tr>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Telemetry</w:t>
            </w:r>
          </w:p>
        </w:tc>
        <w:tc>
          <w:tcPr>
            <w:tcW w:type="dxa" w:w="2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ClickHouse</w:t>
            </w:r>
          </w:p>
        </w:tc>
        <w:tc>
          <w:tcPr>
            <w:tcW w:type="dxa" w:w="4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High-throughput agent analytics</w:t>
            </w:r>
          </w:p>
        </w:tc>
      </w:tr>
      <w:tr>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Messaging</w:t>
            </w:r>
          </w:p>
        </w:tc>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NATS</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Lightweight event-driven comms</w:t>
            </w:r>
          </w:p>
        </w:tc>
      </w:tr>
    </w:tbl>
    <w:p>
      <w:pPr>
        <w:spacing w:before="200" w:after="100"/>
      </w:pPr>
      <w:r>
        <w:rPr>
          <w:rFonts w:ascii="Arial" w:cs="Arial" w:eastAsia="Arial" w:hAnsi="Arial"/>
          <w:b/>
          <w:bCs/>
          <w:color w:val="3A7CA5"/>
          <w:sz w:val="22"/>
          <w:szCs w:val="22"/>
        </w:rPr>
        <w:t xml:space="preserve">Open Source Strategy (Kong Model)</w:t>
      </w:r>
    </w:p>
    <w:p>
      <w:pPr>
        <w:spacing w:after="120" w:line="276" w:before="0"/>
        <w:jc w:val="left"/>
      </w:pPr>
      <w:r>
        <w:rPr>
          <w:rFonts w:ascii="Arial" w:cs="Arial" w:eastAsia="Arial" w:hAnsi="Arial"/>
          <w:b/>
          <w:bCs/>
          <w:color w:val="1A1A1A"/>
          <w:sz w:val="20"/>
          <w:szCs w:val="20"/>
        </w:rPr>
        <w:t xml:space="preserve">SDK + agent proxy: Apache 2.0 from Day 1 </w:t>
      </w:r>
      <w:r>
        <w:rPr>
          <w:rFonts w:ascii="Arial" w:cs="Arial" w:eastAsia="Arial" w:hAnsi="Arial"/>
          <w:color w:val="1A1A1A"/>
          <w:sz w:val="20"/>
          <w:szCs w:val="20"/>
        </w:rPr>
        <w:t xml:space="preserve">(developer adoption). Control plane: BSL (source-visible, commercially protected). Avoids HashiCorp trap (Terraform→OpenTofu) and Elastic trap (SSPL→OpenSearch). Kong proved this works: 33K+ GitHub stars + successful commercial enterprise business.</w:t>
      </w:r>
    </w:p>
    <w:p>
      <w:r>
        <w:br w:type="page"/>
      </w:r>
    </w:p>
    <w:p>
      <w:pPr>
        <w:pStyle w:val="Heading1"/>
        <w:spacing w:before="400" w:after="200"/>
      </w:pPr>
      <w:r>
        <w:rPr>
          <w:rFonts w:ascii="Arial" w:cs="Arial" w:eastAsia="Arial" w:hAnsi="Arial"/>
          <w:b/>
          <w:bCs/>
          <w:color w:val="1B2A4A"/>
          <w:sz w:val="32"/>
          <w:szCs w:val="32"/>
        </w:rPr>
        <w:t xml:space="preserve">5. Go-To-Market: Switzerland Strategy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1B2A4A" w:sz="6"/>
              <w:bottom w:val="none" w:color="FFFFFF" w:sz="0"/>
              <w:right w:val="none" w:color="FFFFFF" w:sz="0"/>
            </w:tcBorders>
            <w:shd w:fill="E8EFF7" w:val="clear"/>
          </w:tcPr>
          <w:p/>
        </w:tc>
        <w:tc>
          <w:tcPr>
            <w:tcW w:type="dxa" w:w="9240"/>
            <w:tcBorders>
              <w:top w:val="none" w:color="FFFFFF" w:sz="0"/>
              <w:left w:val="none" w:color="FFFFFF" w:sz="0"/>
              <w:bottom w:val="none" w:color="FFFFFF" w:sz="0"/>
              <w:right w:val="none" w:color="FFFFFF" w:sz="0"/>
            </w:tcBorders>
            <w:shd w:fill="E8EFF7" w:val="clear"/>
            <w:tcMar>
              <w:top w:type="dxa" w:w="120"/>
              <w:left w:type="dxa" w:w="160"/>
              <w:bottom w:type="dxa" w:w="120"/>
              <w:right w:type="dxa" w:w="160"/>
            </w:tcMar>
          </w:tcPr>
          <w:p>
            <w:pPr>
              <w:spacing w:after="60"/>
            </w:pPr>
            <w:r>
              <w:rPr>
                <w:rFonts w:ascii="Arial" w:cs="Arial" w:eastAsia="Arial" w:hAnsi="Arial"/>
                <w:b/>
                <w:bCs/>
                <w:color w:val="1B2A4A"/>
                <w:sz w:val="20"/>
                <w:szCs w:val="20"/>
              </w:rPr>
              <w:t xml:space="preserve">THE MOAT</w:t>
            </w:r>
          </w:p>
          <w:p>
            <w:pPr>
              <w:spacing w:after="0" w:line="276"/>
            </w:pPr>
            <w:r>
              <w:rPr>
                <w:rFonts w:ascii="Arial" w:cs="Arial" w:eastAsia="Arial" w:hAnsi="Arial"/>
                <w:color w:val="1A1A1A"/>
                <w:sz w:val="19"/>
                <w:szCs w:val="19"/>
              </w:rPr>
              <w:t xml:space="preserve">Microsoft won’t secure Google’s agents. Google won’t secure Anthropic’s. CrowdStrike/SGNL = authorization (North-South). We = communication trust (East-West). Only vendor-neutral trust layer for cross-platform agent communication.</w:t>
            </w:r>
          </w:p>
        </w:tc>
      </w:tr>
    </w:tbl>
    <w:p>
      <w:pPr>
        <w:pStyle w:val="Heading2"/>
        <w:spacing w:before="300" w:after="150"/>
      </w:pPr>
      <w:r>
        <w:rPr>
          <w:rFonts w:ascii="Arial" w:cs="Arial" w:eastAsia="Arial" w:hAnsi="Arial"/>
          <w:b/>
          <w:bCs/>
          <w:color w:val="2E5090"/>
          <w:sz w:val="26"/>
          <w:szCs w:val="26"/>
        </w:rPr>
        <w:t xml:space="preserve">5.1 The Wedge: Free Shadow Agent Discovery</w:t>
      </w:r>
    </w:p>
    <w:p>
      <w:pPr>
        <w:spacing w:after="120" w:line="276" w:before="0"/>
        <w:jc w:val="left"/>
      </w:pPr>
      <w:r>
        <w:rPr>
          <w:rFonts w:ascii="Arial" w:cs="Arial" w:eastAsia="Arial" w:hAnsi="Arial"/>
          <w:b/>
          <w:bCs/>
          <w:color w:val="1A1A1A"/>
          <w:sz w:val="20"/>
          <w:szCs w:val="20"/>
        </w:rPr>
        <w:t xml:space="preserve">We don’t sell promises. We sell data. </w:t>
      </w:r>
      <w:r>
        <w:rPr>
          <w:rFonts w:ascii="Arial" w:cs="Arial" w:eastAsia="Arial" w:hAnsi="Arial"/>
          <w:color w:val="1A1A1A"/>
          <w:sz w:val="20"/>
          <w:szCs w:val="20"/>
        </w:rPr>
        <w:t xml:space="preserve">Read-only, API-based, 15-minute deployment. Connects as authorized read-only app to cloud control plane. No payload access. No agent installation. Enumerates metadata via Microsoft Graph, Google Cloud IAM, AWS IAM. Scans MCP/A2A well-known endpoints.</w:t>
      </w:r>
    </w:p>
    <w:p>
      <w:pPr>
        <w:spacing w:before="200" w:after="100"/>
      </w:pPr>
      <w:r>
        <w:rPr>
          <w:rFonts w:ascii="Arial" w:cs="Arial" w:eastAsia="Arial" w:hAnsi="Arial"/>
          <w:b/>
          <w:bCs/>
          <w:color w:val="3A7CA5"/>
          <w:sz w:val="22"/>
          <w:szCs w:val="22"/>
        </w:rPr>
        <w:t xml:space="preserve">What the CISO Gets Free</w:t>
      </w:r>
    </w:p>
    <w:p>
      <w:pPr>
        <w:spacing w:before="4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rPr>
          <w:tblHeader/>
        </w:trPr>
        <w:tc>
          <w:tcPr>
            <w:tcW w:type="dxa" w:w="2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Deliverable</w:t>
            </w:r>
          </w:p>
        </w:tc>
        <w:tc>
          <w:tcPr>
            <w:tcW w:type="dxa" w:w="6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Description</w:t>
            </w:r>
          </w:p>
        </w:tc>
      </w:tr>
      <w:tr>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Agent inventory</w:t>
            </w:r>
          </w:p>
        </w:tc>
        <w:tc>
          <w:tcPr>
            <w:tcW w:type="dxa" w:w="6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Every agent across Azure, GCP, AWS, SaaS — including Shadow AI</w:t>
            </w:r>
          </w:p>
        </w:tc>
      </w:tr>
      <w:tr>
        <w:tc>
          <w:tcPr>
            <w:tcW w:type="dxa" w:w="2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AI-BOM per agent</w:t>
            </w:r>
          </w:p>
        </w:tc>
        <w:tc>
          <w:tcPr>
            <w:tcW w:type="dxa" w:w="6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Model, version, tools, data access, credential type</w:t>
            </w:r>
          </w:p>
        </w:tc>
      </w:tr>
      <w:tr>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Risk scoring</w:t>
            </w:r>
          </w:p>
        </w:tc>
        <w:tc>
          <w:tcPr>
            <w:tcW w:type="dxa" w:w="6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Overprivileged, stale creds, shadow AI, unmonitored MCP servers</w:t>
            </w:r>
          </w:p>
        </w:tc>
      </w:tr>
      <w:tr>
        <w:tc>
          <w:tcPr>
            <w:tcW w:type="dxa" w:w="2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Communication graph</w:t>
            </w:r>
          </w:p>
        </w:tc>
        <w:tc>
          <w:tcPr>
            <w:tcW w:type="dxa" w:w="6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Which agent talks to which resource/agent, what data flows</w:t>
            </w:r>
          </w:p>
        </w:tc>
      </w:tr>
      <w:tr>
        <w:tc>
          <w:tcPr>
            <w:tcW w:type="dxa" w:w="2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EU AI Act gap analysis</w:t>
            </w:r>
          </w:p>
        </w:tc>
        <w:tc>
          <w:tcPr>
            <w:tcW w:type="dxa" w:w="6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Per-agent Article 53 compliance status</w:t>
            </w:r>
          </w:p>
        </w:tc>
      </w:tr>
    </w:tbl>
    <w:p>
      <w:pPr>
        <w:spacing w:before="8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D4772C" w:sz="6"/>
              <w:bottom w:val="none" w:color="FFFFFF" w:sz="0"/>
              <w:right w:val="none" w:color="FFFFFF" w:sz="0"/>
            </w:tcBorders>
            <w:shd w:fill="FDF0E6" w:val="clear"/>
          </w:tcPr>
          <w:p/>
        </w:tc>
        <w:tc>
          <w:tcPr>
            <w:tcW w:type="dxa" w:w="9240"/>
            <w:tcBorders>
              <w:top w:val="none" w:color="FFFFFF" w:sz="0"/>
              <w:left w:val="none" w:color="FFFFFF" w:sz="0"/>
              <w:bottom w:val="none" w:color="FFFFFF" w:sz="0"/>
              <w:right w:val="none" w:color="FFFFFF" w:sz="0"/>
            </w:tcBorders>
            <w:shd w:fill="FDF0E6" w:val="clear"/>
            <w:tcMar>
              <w:top w:type="dxa" w:w="120"/>
              <w:left w:type="dxa" w:w="160"/>
              <w:bottom w:type="dxa" w:w="120"/>
              <w:right w:type="dxa" w:w="160"/>
            </w:tcMar>
          </w:tcPr>
          <w:p>
            <w:pPr>
              <w:spacing w:after="60"/>
            </w:pPr>
            <w:r>
              <w:rPr>
                <w:rFonts w:ascii="Arial" w:cs="Arial" w:eastAsia="Arial" w:hAnsi="Arial"/>
                <w:b/>
                <w:bCs/>
                <w:color w:val="D4772C"/>
                <w:sz w:val="20"/>
                <w:szCs w:val="20"/>
              </w:rPr>
              <w:t xml:space="preserve">CONVERSION</w:t>
            </w:r>
          </w:p>
          <w:p>
            <w:pPr>
              <w:spacing w:after="0" w:line="276"/>
            </w:pPr>
            <w:r>
              <w:rPr>
                <w:rFonts w:ascii="Arial" w:cs="Arial" w:eastAsia="Arial" w:hAnsi="Arial"/>
                <w:color w:val="1A1A1A"/>
                <w:sz w:val="19"/>
                <w:szCs w:val="19"/>
              </w:rPr>
              <w:t xml:space="preserve">The moment a CISO sees 20 unmonitored agents with PII access, they ask for Stage 2 (blocking). The free scan creates urgency no sales pitch can match.</w:t>
            </w:r>
          </w:p>
        </w:tc>
      </w:tr>
    </w:tbl>
    <w:p>
      <w:pPr>
        <w:pStyle w:val="Heading2"/>
        <w:spacing w:before="300" w:after="150"/>
      </w:pPr>
      <w:r>
        <w:rPr>
          <w:rFonts w:ascii="Arial" w:cs="Arial" w:eastAsia="Arial" w:hAnsi="Arial"/>
          <w:b/>
          <w:bCs/>
          <w:color w:val="2E5090"/>
          <w:sz w:val="26"/>
          <w:szCs w:val="26"/>
        </w:rPr>
        <w:t xml:space="preserve">5.2 Channel Strategy</w:t>
      </w:r>
    </w:p>
    <w:p>
      <w:pPr>
        <w:spacing w:before="200" w:after="100"/>
      </w:pPr>
      <w:r>
        <w:rPr>
          <w:rFonts w:ascii="Arial" w:cs="Arial" w:eastAsia="Arial" w:hAnsi="Arial"/>
          <w:b/>
          <w:bCs/>
          <w:color w:val="3A7CA5"/>
          <w:sz w:val="22"/>
          <w:szCs w:val="22"/>
        </w:rPr>
        <w:t xml:space="preserve">Priority 1: Azure Marketplace + Microsoft Pegasus</w:t>
      </w:r>
    </w:p>
    <w:p>
      <w:pPr>
        <w:spacing w:after="120" w:line="276" w:before="0"/>
        <w:jc w:val="left"/>
      </w:pPr>
      <w:r>
        <w:rPr>
          <w:rFonts w:ascii="Arial" w:cs="Arial" w:eastAsia="Arial" w:hAnsi="Arial"/>
          <w:b/>
          <w:bCs/>
          <w:color w:val="1A1A1A"/>
          <w:sz w:val="20"/>
          <w:szCs w:val="20"/>
        </w:rPr>
        <w:t xml:space="preserve">MACC-eligible procurement </w:t>
      </w:r>
      <w:r>
        <w:rPr>
          <w:rFonts w:ascii="Arial" w:cs="Arial" w:eastAsia="Arial" w:hAnsi="Arial"/>
          <w:color w:val="1A1A1A"/>
          <w:sz w:val="20"/>
          <w:szCs w:val="20"/>
        </w:rPr>
        <w:t xml:space="preserve">removes budget friction. Pegasus (invite-only): $350K credits, dedicated architect, sales channel access. Path: Founders Hub immediately ($150K credits) → Pegasus within 6-12 months via CPO’s Microsoft network.</w:t>
      </w:r>
    </w:p>
    <w:p>
      <w:pPr>
        <w:spacing w:before="200" w:after="100"/>
      </w:pPr>
      <w:r>
        <w:rPr>
          <w:rFonts w:ascii="Arial" w:cs="Arial" w:eastAsia="Arial" w:hAnsi="Arial"/>
          <w:b/>
          <w:bCs/>
          <w:color w:val="3A7CA5"/>
          <w:sz w:val="22"/>
          <w:szCs w:val="22"/>
        </w:rPr>
        <w:t xml:space="preserve">Priority 2: Direct Enterprise (50 accounts Year 1)</w:t>
      </w:r>
    </w:p>
    <w:p>
      <w:pPr>
        <w:spacing w:after="120" w:line="276" w:before="0"/>
        <w:jc w:val="left"/>
      </w:pPr>
      <w:r>
        <w:rPr>
          <w:rFonts w:ascii="Arial" w:cs="Arial" w:eastAsia="Arial" w:hAnsi="Arial"/>
          <w:color w:val="1A1A1A"/>
          <w:sz w:val="20"/>
          <w:szCs w:val="20"/>
        </w:rPr>
        <w:t xml:space="preserve">60-90 day cycles for discovery. 120-180 days for full platform. Focus: Microsoft-ecosystem enterprises and Israeli fintech.</w:t>
      </w:r>
    </w:p>
    <w:p>
      <w:pPr>
        <w:pStyle w:val="Heading2"/>
        <w:spacing w:before="300" w:after="150"/>
      </w:pPr>
      <w:r>
        <w:rPr>
          <w:rFonts w:ascii="Arial" w:cs="Arial" w:eastAsia="Arial" w:hAnsi="Arial"/>
          <w:b/>
          <w:bCs/>
          <w:color w:val="2E5090"/>
          <w:sz w:val="26"/>
          <w:szCs w:val="26"/>
        </w:rPr>
        <w:t xml:space="preserve">5.3 Pricing Model</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2860"/>
        <w:gridCol w:w="5000"/>
      </w:tblGrid>
      <w:tr>
        <w:trPr>
          <w:tblHeader/>
        </w:trPr>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Tier</w:t>
            </w:r>
          </w:p>
        </w:tc>
        <w:tc>
          <w:tcPr>
            <w:tcW w:type="dxa" w:w="28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Price</w:t>
            </w:r>
          </w:p>
        </w:tc>
        <w:tc>
          <w:tcPr>
            <w:tcW w:type="dxa" w:w="5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Included</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Free</w:t>
            </w:r>
          </w:p>
        </w:tc>
        <w:tc>
          <w:tcPr>
            <w:tcW w:type="dxa" w:w="2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$0</w:t>
            </w:r>
          </w:p>
        </w:tc>
        <w:tc>
          <w:tcPr>
            <w:tcW w:type="dxa" w:w="5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25 agents. Discovery + AI-BOM.</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w:t>
            </w:r>
          </w:p>
        </w:tc>
        <w:tc>
          <w:tcPr>
            <w:tcW w:type="dxa" w:w="28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$8/agent/month (annual)</w:t>
            </w:r>
          </w:p>
        </w:tc>
        <w:tc>
          <w:tcPr>
            <w:tcW w:type="dxa" w:w="5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500 agents. Policy engine. Alerting.</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Enterprise</w:t>
            </w:r>
          </w:p>
        </w:tc>
        <w:tc>
          <w:tcPr>
            <w:tcW w:type="dxa" w:w="28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$3-5K/mo platform + $5/agent/mo</w:t>
            </w:r>
          </w:p>
        </w:tc>
        <w:tc>
          <w:tcPr>
            <w:tcW w:type="dxa" w:w="5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Unlimited. Full mesh. SSO. SLA.</w:t>
            </w:r>
          </w:p>
        </w:tc>
      </w:tr>
    </w:tbl>
    <w:p>
      <w:pPr>
        <w:pStyle w:val="Heading2"/>
        <w:spacing w:before="300" w:after="150"/>
      </w:pPr>
      <w:r>
        <w:rPr>
          <w:rFonts w:ascii="Arial" w:cs="Arial" w:eastAsia="Arial" w:hAnsi="Arial"/>
          <w:b/>
          <w:bCs/>
          <w:color w:val="2E5090"/>
          <w:sz w:val="26"/>
          <w:szCs w:val="26"/>
        </w:rPr>
        <w:t xml:space="preserve">5.4 Path to $100M ARR</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800"/>
        <w:gridCol w:w="2000"/>
        <w:gridCol w:w="4060"/>
      </w:tblGrid>
      <w:tr>
        <w:trPr>
          <w:tblHeader/>
        </w:trPr>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Year</w:t>
            </w:r>
          </w:p>
        </w:tc>
        <w:tc>
          <w:tcPr>
            <w:tcW w:type="dxa" w:w="1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Customers</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Avg ACV</w:t>
            </w:r>
          </w:p>
        </w:tc>
        <w:tc>
          <w:tcPr>
            <w:tcW w:type="dxa" w:w="40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ARR</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Year 1</w:t>
            </w:r>
          </w:p>
        </w:tc>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30</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$50K</w:t>
            </w:r>
          </w:p>
        </w:tc>
        <w:tc>
          <w:tcPr>
            <w:tcW w:type="dxa" w:w="4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$1.5M</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Year 2</w:t>
            </w:r>
          </w:p>
        </w:tc>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120</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$100K</w:t>
            </w:r>
          </w:p>
        </w:tc>
        <w:tc>
          <w:tcPr>
            <w:tcW w:type="dxa" w:w="40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$12M</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Year 3</w:t>
            </w:r>
          </w:p>
        </w:tc>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300</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$150K</w:t>
            </w:r>
          </w:p>
        </w:tc>
        <w:tc>
          <w:tcPr>
            <w:tcW w:type="dxa" w:w="4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$45M</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Year 4</w:t>
            </w:r>
          </w:p>
        </w:tc>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500</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$200K</w:t>
            </w:r>
          </w:p>
        </w:tc>
        <w:tc>
          <w:tcPr>
            <w:tcW w:type="dxa" w:w="40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$100M</w:t>
            </w:r>
          </w:p>
        </w:tc>
      </w:tr>
    </w:tbl>
    <w:p>
      <w:pPr>
        <w:spacing w:before="60" w:after="0"/>
      </w:pPr>
    </w:p>
    <w:p>
      <w:pPr>
        <w:spacing w:after="120" w:line="276" w:before="0"/>
        <w:jc w:val="left"/>
      </w:pPr>
      <w:r>
        <w:rPr>
          <w:rFonts w:ascii="Arial" w:cs="Arial" w:eastAsia="Arial" w:hAnsi="Arial"/>
          <w:i/>
          <w:iCs/>
          <w:color w:val="1A1A1A"/>
          <w:sz w:val="20"/>
          <w:szCs w:val="20"/>
        </w:rPr>
        <w:t xml:space="preserve">Comparables: </w:t>
      </w:r>
      <w:r>
        <w:rPr>
          <w:rFonts w:ascii="Arial" w:cs="Arial" w:eastAsia="Arial" w:hAnsi="Arial"/>
          <w:color w:val="1A1A1A"/>
          <w:sz w:val="20"/>
          <w:szCs w:val="20"/>
        </w:rPr>
        <w:t xml:space="preserve">Wiz: $100M ARR in 18 months. Noma: 1,300% YoY growth. Axonius: $100M in 4.5 years.</w:t>
      </w:r>
    </w:p>
    <w:p>
      <w:r>
        <w:br w:type="page"/>
      </w:r>
    </w:p>
    <w:p>
      <w:pPr>
        <w:pStyle w:val="Heading1"/>
        <w:spacing w:before="400" w:after="200"/>
      </w:pPr>
      <w:r>
        <w:rPr>
          <w:rFonts w:ascii="Arial" w:cs="Arial" w:eastAsia="Arial" w:hAnsi="Arial"/>
          <w:b/>
          <w:bCs/>
          <w:color w:val="1B2A4A"/>
          <w:sz w:val="32"/>
          <w:szCs w:val="32"/>
        </w:rPr>
        <w:t xml:space="preserve">6. The Three Narratives</w:t>
      </w:r>
    </w:p>
    <w:p>
      <w:pPr>
        <w:pStyle w:val="Heading2"/>
        <w:spacing w:before="300" w:after="150"/>
      </w:pPr>
      <w:r>
        <w:rPr>
          <w:rFonts w:ascii="Arial" w:cs="Arial" w:eastAsia="Arial" w:hAnsi="Arial"/>
          <w:b/>
          <w:bCs/>
          <w:color w:val="2E5090"/>
          <w:sz w:val="26"/>
          <w:szCs w:val="26"/>
        </w:rPr>
        <w:t xml:space="preserve">6.1 For Co-Founder (Vision &amp; Mission)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2E5090" w:sz="6"/>
              <w:bottom w:val="none" w:color="FFFFFF" w:sz="0"/>
              <w:right w:val="none" w:color="FFFFFF" w:sz="0"/>
            </w:tcBorders>
            <w:shd w:fill="E8EFF7" w:val="clear"/>
          </w:tcPr>
          <w:p/>
        </w:tc>
        <w:tc>
          <w:tcPr>
            <w:tcW w:type="dxa" w:w="9240"/>
            <w:tcBorders>
              <w:top w:val="none" w:color="FFFFFF" w:sz="0"/>
              <w:left w:val="none" w:color="FFFFFF" w:sz="0"/>
              <w:bottom w:val="none" w:color="FFFFFF" w:sz="0"/>
              <w:right w:val="none" w:color="FFFFFF" w:sz="0"/>
            </w:tcBorders>
            <w:shd w:fill="E8EFF7" w:val="clear"/>
            <w:tcMar>
              <w:top w:type="dxa" w:w="120"/>
              <w:left w:type="dxa" w:w="160"/>
              <w:bottom w:type="dxa" w:w="120"/>
              <w:right w:type="dxa" w:w="160"/>
            </w:tcMar>
          </w:tcPr>
          <w:p>
            <w:pPr>
              <w:spacing w:after="60"/>
            </w:pPr>
            <w:r>
              <w:rPr>
                <w:rFonts w:ascii="Arial" w:cs="Arial" w:eastAsia="Arial" w:hAnsi="Arial"/>
                <w:b/>
                <w:bCs/>
                <w:color w:val="2E5090"/>
                <w:sz w:val="20"/>
                <w:szCs w:val="20"/>
              </w:rPr>
              <w:t xml:space="preserve">SCRIPT</w:t>
            </w:r>
          </w:p>
          <w:p>
            <w:pPr>
              <w:spacing w:after="60" w:line="276" w:before="0"/>
              <w:jc w:val="left"/>
            </w:pPr>
            <w:r>
              <w:rPr>
                <w:rFonts w:ascii="Arial" w:cs="Arial" w:eastAsia="Arial" w:hAnsi="Arial"/>
                <w:color w:val="1A1A1A"/>
                <w:sz w:val="20"/>
                <w:szCs w:val="20"/>
              </w:rPr>
              <w:t xml:space="preserve">"We are at a 2008-in-cloud moment. Everyone builds AI agents, nobody built the infrastructure securing communication between them. We’re building the Agentic Service Mesh.</w:t>
            </w:r>
          </w:p>
          <w:p>
            <w:pPr>
              <w:spacing w:after="60" w:line="276" w:before="0"/>
              <w:jc w:val="left"/>
            </w:pPr>
            <w:r>
              <w:rPr>
                <w:rFonts w:ascii="Arial" w:cs="Arial" w:eastAsia="Arial" w:hAnsi="Arial"/>
                <w:color w:val="1A1A1A"/>
                <w:sz w:val="20"/>
                <w:szCs w:val="20"/>
              </w:rPr>
              <w:t xml:space="preserve">Our power: your Microsoft + 8200 background + my agentic automation PoC. We become the Switzerland — the only neutral party enabling a Microsoft agent to trust a Google agent.</w:t>
            </w:r>
          </w:p>
          <w:p>
            <w:pPr>
              <w:spacing w:after="60" w:line="276" w:before="0"/>
              <w:jc w:val="left"/>
            </w:pPr>
            <w:r>
              <w:rPr>
                <w:rFonts w:ascii="Arial" w:cs="Arial" w:eastAsia="Arial" w:hAnsi="Arial"/>
                <w:color w:val="1A1A1A"/>
                <w:sz w:val="20"/>
                <w:szCs w:val="20"/>
              </w:rPr>
              <w:t xml:space="preserve">The data: CrowdStrike paid $740M for SGNL (authorization only). Israeli seeds average $9.6M. Noma hit 1,300% ARR growth. Category is being created now — 6-18 month window.</w:t>
            </w:r>
          </w:p>
          <w:p>
            <w:pPr>
              <w:spacing w:after="120" w:line="276" w:before="0"/>
              <w:jc w:val="left"/>
            </w:pPr>
            <w:r>
              <w:rPr>
                <w:rFonts w:ascii="Arial" w:cs="Arial" w:eastAsia="Arial" w:hAnsi="Arial"/>
                <w:color w:val="1A1A1A"/>
                <w:sz w:val="20"/>
                <w:szCs w:val="20"/>
              </w:rPr>
              <w:t xml:space="preserve">We start with a free scanner showing CISOs their shadow agents, then become infrastructure without which they cannot run AI at scale."</w:t>
            </w:r>
          </w:p>
        </w:tc>
      </w:tr>
    </w:tbl>
    <w:p>
      <w:pPr>
        <w:pStyle w:val="Heading2"/>
        <w:spacing w:before="300" w:after="150"/>
      </w:pPr>
      <w:r>
        <w:rPr>
          <w:rFonts w:ascii="Arial" w:cs="Arial" w:eastAsia="Arial" w:hAnsi="Arial"/>
          <w:b/>
          <w:bCs/>
          <w:color w:val="2E5090"/>
          <w:sz w:val="26"/>
          <w:szCs w:val="26"/>
        </w:rPr>
        <w:t xml:space="preserve">6.2 For Investor (Business Case)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2D8659" w:sz="6"/>
              <w:bottom w:val="none" w:color="FFFFFF" w:sz="0"/>
              <w:right w:val="none" w:color="FFFFFF" w:sz="0"/>
            </w:tcBorders>
            <w:shd w:fill="E8F5EE" w:val="clear"/>
          </w:tcPr>
          <w:p/>
        </w:tc>
        <w:tc>
          <w:tcPr>
            <w:tcW w:type="dxa" w:w="9240"/>
            <w:tcBorders>
              <w:top w:val="none" w:color="FFFFFF" w:sz="0"/>
              <w:left w:val="none" w:color="FFFFFF" w:sz="0"/>
              <w:bottom w:val="none" w:color="FFFFFF" w:sz="0"/>
              <w:right w:val="none" w:color="FFFFFF" w:sz="0"/>
            </w:tcBorders>
            <w:shd w:fill="E8F5EE" w:val="clear"/>
            <w:tcMar>
              <w:top w:type="dxa" w:w="120"/>
              <w:left w:type="dxa" w:w="160"/>
              <w:bottom w:type="dxa" w:w="120"/>
              <w:right w:type="dxa" w:w="160"/>
            </w:tcMar>
          </w:tcPr>
          <w:p>
            <w:pPr>
              <w:spacing w:after="60"/>
            </w:pPr>
            <w:r>
              <w:rPr>
                <w:rFonts w:ascii="Arial" w:cs="Arial" w:eastAsia="Arial" w:hAnsi="Arial"/>
                <w:b/>
                <w:bCs/>
                <w:color w:val="2D8659"/>
                <w:sz w:val="20"/>
                <w:szCs w:val="20"/>
              </w:rPr>
              <w:t xml:space="preserve">SCRIPT</w:t>
            </w:r>
          </w:p>
          <w:p>
            <w:pPr>
              <w:spacing w:after="60" w:line="276" w:before="0"/>
              <w:jc w:val="left"/>
            </w:pPr>
            <w:r>
              <w:rPr>
                <w:rFonts w:ascii="Arial" w:cs="Arial" w:eastAsia="Arial" w:hAnsi="Arial"/>
                <w:color w:val="1A1A1A"/>
                <w:sz w:val="20"/>
                <w:szCs w:val="20"/>
              </w:rPr>
              <w:t xml:space="preserve">"We’re building the trust layer for Agentic AI. The problem: explosion of NHIs communicating without authentication — OWASP ASI07.</w:t>
            </w:r>
          </w:p>
          <w:p>
            <w:pPr>
              <w:spacing w:after="60" w:line="276" w:before="0"/>
              <w:jc w:val="left"/>
            </w:pPr>
            <w:r>
              <w:rPr>
                <w:rFonts w:ascii="Arial" w:cs="Arial" w:eastAsia="Arial" w:hAnsi="Arial"/>
                <w:color w:val="1A1A1A"/>
                <w:sz w:val="20"/>
                <w:szCs w:val="20"/>
              </w:rPr>
              <w:t xml:space="preserve">Strategy: aggressive land-and-expand. Free AI-BOM scanner maps every agent in 15 minutes. Creates a Wiz Moment — we show risks the CISO didn’t know existed. Conversion to paid (enforcement, mesh) follows naturally.</w:t>
            </w:r>
          </w:p>
          <w:p>
            <w:pPr>
              <w:spacing w:after="60" w:line="276" w:before="0"/>
              <w:jc w:val="left"/>
            </w:pPr>
            <w:r>
              <w:rPr>
                <w:rFonts w:ascii="Arial" w:cs="Arial" w:eastAsia="Arial" w:hAnsi="Arial"/>
                <w:color w:val="1A1A1A"/>
                <w:sz w:val="20"/>
                <w:szCs w:val="20"/>
              </w:rPr>
              <w:t xml:space="preserve">Team: agentic automation builder with working cross-platform trust PoC + Microsoft Cloud Security insider who knows where Entra Agent ID ends and our opportunity begins.</w:t>
            </w:r>
          </w:p>
          <w:p>
            <w:pPr>
              <w:spacing w:after="120" w:line="276" w:before="0"/>
              <w:jc w:val="left"/>
            </w:pPr>
            <w:r>
              <w:rPr>
                <w:rFonts w:ascii="Arial" w:cs="Arial" w:eastAsia="Arial" w:hAnsi="Arial"/>
                <w:color w:val="1A1A1A"/>
                <w:sz w:val="20"/>
                <w:szCs w:val="20"/>
              </w:rPr>
              <w:t xml:space="preserve">New category — Agentic Service Mesh — in $3B+ SAM by 2028. Raising Pre-Seed to reach 10 design partners. Target $7-10M seed from top Israeli cyber fund."</w:t>
            </w:r>
          </w:p>
        </w:tc>
      </w:tr>
    </w:tbl>
    <w:p>
      <w:pPr>
        <w:pStyle w:val="Heading2"/>
        <w:spacing w:before="300" w:after="150"/>
      </w:pPr>
      <w:r>
        <w:rPr>
          <w:rFonts w:ascii="Arial" w:cs="Arial" w:eastAsia="Arial" w:hAnsi="Arial"/>
          <w:b/>
          <w:bCs/>
          <w:color w:val="2E5090"/>
          <w:sz w:val="26"/>
          <w:szCs w:val="26"/>
        </w:rPr>
        <w:t xml:space="preserve">6.3 For CISO (Pain Relief)</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D4772C" w:sz="6"/>
              <w:bottom w:val="none" w:color="FFFFFF" w:sz="0"/>
              <w:right w:val="none" w:color="FFFFFF" w:sz="0"/>
            </w:tcBorders>
            <w:shd w:fill="FDF0E6" w:val="clear"/>
          </w:tcPr>
          <w:p/>
        </w:tc>
        <w:tc>
          <w:tcPr>
            <w:tcW w:type="dxa" w:w="9240"/>
            <w:tcBorders>
              <w:top w:val="none" w:color="FFFFFF" w:sz="0"/>
              <w:left w:val="none" w:color="FFFFFF" w:sz="0"/>
              <w:bottom w:val="none" w:color="FFFFFF" w:sz="0"/>
              <w:right w:val="none" w:color="FFFFFF" w:sz="0"/>
            </w:tcBorders>
            <w:shd w:fill="FDF0E6" w:val="clear"/>
            <w:tcMar>
              <w:top w:type="dxa" w:w="120"/>
              <w:left w:type="dxa" w:w="160"/>
              <w:bottom w:type="dxa" w:w="120"/>
              <w:right w:type="dxa" w:w="160"/>
            </w:tcMar>
          </w:tcPr>
          <w:p>
            <w:pPr>
              <w:spacing w:after="60"/>
            </w:pPr>
            <w:r>
              <w:rPr>
                <w:rFonts w:ascii="Arial" w:cs="Arial" w:eastAsia="Arial" w:hAnsi="Arial"/>
                <w:b/>
                <w:bCs/>
                <w:color w:val="D4772C"/>
                <w:sz w:val="20"/>
                <w:szCs w:val="20"/>
              </w:rPr>
              <w:t xml:space="preserve">SCRIPT</w:t>
            </w:r>
          </w:p>
          <w:p>
            <w:pPr>
              <w:spacing w:after="60" w:line="276" w:before="0"/>
              <w:jc w:val="left"/>
            </w:pPr>
            <w:r>
              <w:rPr>
                <w:rFonts w:ascii="Arial" w:cs="Arial" w:eastAsia="Arial" w:hAnsi="Arial"/>
                <w:color w:val="1A1A1A"/>
                <w:sz w:val="20"/>
                <w:szCs w:val="20"/>
              </w:rPr>
              <w:t xml:space="preserve">"AI agents are your blind spot. Dev teams deploy agents with DB access, and you can’t see what they do or enforce policy on their communication.</w:t>
            </w:r>
          </w:p>
          <w:p>
            <w:pPr>
              <w:spacing w:after="60" w:line="276" w:before="0"/>
              <w:jc w:val="left"/>
            </w:pPr>
            <w:r>
              <w:rPr>
                <w:rFonts w:ascii="Arial" w:cs="Arial" w:eastAsia="Arial" w:hAnsi="Arial"/>
                <w:color w:val="1A1A1A"/>
                <w:sz w:val="20"/>
                <w:szCs w:val="20"/>
              </w:rPr>
              <w:t xml:space="preserve">Free AI Agent Visibility Scan: no install, API-only, 15 minutes. You get: complete inventory (including shadow AI), AI-BOM per agent, risk scoring, EU AI Act Article 53 gap analysis.</w:t>
            </w:r>
          </w:p>
          <w:p>
            <w:pPr>
              <w:spacing w:after="120" w:line="276" w:before="0"/>
              <w:jc w:val="left"/>
            </w:pPr>
            <w:r>
              <w:rPr>
                <w:rFonts w:ascii="Arial" w:cs="Arial" w:eastAsia="Arial" w:hAnsi="Arial"/>
                <w:color w:val="1A1A1A"/>
                <w:sz w:val="20"/>
                <w:szCs w:val="20"/>
              </w:rPr>
              <w:t xml:space="preserve">Read-only. Cloud control plane metadata only. Never reads conversation content. We’re looking for 10 design partners. You get visibility today and influence over the product securing you tomorrow."</w:t>
            </w:r>
          </w:p>
        </w:tc>
      </w:tr>
    </w:tbl>
    <w:p>
      <w:r>
        <w:br w:type="page"/>
      </w:r>
    </w:p>
    <w:p>
      <w:pPr>
        <w:pStyle w:val="Heading1"/>
        <w:spacing w:before="400" w:after="200"/>
      </w:pPr>
      <w:r>
        <w:rPr>
          <w:rFonts w:ascii="Arial" w:cs="Arial" w:eastAsia="Arial" w:hAnsi="Arial"/>
          <w:b/>
          <w:bCs/>
          <w:color w:val="1B2A4A"/>
          <w:sz w:val="32"/>
          <w:szCs w:val="32"/>
        </w:rPr>
        <w:t xml:space="preserve">7. CISO Technical One-Pager</w:t>
      </w:r>
    </w:p>
    <w:p>
      <w:pPr>
        <w:pStyle w:val="Heading2"/>
        <w:spacing w:before="300" w:after="150"/>
      </w:pPr>
      <w:r>
        <w:rPr>
          <w:rFonts w:ascii="Arial" w:cs="Arial" w:eastAsia="Arial" w:hAnsi="Arial"/>
          <w:b/>
          <w:bCs/>
          <w:color w:val="2E5090"/>
          <w:sz w:val="26"/>
          <w:szCs w:val="26"/>
        </w:rPr>
        <w:t xml:space="preserve">Problem</w:t>
      </w:r>
    </w:p>
    <w:p>
      <w:pPr>
        <w:spacing w:after="120" w:line="276" w:before="0"/>
        <w:jc w:val="left"/>
      </w:pPr>
      <w:r>
        <w:rPr>
          <w:rFonts w:ascii="Arial" w:cs="Arial" w:eastAsia="Arial" w:hAnsi="Arial"/>
          <w:color w:val="1A1A1A"/>
          <w:sz w:val="20"/>
          <w:szCs w:val="20"/>
        </w:rPr>
        <w:t xml:space="preserve">AI agents operate as autonomous Non-Human Identities communicating via MCP/A2A — protocols unmonitored by WAF, SIEM, or IAM. </w:t>
      </w:r>
      <w:r>
        <w:rPr>
          <w:rFonts w:ascii="Arial" w:cs="Arial" w:eastAsia="Arial" w:hAnsi="Arial"/>
          <w:b/>
          <w:bCs/>
          <w:color w:val="1A1A1A"/>
          <w:sz w:val="20"/>
          <w:szCs w:val="20"/>
        </w:rPr>
        <w:t xml:space="preserve">Data: </w:t>
      </w:r>
      <w:r>
        <w:rPr>
          <w:rFonts w:ascii="Arial" w:cs="Arial" w:eastAsia="Arial" w:hAnsi="Arial"/>
          <w:color w:val="1A1A1A"/>
          <w:sz w:val="20"/>
          <w:szCs w:val="20"/>
        </w:rPr>
        <w:t xml:space="preserve">NHI ratio 144:1 (growing 44%/yr). 45.6% use shared API keys. Only 21% maintain agent inventory. OWASP ASI07 identifies agent-to-agent spoofing/interception as top-10 risk.</w:t>
      </w:r>
    </w:p>
    <w:p>
      <w:pPr>
        <w:pStyle w:val="Heading2"/>
        <w:spacing w:before="300" w:after="150"/>
      </w:pPr>
      <w:r>
        <w:rPr>
          <w:rFonts w:ascii="Arial" w:cs="Arial" w:eastAsia="Arial" w:hAnsi="Arial"/>
          <w:b/>
          <w:bCs/>
          <w:color w:val="2E5090"/>
          <w:sz w:val="26"/>
          <w:szCs w:val="26"/>
        </w:rPr>
        <w:t xml:space="preserve">Solution: Read-Only Visibility (Free)</w:t>
      </w:r>
    </w:p>
    <w:p>
      <w:pPr>
        <w:spacing w:after="120" w:line="276" w:before="0"/>
        <w:jc w:val="left"/>
      </w:pPr>
      <w:r>
        <w:rPr>
          <w:rFonts w:ascii="Arial" w:cs="Arial" w:eastAsia="Arial" w:hAnsi="Arial"/>
          <w:color w:val="1A1A1A"/>
          <w:sz w:val="20"/>
          <w:szCs w:val="20"/>
        </w:rPr>
        <w:t xml:space="preserve">API-based scan of cloud metadata (Azure AI, Vertex AI, Bedrock, SaaS). Automated inventory including shadow agents. AI-BOM per agent in CycloneDX 1.6 / SPDX 3.0 format. Risk scoring + EU AI Act mapping. Cross-platform communication graph.</w:t>
      </w:r>
    </w:p>
    <w:p>
      <w:pPr>
        <w:pStyle w:val="Heading2"/>
        <w:spacing w:before="300" w:after="150"/>
      </w:pPr>
      <w:r>
        <w:rPr>
          <w:rFonts w:ascii="Arial" w:cs="Arial" w:eastAsia="Arial" w:hAnsi="Arial"/>
          <w:b/>
          <w:bCs/>
          <w:color w:val="2E5090"/>
          <w:sz w:val="26"/>
          <w:szCs w:val="26"/>
        </w:rPr>
        <w:t xml:space="preserve">Security 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666666" w:sz="6"/>
              <w:bottom w:val="none" w:color="FFFFFF" w:sz="0"/>
              <w:right w:val="none" w:color="FFFFFF" w:sz="0"/>
            </w:tcBorders>
            <w:shd w:fill="F2F4F7" w:val="clear"/>
          </w:tcPr>
          <w:p/>
        </w:tc>
        <w:tc>
          <w:tcPr>
            <w:tcW w:type="dxa" w:w="9240"/>
            <w:tcBorders>
              <w:top w:val="none" w:color="FFFFFF" w:sz="0"/>
              <w:left w:val="none" w:color="FFFFFF" w:sz="0"/>
              <w:bottom w:val="none" w:color="FFFFFF" w:sz="0"/>
              <w:right w:val="none" w:color="FFFFFF" w:sz="0"/>
            </w:tcBorders>
            <w:shd w:fill="F2F4F7" w:val="clear"/>
            <w:tcMar>
              <w:top w:type="dxa" w:w="120"/>
              <w:left w:type="dxa" w:w="160"/>
              <w:bottom w:type="dxa" w:w="120"/>
              <w:right w:type="dxa" w:w="160"/>
            </w:tcMar>
          </w:tcPr>
          <w:p>
            <w:pPr>
              <w:spacing w:after="60"/>
            </w:pPr>
            <w:r>
              <w:rPr>
                <w:rFonts w:ascii="Arial" w:cs="Arial" w:eastAsia="Arial" w:hAnsi="Arial"/>
                <w:b/>
                <w:bCs/>
                <w:color w:val="666666"/>
                <w:sz w:val="20"/>
                <w:szCs w:val="20"/>
              </w:rPr>
              <w:t xml:space="preserve">INTEGRATION</w:t>
            </w:r>
          </w:p>
          <w:p>
            <w:pPr>
              <w:spacing w:after="40" w:line="276" w:before="0"/>
              <w:jc w:val="left"/>
            </w:pPr>
            <w:r>
              <w:rPr>
                <w:rFonts w:ascii="Arial" w:cs="Arial" w:eastAsia="Arial" w:hAnsi="Arial"/>
                <w:b/>
                <w:bCs/>
                <w:color w:val="1A1A1A"/>
                <w:sz w:val="20"/>
                <w:szCs w:val="20"/>
              </w:rPr>
              <w:t xml:space="preserve">Connection: </w:t>
            </w:r>
            <w:r>
              <w:rPr>
                <w:rFonts w:ascii="Arial" w:cs="Arial" w:eastAsia="Arial" w:hAnsi="Arial"/>
                <w:color w:val="1A1A1A"/>
                <w:sz w:val="20"/>
                <w:szCs w:val="20"/>
              </w:rPr>
              <w:t xml:space="preserve">Read-only OAuth/service principal to control plane APIs. No agent install. No payload access.</w:t>
            </w:r>
          </w:p>
          <w:p>
            <w:pPr>
              <w:spacing w:after="40" w:line="276" w:before="0"/>
              <w:jc w:val="left"/>
            </w:pPr>
            <w:r>
              <w:rPr>
                <w:rFonts w:ascii="Arial" w:cs="Arial" w:eastAsia="Arial" w:hAnsi="Arial"/>
                <w:b/>
                <w:bCs/>
                <w:color w:val="1A1A1A"/>
                <w:sz w:val="20"/>
                <w:szCs w:val="20"/>
              </w:rPr>
              <w:t xml:space="preserve">Data: </w:t>
            </w:r>
            <w:r>
              <w:rPr>
                <w:rFonts w:ascii="Arial" w:cs="Arial" w:eastAsia="Arial" w:hAnsi="Arial"/>
                <w:color w:val="1A1A1A"/>
                <w:sz w:val="20"/>
                <w:szCs w:val="20"/>
              </w:rPr>
              <w:t xml:space="preserve">Agent metadata only. TLS 1.3 in transit, AES-256 at rest. SOC 2 Type I by month 8.</w:t>
            </w:r>
          </w:p>
          <w:p>
            <w:pPr>
              <w:spacing w:after="120" w:line="276" w:before="0"/>
              <w:jc w:val="left"/>
            </w:pPr>
            <w:r>
              <w:rPr>
                <w:rFonts w:ascii="Arial" w:cs="Arial" w:eastAsia="Arial" w:hAnsi="Arial"/>
                <w:b/>
                <w:bCs/>
                <w:color w:val="1A1A1A"/>
                <w:sz w:val="20"/>
                <w:szCs w:val="20"/>
              </w:rPr>
              <w:t xml:space="preserve">Deployment: </w:t>
            </w:r>
            <w:r>
              <w:rPr>
                <w:rFonts w:ascii="Arial" w:cs="Arial" w:eastAsia="Arial" w:hAnsi="Arial"/>
                <w:color w:val="1A1A1A"/>
                <w:sz w:val="20"/>
                <w:szCs w:val="20"/>
              </w:rPr>
              <w:t xml:space="preserve">Multi-tenant SaaS or single-tenant enterprise. Azure Marketplace (MACC-eligible).</w:t>
            </w:r>
          </w:p>
        </w:tc>
      </w:tr>
    </w:tbl>
    <w:p>
      <w:r>
        <w:br w:type="page"/>
      </w:r>
    </w:p>
    <w:p>
      <w:pPr>
        <w:pStyle w:val="Heading1"/>
        <w:spacing w:before="400" w:after="200"/>
      </w:pPr>
      <w:r>
        <w:rPr>
          <w:rFonts w:ascii="Arial" w:cs="Arial" w:eastAsia="Arial" w:hAnsi="Arial"/>
          <w:b/>
          <w:bCs/>
          <w:color w:val="1B2A4A"/>
          <w:sz w:val="32"/>
          <w:szCs w:val="32"/>
        </w:rPr>
        <w:t xml:space="preserve">8. CISO Outreach Email Template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1B2A4A" w:sz="6"/>
              <w:bottom w:val="none" w:color="FFFFFF" w:sz="0"/>
              <w:right w:val="none" w:color="FFFFFF" w:sz="0"/>
            </w:tcBorders>
            <w:shd w:fill="F2F4F7" w:val="clear"/>
          </w:tcPr>
          <w:p/>
        </w:tc>
        <w:tc>
          <w:tcPr>
            <w:tcW w:type="dxa" w:w="9240"/>
            <w:tcBorders>
              <w:top w:val="none" w:color="FFFFFF" w:sz="0"/>
              <w:left w:val="none" w:color="FFFFFF" w:sz="0"/>
              <w:bottom w:val="none" w:color="FFFFFF" w:sz="0"/>
              <w:right w:val="none" w:color="FFFFFF" w:sz="0"/>
            </w:tcBorders>
            <w:shd w:fill="F2F4F7" w:val="clear"/>
            <w:tcMar>
              <w:top w:type="dxa" w:w="120"/>
              <w:left w:type="dxa" w:w="160"/>
              <w:bottom w:type="dxa" w:w="120"/>
              <w:right w:type="dxa" w:w="160"/>
            </w:tcMar>
          </w:tcPr>
          <w:p>
            <w:pPr>
              <w:spacing w:after="60"/>
            </w:pPr>
            <w:r>
              <w:rPr>
                <w:rFonts w:ascii="Arial" w:cs="Arial" w:eastAsia="Arial" w:hAnsi="Arial"/>
                <w:b/>
                <w:bCs/>
                <w:color w:val="1B2A4A"/>
                <w:sz w:val="20"/>
                <w:szCs w:val="20"/>
              </w:rPr>
              <w:t xml:space="preserve">Subject: Agent Security Gap at [Company] — Design Partner Invitation</w:t>
            </w:r>
          </w:p>
          <w:p>
            <w:pPr>
              <w:spacing w:after="60" w:line="276" w:before="0"/>
              <w:jc w:val="left"/>
            </w:pPr>
            <w:r>
              <w:rPr>
                <w:rFonts w:ascii="Arial" w:cs="Arial" w:eastAsia="Arial" w:hAnsi="Arial"/>
                <w:color w:val="1A1A1A"/>
                <w:sz w:val="20"/>
                <w:szCs w:val="20"/>
              </w:rPr>
              <w:t xml:space="preserve">Hi [Name],</w:t>
            </w:r>
          </w:p>
          <w:p>
            <w:pPr>
              <w:spacing w:after="60" w:line="276" w:before="0"/>
              <w:jc w:val="left"/>
            </w:pPr>
            <w:r>
              <w:rPr>
                <w:rFonts w:ascii="Arial" w:cs="Arial" w:eastAsia="Arial" w:hAnsi="Arial"/>
                <w:color w:val="1A1A1A"/>
                <w:sz w:val="20"/>
                <w:szCs w:val="20"/>
              </w:rPr>
              <w:t xml:space="preserve">I’m reaching out because autonomous AI agents (Copilot Studio, LangChain, custom) have created a new attack surface: agents communicating East-West below existing security tools’ radar.</w:t>
            </w:r>
          </w:p>
          <w:p>
            <w:pPr>
              <w:spacing w:after="60" w:line="276" w:before="0"/>
              <w:jc w:val="left"/>
            </w:pPr>
            <w:r>
              <w:rPr>
                <w:rFonts w:ascii="Arial" w:cs="Arial" w:eastAsia="Arial" w:hAnsi="Arial"/>
                <w:color w:val="1A1A1A"/>
                <w:sz w:val="20"/>
                <w:szCs w:val="20"/>
              </w:rPr>
              <w:t xml:space="preserve">We’re building Trusera — trust and governance for AI agents. As Israeli cybersecurity and Microsoft Cloud Security veterans, we’re developing the control plane for inter-agent trust.</w:t>
            </w:r>
          </w:p>
          <w:p>
            <w:pPr>
              <w:spacing w:after="40" w:line="276" w:before="0"/>
              <w:jc w:val="left"/>
            </w:pPr>
            <w:r>
              <w:rPr>
                <w:rFonts w:ascii="Arial" w:cs="Arial" w:eastAsia="Arial" w:hAnsi="Arial"/>
                <w:b/>
                <w:bCs/>
                <w:color w:val="1A1A1A"/>
                <w:sz w:val="20"/>
                <w:szCs w:val="20"/>
              </w:rPr>
              <w:t xml:space="preserve">Offering 10 design partners a free Visibility Scan:</w:t>
            </w:r>
          </w:p>
          <w:p>
            <w:pPr>
              <w:spacing w:after="60" w:line="276" w:before="0"/>
              <w:jc w:val="left"/>
            </w:pPr>
            <w:r>
              <w:rPr>
                <w:rFonts w:ascii="Arial" w:cs="Arial" w:eastAsia="Arial" w:hAnsi="Arial"/>
                <w:color w:val="1A1A1A"/>
                <w:sz w:val="20"/>
                <w:szCs w:val="20"/>
              </w:rPr>
              <w:t xml:space="preserve">1) Shadow Agent Discovery — agents outside governance. 2) AI-BOM — models, tools, dependencies per agent. 3) Cross-Platform Graph — agent communication across Azure/GCP/AWS/SaaS.</w:t>
            </w:r>
          </w:p>
          <w:p>
            <w:pPr>
              <w:spacing w:after="60" w:line="276" w:before="0"/>
              <w:jc w:val="left"/>
            </w:pPr>
            <w:r>
              <w:rPr>
                <w:rFonts w:ascii="Arial" w:cs="Arial" w:eastAsia="Arial" w:hAnsi="Arial"/>
                <w:color w:val="1A1A1A"/>
                <w:sz w:val="20"/>
                <w:szCs w:val="20"/>
              </w:rPr>
              <w:t xml:space="preserve">Read-only, API-based, no business data access. Happy to send an example report.</w:t>
            </w:r>
          </w:p>
          <w:p>
            <w:pPr>
              <w:spacing w:after="120" w:line="276" w:before="0"/>
              <w:jc w:val="left"/>
            </w:pPr>
            <w:r>
              <w:rPr>
                <w:rFonts w:ascii="Arial" w:cs="Arial" w:eastAsia="Arial" w:hAnsi="Arial"/>
                <w:color w:val="1A1A1A"/>
                <w:sz w:val="20"/>
                <w:szCs w:val="20"/>
              </w:rPr>
              <w:t xml:space="preserve">Best, [Your Name]</w:t>
            </w:r>
          </w:p>
        </w:tc>
      </w:tr>
    </w:tbl>
    <w:p>
      <w:r>
        <w:br w:type="page"/>
      </w:r>
    </w:p>
    <w:p>
      <w:pPr>
        <w:pStyle w:val="Heading1"/>
        <w:spacing w:before="400" w:after="200"/>
      </w:pPr>
      <w:r>
        <w:rPr>
          <w:rFonts w:ascii="Arial" w:cs="Arial" w:eastAsia="Arial" w:hAnsi="Arial"/>
          <w:b/>
          <w:bCs/>
          <w:color w:val="1B2A4A"/>
          <w:sz w:val="32"/>
          <w:szCs w:val="32"/>
        </w:rPr>
        <w:t xml:space="preserve">9. CISO FAQ</w:t>
      </w:r>
    </w:p>
    <w:p>
      <w:pPr>
        <w:spacing w:before="200" w:after="100"/>
      </w:pPr>
      <w:r>
        <w:rPr>
          <w:rFonts w:ascii="Arial" w:cs="Arial" w:eastAsia="Arial" w:hAnsi="Arial"/>
          <w:b/>
          <w:bCs/>
          <w:color w:val="3A7CA5"/>
          <w:sz w:val="22"/>
          <w:szCs w:val="22"/>
        </w:rPr>
        <w:t xml:space="preserve">Q: What data do you access, and where is it stored?</w:t>
      </w:r>
    </w:p>
    <w:p>
      <w:pPr>
        <w:spacing w:after="120" w:line="276" w:before="0"/>
        <w:jc w:val="left"/>
      </w:pPr>
      <w:r>
        <w:rPr>
          <w:rFonts w:ascii="Arial" w:cs="Arial" w:eastAsia="Arial" w:hAnsi="Arial"/>
          <w:b/>
          <w:bCs/>
          <w:color w:val="1A1A1A"/>
          <w:sz w:val="20"/>
          <w:szCs w:val="20"/>
        </w:rPr>
        <w:t xml:space="preserve">A: </w:t>
      </w:r>
      <w:r>
        <w:rPr>
          <w:rFonts w:ascii="Arial" w:cs="Arial" w:eastAsia="Arial" w:hAnsi="Arial"/>
          <w:color w:val="1A1A1A"/>
          <w:sz w:val="20"/>
          <w:szCs w:val="20"/>
        </w:rPr>
        <w:t xml:space="preserve">Agent metadata only — identity, permissions, config, topology. Never conversation content or business data. Encrypted in transit (TLS 1.3) and at rest (AES-256). Enterprise tier: single-tenant deployment. SOC 2 Type I within 8 months.</w:t>
      </w:r>
    </w:p>
    <w:p>
      <w:pPr>
        <w:spacing w:before="200" w:after="100"/>
      </w:pPr>
      <w:r>
        <w:rPr>
          <w:rFonts w:ascii="Arial" w:cs="Arial" w:eastAsia="Arial" w:hAnsi="Arial"/>
          <w:b/>
          <w:bCs/>
          <w:color w:val="3A7CA5"/>
          <w:sz w:val="22"/>
          <w:szCs w:val="22"/>
        </w:rPr>
        <w:t xml:space="preserve">Q: Could the scanner interfere with our agents?</w:t>
      </w:r>
    </w:p>
    <w:p>
      <w:pPr>
        <w:spacing w:after="120" w:line="276" w:before="0"/>
        <w:jc w:val="left"/>
      </w:pPr>
      <w:r>
        <w:rPr>
          <w:rFonts w:ascii="Arial" w:cs="Arial" w:eastAsia="Arial" w:hAnsi="Arial"/>
          <w:b/>
          <w:bCs/>
          <w:color w:val="1A1A1A"/>
          <w:sz w:val="20"/>
          <w:szCs w:val="20"/>
        </w:rPr>
        <w:t xml:space="preserve">A: </w:t>
      </w:r>
      <w:r>
        <w:rPr>
          <w:rFonts w:ascii="Arial" w:cs="Arial" w:eastAsia="Arial" w:hAnsi="Arial"/>
          <w:color w:val="1A1A1A"/>
          <w:sz w:val="20"/>
          <w:szCs w:val="20"/>
        </w:rPr>
        <w:t xml:space="preserve">No. Strictly read-only via cloud management APIs (Graph, Cloud IAM, AWS IAM). No prompt injection, no config changes, no runtime interaction. Architecturally equivalent to a CSPM tool scanning infrastructure metadata.</w:t>
      </w:r>
    </w:p>
    <w:p>
      <w:pPr>
        <w:spacing w:before="200" w:after="100"/>
      </w:pPr>
      <w:r>
        <w:rPr>
          <w:rFonts w:ascii="Arial" w:cs="Arial" w:eastAsia="Arial" w:hAnsi="Arial"/>
          <w:b/>
          <w:bCs/>
          <w:color w:val="3A7CA5"/>
          <w:sz w:val="22"/>
          <w:szCs w:val="22"/>
        </w:rPr>
        <w:t xml:space="preserve">Q: How is this different from Noma/Zenity/Astrix?</w:t>
      </w:r>
    </w:p>
    <w:p>
      <w:pPr>
        <w:spacing w:after="120" w:line="276" w:before="0"/>
        <w:jc w:val="left"/>
      </w:pPr>
      <w:r>
        <w:rPr>
          <w:rFonts w:ascii="Arial" w:cs="Arial" w:eastAsia="Arial" w:hAnsi="Arial"/>
          <w:b/>
          <w:bCs/>
          <w:color w:val="1A1A1A"/>
          <w:sz w:val="20"/>
          <w:szCs w:val="20"/>
        </w:rPr>
        <w:t xml:space="preserve">A: </w:t>
      </w:r>
      <w:r>
        <w:rPr>
          <w:rFonts w:ascii="Arial" w:cs="Arial" w:eastAsia="Arial" w:hAnsi="Arial"/>
          <w:color w:val="1A1A1A"/>
          <w:sz w:val="20"/>
          <w:szCs w:val="20"/>
        </w:rPr>
        <w:t xml:space="preserve">Noma = SIEM for agents (monitoring). Keycard = IAM for agents (identity issuance). We = service mesh for agents (communication trust). In microservices you need Splunk, Okta, AND Istio. Same applies to agents.</w:t>
      </w:r>
    </w:p>
    <w:p>
      <w:pPr>
        <w:spacing w:before="200" w:after="100"/>
      </w:pPr>
      <w:r>
        <w:rPr>
          <w:rFonts w:ascii="Arial" w:cs="Arial" w:eastAsia="Arial" w:hAnsi="Arial"/>
          <w:b/>
          <w:bCs/>
          <w:color w:val="3A7CA5"/>
          <w:sz w:val="22"/>
          <w:szCs w:val="22"/>
        </w:rPr>
        <w:t xml:space="preserve">Q: We have Entra Agent ID. Why do we need this?</w:t>
      </w:r>
    </w:p>
    <w:p>
      <w:pPr>
        <w:spacing w:after="120" w:line="276" w:before="0"/>
        <w:jc w:val="left"/>
      </w:pPr>
      <w:r>
        <w:rPr>
          <w:rFonts w:ascii="Arial" w:cs="Arial" w:eastAsia="Arial" w:hAnsi="Arial"/>
          <w:b/>
          <w:bCs/>
          <w:color w:val="1A1A1A"/>
          <w:sz w:val="20"/>
          <w:szCs w:val="20"/>
        </w:rPr>
        <w:t xml:space="preserve">A: </w:t>
      </w:r>
      <w:r>
        <w:rPr>
          <w:rFonts w:ascii="Arial" w:cs="Arial" w:eastAsia="Arial" w:hAnsi="Arial"/>
          <w:color w:val="1A1A1A"/>
          <w:sz w:val="20"/>
          <w:szCs w:val="20"/>
        </w:rPr>
        <w:t xml:space="preserve">Entra Agent ID is excellent for Microsoft-to-Microsoft trust. When your Copilot Studio agent communicates with a Google A2A agent, a LangChain agent on AWS, or a third-party vendor’s agent — Entra doesn’t provide cross-platform mutual trust. We are the bridge.</w:t>
      </w:r>
    </w:p>
    <w:p>
      <w:pPr>
        <w:spacing w:before="200" w:after="100"/>
      </w:pPr>
      <w:r>
        <w:rPr>
          <w:rFonts w:ascii="Arial" w:cs="Arial" w:eastAsia="Arial" w:hAnsi="Arial"/>
          <w:b/>
          <w:bCs/>
          <w:color w:val="3A7CA5"/>
          <w:sz w:val="22"/>
          <w:szCs w:val="22"/>
        </w:rPr>
        <w:t xml:space="preserve">Q: What if we only use one platform?</w:t>
      </w:r>
    </w:p>
    <w:p>
      <w:pPr>
        <w:spacing w:after="120" w:line="276" w:before="0"/>
        <w:jc w:val="left"/>
      </w:pPr>
      <w:r>
        <w:rPr>
          <w:rFonts w:ascii="Arial" w:cs="Arial" w:eastAsia="Arial" w:hAnsi="Arial"/>
          <w:b/>
          <w:bCs/>
          <w:color w:val="1A1A1A"/>
          <w:sz w:val="20"/>
          <w:szCs w:val="20"/>
        </w:rPr>
        <w:t xml:space="preserve">A: </w:t>
      </w:r>
      <w:r>
        <w:rPr>
          <w:rFonts w:ascii="Arial" w:cs="Arial" w:eastAsia="Arial" w:hAnsi="Arial"/>
          <w:color w:val="1A1A1A"/>
          <w:sz w:val="20"/>
          <w:szCs w:val="20"/>
        </w:rPr>
        <w:t xml:space="preserve">Discovery and AI-BOM still provide value (visibility, permissions, risk scoring). And multi-platform is inevitable: Salesforce, ServiceNow, SAP are all embedding agents. Your environment becomes multi-platform whether you plan it or not.</w:t>
      </w:r>
    </w:p>
    <w:p>
      <w:pPr>
        <w:spacing w:before="200" w:after="100"/>
      </w:pPr>
      <w:r>
        <w:rPr>
          <w:rFonts w:ascii="Arial" w:cs="Arial" w:eastAsia="Arial" w:hAnsi="Arial"/>
          <w:b/>
          <w:bCs/>
          <w:color w:val="3A7CA5"/>
          <w:sz w:val="22"/>
          <w:szCs w:val="22"/>
        </w:rPr>
        <w:t xml:space="preserve">Q: EU AI Act compliance?</w:t>
      </w:r>
    </w:p>
    <w:p>
      <w:pPr>
        <w:spacing w:after="120" w:line="276" w:before="0"/>
        <w:jc w:val="left"/>
      </w:pPr>
      <w:r>
        <w:rPr>
          <w:rFonts w:ascii="Arial" w:cs="Arial" w:eastAsia="Arial" w:hAnsi="Arial"/>
          <w:b/>
          <w:bCs/>
          <w:color w:val="1A1A1A"/>
          <w:sz w:val="20"/>
          <w:szCs w:val="20"/>
        </w:rPr>
        <w:t xml:space="preserve">A: </w:t>
      </w:r>
      <w:r>
        <w:rPr>
          <w:rFonts w:ascii="Arial" w:cs="Arial" w:eastAsia="Arial" w:hAnsi="Arial"/>
          <w:color w:val="1A1A1A"/>
          <w:sz w:val="20"/>
          <w:szCs w:val="20"/>
        </w:rPr>
        <w:t xml:space="preserve">Article 53 requires GPAI technical documentation (Annex XI/XII) — enforceable since August 2025. Our scanner generates compliant documentation. Penalties: €15M or 3% global turnover. The GPAI Code of Practice (signed by Microsoft, Google, Amazon, OpenAI, Anthropic) sets standards our output aligns with.</w:t>
      </w:r>
    </w:p>
    <w:p>
      <w:r>
        <w:br w:type="page"/>
      </w:r>
    </w:p>
    <w:p>
      <w:pPr>
        <w:pStyle w:val="Heading1"/>
        <w:spacing w:before="400" w:after="200"/>
      </w:pPr>
      <w:r>
        <w:rPr>
          <w:rFonts w:ascii="Arial" w:cs="Arial" w:eastAsia="Arial" w:hAnsi="Arial"/>
          <w:b/>
          <w:bCs/>
          <w:color w:val="1B2A4A"/>
          <w:sz w:val="32"/>
          <w:szCs w:val="32"/>
        </w:rPr>
        <w:t xml:space="preserve">10. Fundraising Strategy</w:t>
      </w:r>
    </w:p>
    <w:p>
      <w:pPr>
        <w:pStyle w:val="Heading2"/>
        <w:spacing w:before="300" w:after="150"/>
      </w:pPr>
      <w:r>
        <w:rPr>
          <w:rFonts w:ascii="Arial" w:cs="Arial" w:eastAsia="Arial" w:hAnsi="Arial"/>
          <w:b/>
          <w:bCs/>
          <w:color w:val="2E5090"/>
          <w:sz w:val="26"/>
          <w:szCs w:val="26"/>
        </w:rPr>
        <w:t xml:space="preserve">10.1 Market Context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2D8659" w:sz="6"/>
              <w:bottom w:val="none" w:color="FFFFFF" w:sz="0"/>
              <w:right w:val="none" w:color="FFFFFF" w:sz="0"/>
            </w:tcBorders>
            <w:shd w:fill="E8F5EE" w:val="clear"/>
          </w:tcPr>
          <w:p/>
        </w:tc>
        <w:tc>
          <w:tcPr>
            <w:tcW w:type="dxa" w:w="9240"/>
            <w:tcBorders>
              <w:top w:val="none" w:color="FFFFFF" w:sz="0"/>
              <w:left w:val="none" w:color="FFFFFF" w:sz="0"/>
              <w:bottom w:val="none" w:color="FFFFFF" w:sz="0"/>
              <w:right w:val="none" w:color="FFFFFF" w:sz="0"/>
            </w:tcBorders>
            <w:shd w:fill="E8F5EE" w:val="clear"/>
            <w:tcMar>
              <w:top w:type="dxa" w:w="120"/>
              <w:left w:type="dxa" w:w="160"/>
              <w:bottom w:type="dxa" w:w="120"/>
              <w:right w:type="dxa" w:w="160"/>
            </w:tcMar>
          </w:tcPr>
          <w:p>
            <w:pPr>
              <w:spacing w:after="60"/>
            </w:pPr>
            <w:r>
              <w:rPr>
                <w:rFonts w:ascii="Arial" w:cs="Arial" w:eastAsia="Arial" w:hAnsi="Arial"/>
                <w:b/>
                <w:bCs/>
                <w:color w:val="2D8659"/>
                <w:sz w:val="20"/>
                <w:szCs w:val="20"/>
              </w:rPr>
              <w:t xml:space="preserve">ISRAELI CYBER 2025</w:t>
            </w:r>
          </w:p>
          <w:p>
            <w:pPr>
              <w:spacing w:after="0" w:line="276"/>
            </w:pPr>
            <w:r>
              <w:rPr>
                <w:rFonts w:ascii="Arial" w:cs="Arial" w:eastAsia="Arial" w:hAnsi="Arial"/>
                <w:color w:val="1A1A1A"/>
                <w:sz w:val="19"/>
                <w:szCs w:val="19"/>
              </w:rPr>
              <w:t xml:space="preserve">Funding: $4.4B. 71 seed rounds averaging $9.6M (up 230% from decade ago). "Security for AI" led seed formation: 12 new companies. Dominant: split-seed (Israeli specialist + US global VC). Seeds close in 2-4 weeks for strong teams.</w:t>
            </w:r>
          </w:p>
        </w:tc>
      </w:tr>
    </w:tbl>
    <w:p>
      <w:pPr>
        <w:pStyle w:val="Heading2"/>
        <w:spacing w:before="300" w:after="150"/>
      </w:pPr>
      <w:r>
        <w:rPr>
          <w:rFonts w:ascii="Arial" w:cs="Arial" w:eastAsia="Arial" w:hAnsi="Arial"/>
          <w:b/>
          <w:bCs/>
          <w:color w:val="2E5090"/>
          <w:sz w:val="26"/>
          <w:szCs w:val="26"/>
        </w:rPr>
        <w:t xml:space="preserve">10.2 Round Structure</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400"/>
        <w:gridCol w:w="1400"/>
        <w:gridCol w:w="1400"/>
        <w:gridCol w:w="3960"/>
      </w:tblGrid>
      <w:tr>
        <w:trPr>
          <w:tblHeader/>
        </w:trPr>
        <w:tc>
          <w:tcPr>
            <w:tcW w:type="dxa" w:w="12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Round</w:t>
            </w:r>
          </w:p>
        </w:tc>
        <w:tc>
          <w:tcPr>
            <w:tcW w:type="dxa" w:w="1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Amount</w:t>
            </w:r>
          </w:p>
        </w:tc>
        <w:tc>
          <w:tcPr>
            <w:tcW w:type="dxa" w:w="1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Valuation</w:t>
            </w:r>
          </w:p>
        </w:tc>
        <w:tc>
          <w:tcPr>
            <w:tcW w:type="dxa" w:w="1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Timeline</w:t>
            </w:r>
          </w:p>
        </w:tc>
        <w:tc>
          <w:tcPr>
            <w:tcW w:type="dxa" w:w="39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Investors</w:t>
            </w:r>
          </w:p>
        </w:tc>
      </w:tr>
      <w:tr>
        <w:tc>
          <w:tcPr>
            <w:tcW w:type="dxa" w:w="1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Pre-Seed</w:t>
            </w:r>
          </w:p>
        </w:tc>
        <w:tc>
          <w:tcPr>
            <w:tcW w:type="dxa" w:w="1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$1.5-2.5M SAFE</w:t>
            </w:r>
          </w:p>
        </w:tc>
        <w:tc>
          <w:tcPr>
            <w:tcW w:type="dxa" w:w="1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$8-15M cap</w:t>
            </w:r>
          </w:p>
        </w:tc>
        <w:tc>
          <w:tcPr>
            <w:tcW w:type="dxa" w:w="1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Immediate</w:t>
            </w:r>
          </w:p>
        </w:tc>
        <w:tc>
          <w:tcPr>
            <w:tcW w:type="dxa" w:w="39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Israeli cyber angels, Hetz Ventures</w:t>
            </w:r>
          </w:p>
        </w:tc>
      </w:tr>
      <w:tr>
        <w:tc>
          <w:tcPr>
            <w:tcW w:type="dxa" w:w="1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Seed</w:t>
            </w:r>
          </w:p>
        </w:tc>
        <w:tc>
          <w:tcPr>
            <w:tcW w:type="dxa" w:w="1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$7-10M priced</w:t>
            </w:r>
          </w:p>
        </w:tc>
        <w:tc>
          <w:tcPr>
            <w:tcW w:type="dxa" w:w="1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$25-40M pre</w:t>
            </w:r>
          </w:p>
        </w:tc>
        <w:tc>
          <w:tcPr>
            <w:tcW w:type="dxa" w:w="1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Q3-Q4 2026</w:t>
            </w:r>
          </w:p>
        </w:tc>
        <w:tc>
          <w:tcPr>
            <w:tcW w:type="dxa" w:w="39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Israeli specialist + US co-lead</w:t>
            </w:r>
          </w:p>
        </w:tc>
      </w:tr>
      <w:tr>
        <w:tc>
          <w:tcPr>
            <w:tcW w:type="dxa" w:w="1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Series A</w:t>
            </w:r>
          </w:p>
        </w:tc>
        <w:tc>
          <w:tcPr>
            <w:tcW w:type="dxa" w:w="1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$25-40M</w:t>
            </w:r>
          </w:p>
        </w:tc>
        <w:tc>
          <w:tcPr>
            <w:tcW w:type="dxa" w:w="1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$150-250M</w:t>
            </w:r>
          </w:p>
        </w:tc>
        <w:tc>
          <w:tcPr>
            <w:tcW w:type="dxa" w:w="1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Month 15-24</w:t>
            </w:r>
          </w:p>
        </w:tc>
        <w:tc>
          <w:tcPr>
            <w:tcW w:type="dxa" w:w="39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US top-tier lead</w:t>
            </w:r>
          </w:p>
        </w:tc>
      </w:tr>
    </w:tbl>
    <w:p>
      <w:pPr>
        <w:pStyle w:val="Heading2"/>
        <w:spacing w:before="300" w:after="150"/>
      </w:pPr>
      <w:r>
        <w:rPr>
          <w:rFonts w:ascii="Arial" w:cs="Arial" w:eastAsia="Arial" w:hAnsi="Arial"/>
          <w:b/>
          <w:bCs/>
          <w:color w:val="2E5090"/>
          <w:sz w:val="26"/>
          <w:szCs w:val="26"/>
        </w:rPr>
        <w:t xml:space="preserve">10.3 Target VCs</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900"/>
        <w:gridCol w:w="4200"/>
        <w:gridCol w:w="2760"/>
      </w:tblGrid>
      <w:tr>
        <w:trPr>
          <w:tblHeader/>
        </w:trPr>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Fund</w:t>
            </w:r>
          </w:p>
        </w:tc>
        <w:tc>
          <w:tcPr>
            <w:tcW w:type="dxa" w:w="9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AUM</w:t>
            </w:r>
          </w:p>
        </w:tc>
        <w:tc>
          <w:tcPr>
            <w:tcW w:type="dxa" w:w="42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Why</w:t>
            </w:r>
          </w:p>
        </w:tc>
        <w:tc>
          <w:tcPr>
            <w:tcW w:type="dxa" w:w="27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Contact</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Cyberstarts</w:t>
            </w:r>
          </w:p>
        </w:tc>
        <w:tc>
          <w:tcPr>
            <w:tcW w:type="dxa" w:w="9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$1.4B+</w:t>
            </w:r>
          </w:p>
        </w:tc>
        <w:tc>
          <w:tcPr>
            <w:tcW w:type="dxa" w:w="4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Wiz ($32B), Cyera ($9B). Sunrise CISO network. Gili Raanan: people-first, 8200-valued.</w:t>
            </w:r>
          </w:p>
        </w:tc>
        <w:tc>
          <w:tcPr>
            <w:tcW w:type="dxa" w:w="27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Gili Raanan</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YL Ventures</w:t>
            </w:r>
          </w:p>
        </w:tc>
        <w:tc>
          <w:tcPr>
            <w:tcW w:type="dxa" w:w="9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$800M</w:t>
            </w:r>
          </w:p>
        </w:tc>
        <w:tc>
          <w:tcPr>
            <w:tcW w:type="dxa" w:w="4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Orchid ($36M seed), Orca, Axonius. CISO network. In-house CTO.</w:t>
            </w:r>
          </w:p>
        </w:tc>
        <w:tc>
          <w:tcPr>
            <w:tcW w:type="dxa" w:w="27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Ofer Schreiber</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Team8</w:t>
            </w:r>
          </w:p>
        </w:tc>
        <w:tc>
          <w:tcPr>
            <w:tcW w:type="dxa" w:w="9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$1B+</w:t>
            </w:r>
          </w:p>
        </w:tc>
        <w:tc>
          <w:tcPr>
            <w:tcW w:type="dxa" w:w="4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Invested in Lumia (agent security). Agentic AI resilience thesis. 600 CISOs.</w:t>
            </w:r>
          </w:p>
        </w:tc>
        <w:tc>
          <w:tcPr>
            <w:tcW w:type="dxa" w:w="27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Amir Zilberstein</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Glilot Capital</w:t>
            </w:r>
          </w:p>
        </w:tc>
        <w:tc>
          <w:tcPr>
            <w:tcW w:type="dxa" w:w="9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~$1B</w:t>
            </w:r>
          </w:p>
        </w:tc>
        <w:tc>
          <w:tcPr>
            <w:tcW w:type="dxa" w:w="4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Seeded Noma. AI security depth. Raised $500M in 2025.</w:t>
            </w:r>
          </w:p>
        </w:tc>
        <w:tc>
          <w:tcPr>
            <w:tcW w:type="dxa" w:w="27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Kobi Samboursky</w:t>
            </w:r>
          </w:p>
        </w:tc>
      </w:tr>
    </w:tbl>
    <w:p>
      <w:pPr>
        <w:pStyle w:val="Heading2"/>
        <w:spacing w:before="300" w:after="150"/>
      </w:pPr>
      <w:r>
        <w:rPr>
          <w:rFonts w:ascii="Arial" w:cs="Arial" w:eastAsia="Arial" w:hAnsi="Arial"/>
          <w:b/>
          <w:bCs/>
          <w:color w:val="2E5090"/>
          <w:sz w:val="26"/>
          <w:szCs w:val="26"/>
        </w:rPr>
        <w:t xml:space="preserve">10.4 Unicorn Trajectory</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1500"/>
        <w:gridCol w:w="1800"/>
        <w:gridCol w:w="4560"/>
      </w:tblGrid>
      <w:tr>
        <w:trPr>
          <w:tblHeader/>
        </w:trPr>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Stage</w:t>
            </w:r>
          </w:p>
        </w:tc>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Timeline</w:t>
            </w:r>
          </w:p>
        </w:tc>
        <w:tc>
          <w:tcPr>
            <w:tcW w:type="dxa" w:w="1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Valuation</w:t>
            </w:r>
          </w:p>
        </w:tc>
        <w:tc>
          <w:tcPr>
            <w:tcW w:type="dxa" w:w="4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Milestone</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Pre-Seed</w:t>
            </w:r>
          </w:p>
        </w:tc>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Month 0-3</w:t>
            </w:r>
          </w:p>
        </w:tc>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$8-15M</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Team + thesis + PoC</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Seed</w:t>
            </w:r>
          </w:p>
        </w:tc>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Month 3-9</w:t>
            </w:r>
          </w:p>
        </w:tc>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$25-40M</w:t>
            </w:r>
          </w:p>
        </w:tc>
        <w:tc>
          <w:tcPr>
            <w:tcW w:type="dxa" w:w="4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Partners + SDK alpha</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Series A</w:t>
            </w:r>
          </w:p>
        </w:tc>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Month 15-24</w:t>
            </w:r>
          </w:p>
        </w:tc>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$150-250M</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$1-2M ARR, 15-25 customers</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Series B</w:t>
            </w:r>
          </w:p>
        </w:tc>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Month 24-36</w:t>
            </w:r>
          </w:p>
        </w:tc>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$400-800M</w:t>
            </w:r>
          </w:p>
        </w:tc>
        <w:tc>
          <w:tcPr>
            <w:tcW w:type="dxa" w:w="4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$5-10M ARR, 50-100 customers</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Unicorn</w:t>
            </w:r>
          </w:p>
        </w:tc>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Month 36-48</w:t>
            </w:r>
          </w:p>
        </w:tc>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$1-3B</w:t>
            </w:r>
          </w:p>
        </w:tc>
        <w:tc>
          <w:tcPr>
            <w:tcW w:type="dxa" w:w="4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$20-50M ARR, category leader</w:t>
            </w:r>
          </w:p>
        </w:tc>
      </w:tr>
    </w:tbl>
    <w:p>
      <w:r>
        <w:br w:type="page"/>
      </w:r>
    </w:p>
    <w:p>
      <w:pPr>
        <w:pStyle w:val="Heading1"/>
        <w:spacing w:before="400" w:after="200"/>
      </w:pPr>
      <w:r>
        <w:rPr>
          <w:rFonts w:ascii="Arial" w:cs="Arial" w:eastAsia="Arial" w:hAnsi="Arial"/>
          <w:b/>
          <w:bCs/>
          <w:color w:val="1B2A4A"/>
          <w:sz w:val="32"/>
          <w:szCs w:val="32"/>
        </w:rPr>
        <w:t xml:space="preserve">11. Hiring Plan</w:t>
      </w:r>
    </w:p>
    <w:p>
      <w:pPr>
        <w:pStyle w:val="Heading2"/>
        <w:spacing w:before="300" w:after="150"/>
      </w:pPr>
      <w:r>
        <w:rPr>
          <w:rFonts w:ascii="Arial" w:cs="Arial" w:eastAsia="Arial" w:hAnsi="Arial"/>
          <w:b/>
          <w:bCs/>
          <w:color w:val="2E5090"/>
          <w:sz w:val="26"/>
          <w:szCs w:val="26"/>
        </w:rPr>
        <w:t xml:space="preserve">11.1 First 5 Hires</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400"/>
        <w:gridCol w:w="3400"/>
        <w:gridCol w:w="3060"/>
      </w:tblGrid>
      <w:tr>
        <w:trPr>
          <w:tblHeader/>
        </w:trPr>
        <w:tc>
          <w:tcPr>
            <w:tcW w:type="dxa" w:w="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w:t>
            </w:r>
          </w:p>
        </w:tc>
        <w:tc>
          <w:tcPr>
            <w:tcW w:type="dxa" w:w="2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Role</w:t>
            </w:r>
          </w:p>
        </w:tc>
        <w:tc>
          <w:tcPr>
            <w:tcW w:type="dxa" w:w="34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Requirements</w:t>
            </w:r>
          </w:p>
        </w:tc>
        <w:tc>
          <w:tcPr>
            <w:tcW w:type="dxa" w:w="30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Salary</w:t>
            </w:r>
          </w:p>
        </w:tc>
      </w:tr>
      <w:tr>
        <w:tc>
          <w:tcPr>
            <w:tcW w:type="dxa" w:w="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w:t>
            </w:r>
          </w:p>
        </w:tc>
        <w:tc>
          <w:tcPr>
            <w:tcW w:type="dxa" w:w="2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Sr. Backend/Infra (Go/Rust)</w:t>
            </w:r>
          </w:p>
        </w:tc>
        <w:tc>
          <w:tcPr>
            <w:tcW w:type="dxa" w:w="3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Distributed systems, 8+ years</w:t>
            </w:r>
          </w:p>
        </w:tc>
        <w:tc>
          <w:tcPr>
            <w:tcW w:type="dxa" w:w="3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₪450-600K</w:t>
            </w:r>
          </w:p>
        </w:tc>
      </w:tr>
      <w:tr>
        <w:tc>
          <w:tcPr>
            <w:tcW w:type="dxa" w:w="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w:t>
            </w:r>
          </w:p>
        </w:tc>
        <w:tc>
          <w:tcPr>
            <w:tcW w:type="dxa" w:w="2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Security Researcher</w:t>
            </w:r>
          </w:p>
        </w:tc>
        <w:tc>
          <w:tcPr>
            <w:tcW w:type="dxa" w:w="3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Crypto, SPIFFE/OAuth, 8200/81 preferred</w:t>
            </w:r>
          </w:p>
        </w:tc>
        <w:tc>
          <w:tcPr>
            <w:tcW w:type="dxa" w:w="30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₪380-500K</w:t>
            </w:r>
          </w:p>
        </w:tc>
      </w:tr>
      <w:tr>
        <w:tc>
          <w:tcPr>
            <w:tcW w:type="dxa" w:w="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w:t>
            </w:r>
          </w:p>
        </w:tc>
        <w:tc>
          <w:tcPr>
            <w:tcW w:type="dxa" w:w="2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Sr. Distributed Systems</w:t>
            </w:r>
          </w:p>
        </w:tc>
        <w:tc>
          <w:tcPr>
            <w:tcW w:type="dxa" w:w="3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K8s, service mesh, 5-7 years</w:t>
            </w:r>
          </w:p>
        </w:tc>
        <w:tc>
          <w:tcPr>
            <w:tcW w:type="dxa" w:w="3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₪350-480K</w:t>
            </w:r>
          </w:p>
        </w:tc>
      </w:tr>
      <w:tr>
        <w:tc>
          <w:tcPr>
            <w:tcW w:type="dxa" w:w="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4</w:t>
            </w:r>
          </w:p>
        </w:tc>
        <w:tc>
          <w:tcPr>
            <w:tcW w:type="dxa" w:w="2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DevRel / Evangelist</w:t>
            </w:r>
          </w:p>
        </w:tc>
        <w:tc>
          <w:tcPr>
            <w:tcW w:type="dxa" w:w="34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Open-source community, 3-5 years</w:t>
            </w:r>
          </w:p>
        </w:tc>
        <w:tc>
          <w:tcPr>
            <w:tcW w:type="dxa" w:w="30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₪280-380K</w:t>
            </w:r>
          </w:p>
        </w:tc>
      </w:tr>
      <w:tr>
        <w:tc>
          <w:tcPr>
            <w:tcW w:type="dxa" w:w="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5</w:t>
            </w:r>
          </w:p>
        </w:tc>
        <w:tc>
          <w:tcPr>
            <w:tcW w:type="dxa" w:w="2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Product Manager</w:t>
            </w:r>
          </w:p>
        </w:tc>
        <w:tc>
          <w:tcPr>
            <w:tcW w:type="dxa" w:w="34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Security/infra domain, 5+ years</w:t>
            </w:r>
          </w:p>
        </w:tc>
        <w:tc>
          <w:tcPr>
            <w:tcW w:type="dxa" w:w="3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₪370-450K</w:t>
            </w:r>
          </w:p>
        </w:tc>
      </w:tr>
    </w:tbl>
    <w:p>
      <w:pPr>
        <w:pStyle w:val="Heading2"/>
        <w:spacing w:before="300" w:after="150"/>
      </w:pPr>
      <w:r>
        <w:rPr>
          <w:rFonts w:ascii="Arial" w:cs="Arial" w:eastAsia="Arial" w:hAnsi="Arial"/>
          <w:b/>
          <w:bCs/>
          <w:color w:val="2E5090"/>
          <w:sz w:val="26"/>
          <w:szCs w:val="26"/>
        </w:rPr>
        <w:t xml:space="preserve">11.2 Scaling</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1500"/>
        <w:gridCol w:w="7060"/>
      </w:tblGrid>
      <w:tr>
        <w:trPr>
          <w:tblHeader/>
        </w:trPr>
        <w:tc>
          <w:tcPr>
            <w:tcW w:type="dxa" w:w="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Size</w:t>
            </w:r>
          </w:p>
        </w:tc>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Stage</w:t>
            </w:r>
          </w:p>
        </w:tc>
        <w:tc>
          <w:tcPr>
            <w:tcW w:type="dxa" w:w="70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Composition</w:t>
            </w:r>
          </w:p>
        </w:tc>
      </w:tr>
      <w:tr>
        <w:tc>
          <w:tcPr>
            <w:tcW w:type="dxa" w:w="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10</w:t>
            </w:r>
          </w:p>
        </w:tc>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Post-seed</w:t>
            </w:r>
          </w:p>
        </w:tc>
        <w:tc>
          <w:tcPr>
            <w:tcW w:type="dxa" w:w="7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2 founders + 4 eng + 1 researcher + 1 PM + 1 DevRel + 1 ops</w:t>
            </w:r>
          </w:p>
        </w:tc>
      </w:tr>
      <w:tr>
        <w:tc>
          <w:tcPr>
            <w:tcW w:type="dxa" w:w="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25</w:t>
            </w:r>
          </w:p>
        </w:tc>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Series A</w:t>
            </w:r>
          </w:p>
        </w:tc>
        <w:tc>
          <w:tcPr>
            <w:tcW w:type="dxa" w:w="70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 VP Eng, VP Sales (US), 3 AEs, 2 SEs</w:t>
            </w:r>
          </w:p>
        </w:tc>
      </w:tr>
      <w:tr>
        <w:tc>
          <w:tcPr>
            <w:tcW w:type="dxa" w:w="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50</w:t>
            </w:r>
          </w:p>
        </w:tc>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Series B</w:t>
            </w:r>
          </w:p>
        </w:tc>
        <w:tc>
          <w:tcPr>
            <w:tcW w:type="dxa" w:w="70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 CRO, marketing, CS, regional teams</w:t>
            </w:r>
          </w:p>
        </w:tc>
      </w:tr>
      <w:tr>
        <w:tc>
          <w:tcPr>
            <w:tcW w:type="dxa" w:w="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100</w:t>
            </w:r>
          </w:p>
        </w:tc>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Growth</w:t>
            </w:r>
          </w:p>
        </w:tc>
        <w:tc>
          <w:tcPr>
            <w:tcW w:type="dxa" w:w="70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Multiple squads, regional sales, full G&amp;A</w:t>
            </w:r>
          </w:p>
        </w:tc>
      </w:tr>
    </w:tbl>
    <w:p>
      <w:pPr>
        <w:spacing w:before="80" w:after="0"/>
      </w:pPr>
    </w:p>
    <w:p>
      <w:pPr>
        <w:spacing w:after="120" w:line="276" w:before="0"/>
        <w:jc w:val="left"/>
      </w:pPr>
      <w:r>
        <w:rPr>
          <w:rFonts w:ascii="Arial" w:cs="Arial" w:eastAsia="Arial" w:hAnsi="Arial"/>
          <w:b/>
          <w:bCs/>
          <w:color w:val="1A1A1A"/>
          <w:sz w:val="20"/>
          <w:szCs w:val="20"/>
        </w:rPr>
        <w:t xml:space="preserve">US Office: </w:t>
      </w:r>
      <w:r>
        <w:rPr>
          <w:rFonts w:ascii="Arial" w:cs="Arial" w:eastAsia="Arial" w:hAnsi="Arial"/>
          <w:color w:val="1A1A1A"/>
          <w:sz w:val="20"/>
          <w:szCs w:val="20"/>
        </w:rPr>
        <w:t xml:space="preserve">NYC (not SF) — proximity to financial services buyers, growing cyber hub (Cyera/Wiz HQ). Lightweight presence before Series A, formal office (3-5 people) after.</w:t>
      </w:r>
    </w:p>
    <w:p>
      <w:r>
        <w:br w:type="page"/>
      </w:r>
    </w:p>
    <w:p>
      <w:pPr>
        <w:pStyle w:val="Heading1"/>
        <w:spacing w:before="400" w:after="200"/>
      </w:pPr>
      <w:r>
        <w:rPr>
          <w:rFonts w:ascii="Arial" w:cs="Arial" w:eastAsia="Arial" w:hAnsi="Arial"/>
          <w:b/>
          <w:bCs/>
          <w:color w:val="1B2A4A"/>
          <w:sz w:val="32"/>
          <w:szCs w:val="32"/>
        </w:rPr>
        <w:t xml:space="preserve">12. Risk Matrix</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800"/>
        <w:gridCol w:w="6360"/>
      </w:tblGrid>
      <w:tr>
        <w:trPr>
          <w:tblHeader/>
        </w:trPr>
        <w:tc>
          <w:tcPr>
            <w:tcW w:type="dxa" w:w="22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Risk</w:t>
            </w:r>
          </w:p>
        </w:tc>
        <w:tc>
          <w:tcPr>
            <w:tcW w:type="dxa" w:w="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Prob.</w:t>
            </w:r>
          </w:p>
        </w:tc>
        <w:tc>
          <w:tcPr>
            <w:tcW w:type="dxa" w:w="63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Mitigation</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Microsoft extends Entra to East-West</w:t>
            </w:r>
          </w:p>
        </w:tc>
        <w:tc>
          <w:tcPr>
            <w:tcW w:type="dxa" w:w="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Low</w:t>
            </w:r>
          </w:p>
        </w:tc>
        <w:tc>
          <w:tcPr>
            <w:tcW w:type="dxa" w:w="6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Entra requires MS tenant. Cross-platform always second-class. Switzerland = structural moat. Patent cross-protocol translation.</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Multi-agent adoption slower</w:t>
            </w:r>
          </w:p>
        </w:tc>
        <w:tc>
          <w:tcPr>
            <w:tcW w:type="dxa" w:w="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Med</w:t>
            </w:r>
          </w:p>
        </w:tc>
        <w:tc>
          <w:tcPr>
            <w:tcW w:type="dxa" w:w="63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Product works for NHI broadly (API keys, service accounts). AI-BOM valuable regardless. Start human-to-agent and agent-to-API.</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Protocol fragmentation</w:t>
            </w:r>
          </w:p>
        </w:tc>
        <w:tc>
          <w:tcPr>
            <w:tcW w:type="dxa" w:w="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High</w:t>
            </w:r>
          </w:p>
        </w:tc>
        <w:tc>
          <w:tcPr>
            <w:tcW w:type="dxa" w:w="6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More fragmentation = more valuable cross-protocol layer. Maintain parity within 30 days of updates.</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CrowdStrike/SGNL expands</w:t>
            </w:r>
          </w:p>
        </w:tc>
        <w:tc>
          <w:tcPr>
            <w:tcW w:type="dxa" w:w="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Low-Med</w:t>
            </w:r>
          </w:p>
        </w:tc>
        <w:tc>
          <w:tcPr>
            <w:tcW w:type="dxa" w:w="63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SGNL = authorization. We = communication. Complementary. Build Falcon integration early.</w:t>
            </w:r>
          </w:p>
        </w:tc>
      </w:tr>
      <w:tr>
        <w:tc>
          <w:tcPr>
            <w:tcW w:type="dxa" w:w="22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Co-founder IP issues</w:t>
            </w:r>
          </w:p>
        </w:tc>
        <w:tc>
          <w:tcPr>
            <w:tcW w:type="dxa" w:w="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Low</w:t>
            </w:r>
          </w:p>
        </w:tc>
        <w:tc>
          <w:tcPr>
            <w:tcW w:type="dxa" w:w="63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IP counsel pre-VC. Co-founder: strategy only, zero code until full-time. All IP with CTO.</w:t>
            </w:r>
          </w:p>
        </w:tc>
      </w:tr>
      <w:tr>
        <w:tc>
          <w:tcPr>
            <w:tcW w:type="dxa" w:w="22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Noma/Zenity pivot to mesh</w:t>
            </w:r>
          </w:p>
        </w:tc>
        <w:tc>
          <w:tcPr>
            <w:tcW w:type="dxa" w:w="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Med</w:t>
            </w:r>
          </w:p>
        </w:tc>
        <w:tc>
          <w:tcPr>
            <w:tcW w:type="dxa" w:w="63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Observability ≠ infrastructure. Rebuilding from scratch. Open-source SDK = switching costs. 12-18mo head start.</w:t>
            </w:r>
          </w:p>
        </w:tc>
      </w:tr>
    </w:tbl>
    <w:p>
      <w:pPr>
        <w:pStyle w:val="Heading2"/>
        <w:spacing w:before="300" w:after="150"/>
      </w:pPr>
      <w:r>
        <w:rPr>
          <w:rFonts w:ascii="Arial" w:cs="Arial" w:eastAsia="Arial" w:hAnsi="Arial"/>
          <w:b/>
          <w:bCs/>
          <w:color w:val="2E5090"/>
          <w:sz w:val="26"/>
          <w:szCs w:val="26"/>
        </w:rPr>
        <w:t xml:space="preserve">Patent Strategy (6 months post-seed)</w:t>
      </w:r>
    </w:p>
    <w:p>
      <w:pPr>
        <w:spacing w:after="120" w:line="276" w:before="0"/>
        <w:jc w:val="left"/>
      </w:pPr>
      <w:r>
        <w:rPr>
          <w:rFonts w:ascii="Arial" w:cs="Arial" w:eastAsia="Arial" w:hAnsi="Arial"/>
          <w:b/>
          <w:bCs/>
          <w:color w:val="1A1A1A"/>
          <w:sz w:val="20"/>
          <w:szCs w:val="20"/>
        </w:rPr>
        <w:t xml:space="preserve">Priority: </w:t>
      </w:r>
      <w:r>
        <w:rPr>
          <w:rFonts w:ascii="Arial" w:cs="Arial" w:eastAsia="Arial" w:hAnsi="Arial"/>
          <w:color w:val="1A1A1A"/>
          <w:sz w:val="20"/>
          <w:szCs w:val="20"/>
        </w:rPr>
        <w:t xml:space="preserve">(1) Semantic trust scoring. (2) Cross-protocol trust translation. (3) Agent intent verification. (4) Dynamic trust topology. (5) Trust degradation/recovery. Budget: $150-200K. Critical for M&amp;A.</w:t>
      </w:r>
    </w:p>
    <w:p>
      <w:r>
        <w:br w:type="page"/>
      </w:r>
    </w:p>
    <w:p>
      <w:pPr>
        <w:pStyle w:val="Heading1"/>
        <w:spacing w:before="400" w:after="200"/>
      </w:pPr>
      <w:r>
        <w:rPr>
          <w:rFonts w:ascii="Arial" w:cs="Arial" w:eastAsia="Arial" w:hAnsi="Arial"/>
          <w:b/>
          <w:bCs/>
          <w:color w:val="1B2A4A"/>
          <w:sz w:val="32"/>
          <w:szCs w:val="32"/>
        </w:rPr>
        <w:t xml:space="preserve">13. Exit Paths</w:t>
      </w:r>
    </w:p>
    <w:p>
      <w:pPr>
        <w:pStyle w:val="Heading2"/>
        <w:spacing w:before="300" w:after="150"/>
      </w:pPr>
      <w:r>
        <w:rPr>
          <w:rFonts w:ascii="Arial" w:cs="Arial" w:eastAsia="Arial" w:hAnsi="Arial"/>
          <w:b/>
          <w:bCs/>
          <w:color w:val="2E5090"/>
          <w:sz w:val="26"/>
          <w:szCs w:val="26"/>
        </w:rPr>
        <w:t xml:space="preserve">13.1 Most Likely Acquirers</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00"/>
        <w:gridCol w:w="5300"/>
        <w:gridCol w:w="2560"/>
      </w:tblGrid>
      <w:tr>
        <w:trPr>
          <w:tblHeader/>
        </w:trPr>
        <w:tc>
          <w:tcPr>
            <w:tcW w:type="dxa" w:w="15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Acquirer</w:t>
            </w:r>
          </w:p>
        </w:tc>
        <w:tc>
          <w:tcPr>
            <w:tcW w:type="dxa" w:w="53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Fit</w:t>
            </w:r>
          </w:p>
        </w:tc>
        <w:tc>
          <w:tcPr>
            <w:tcW w:type="dxa" w:w="2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Comparable</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CrowdStrike</w:t>
            </w:r>
          </w:p>
        </w:tc>
        <w:tc>
          <w:tcPr>
            <w:tcW w:type="dxa" w:w="53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$740M for SGNL (auth). Agent trust = next acquisition. SGNL North-South + our East-West = complete stack.</w:t>
            </w:r>
          </w:p>
        </w:tc>
        <w:tc>
          <w:tcPr>
            <w:tcW w:type="dxa" w:w="2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SGNL: $740M</w:t>
            </w:r>
          </w:p>
        </w:tc>
      </w:tr>
      <w:tr>
        <w:tc>
          <w:tcPr>
            <w:tcW w:type="dxa" w:w="15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Palo Alto</w:t>
            </w:r>
          </w:p>
        </w:tc>
        <w:tc>
          <w:tcPr>
            <w:tcW w:type="dxa" w:w="53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Protect AI (~$650M) + CyberArk ($25B). Still lacks inter-agent comms.</w:t>
            </w:r>
          </w:p>
        </w:tc>
        <w:tc>
          <w:tcPr>
            <w:tcW w:type="dxa" w:w="2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Protect AI: $650M</w:t>
            </w:r>
          </w:p>
        </w:tc>
      </w:tr>
      <w:tr>
        <w:tc>
          <w:tcPr>
            <w:tcW w:type="dxa" w:w="15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Cisco</w:t>
            </w:r>
          </w:p>
        </w:tc>
        <w:tc>
          <w:tcPr>
            <w:tcW w:type="dxa" w:w="53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Duo ($2.35B) + Splunk ($28B). Agent mesh = "secure networking" DNA.</w:t>
            </w:r>
          </w:p>
        </w:tc>
        <w:tc>
          <w:tcPr>
            <w:tcW w:type="dxa" w:w="2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Duo: $2.35B</w:t>
            </w:r>
          </w:p>
        </w:tc>
      </w:tr>
    </w:tbl>
    <w:p>
      <w:pPr>
        <w:spacing w:before="80" w:after="0"/>
      </w:pPr>
    </w:p>
    <w:p>
      <w:pPr>
        <w:spacing w:after="120" w:line="276" w:before="0"/>
        <w:jc w:val="left"/>
      </w:pPr>
      <w:r>
        <w:rPr>
          <w:rFonts w:ascii="Arial" w:cs="Arial" w:eastAsia="Arial" w:hAnsi="Arial"/>
          <w:b/>
          <w:bCs/>
          <w:color w:val="1A1A1A"/>
          <w:sz w:val="20"/>
          <w:szCs w:val="20"/>
        </w:rPr>
        <w:t xml:space="preserve">Multiples: </w:t>
      </w:r>
      <w:r>
        <w:rPr>
          <w:rFonts w:ascii="Arial" w:cs="Arial" w:eastAsia="Arial" w:hAnsi="Arial"/>
          <w:color w:val="1A1A1A"/>
          <w:sz w:val="20"/>
          <w:szCs w:val="20"/>
        </w:rPr>
        <w:t xml:space="preserve">Cyber M&amp;A: 21.7x avg, 35.5x competitive. At $50M ARR × 25x = $1.25B. SGNL at $740M with &lt;$20M ARR shows strategic premium.</w:t>
      </w:r>
    </w:p>
    <w:p>
      <w:r>
        <w:br w:type="page"/>
      </w:r>
    </w:p>
    <w:p>
      <w:pPr>
        <w:pStyle w:val="Heading1"/>
        <w:spacing w:before="400" w:after="200"/>
      </w:pPr>
      <w:r>
        <w:rPr>
          <w:rFonts w:ascii="Arial" w:cs="Arial" w:eastAsia="Arial" w:hAnsi="Arial"/>
          <w:b/>
          <w:bCs/>
          <w:color w:val="1B2A4A"/>
          <w:sz w:val="32"/>
          <w:szCs w:val="32"/>
        </w:rPr>
        <w:t xml:space="preserve">14. 90-Day Execution Sprint</w:t>
      </w:r>
    </w:p>
    <w:p>
      <w:pPr>
        <w:pStyle w:val="Heading2"/>
        <w:spacing w:before="300" w:after="150"/>
      </w:pPr>
      <w:r>
        <w:rPr>
          <w:rFonts w:ascii="Arial" w:cs="Arial" w:eastAsia="Arial" w:hAnsi="Arial"/>
          <w:b/>
          <w:bCs/>
          <w:color w:val="2E5090"/>
          <w:sz w:val="26"/>
          <w:szCs w:val="26"/>
        </w:rPr>
        <w:t xml:space="preserve">Days 1-30: Foundation</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tblHeader/>
        </w:trPr>
        <w:tc>
          <w:tcPr>
            <w:tcW w:type="dxa" w:w="1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Track</w:t>
            </w:r>
          </w:p>
        </w:tc>
        <w:tc>
          <w:tcPr>
            <w:tcW w:type="dxa" w:w="7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Actions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Legal</w:t>
            </w:r>
          </w:p>
        </w:tc>
        <w:tc>
          <w:tcPr>
            <w:tcW w:type="dxa" w:w="7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Incorporate Israel. IP attorney on co-founder MS agreement. Register domain.</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Fundraising</w:t>
            </w:r>
          </w:p>
        </w:tc>
        <w:tc>
          <w:tcPr>
            <w:tcW w:type="dxa" w:w="7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Pre-Seed SAFE ($1.5-2.5M). Apply MS Founders Hub ($150K credits).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Product</w:t>
            </w:r>
          </w:p>
        </w:tc>
        <w:tc>
          <w:tcPr>
            <w:tcW w:type="dxa" w:w="7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Extend PoC to MCP + A2A. Build 5-min cross-platform demo.</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Thought Leadership</w:t>
            </w:r>
          </w:p>
        </w:tc>
        <w:tc>
          <w:tcPr>
            <w:tcW w:type="dxa" w:w="7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Submit NIST RFI response. First article on agent trust gaps.</w:t>
            </w:r>
          </w:p>
        </w:tc>
      </w:tr>
    </w:tbl>
    <w:p>
      <w:pPr>
        <w:pStyle w:val="Heading2"/>
        <w:spacing w:before="300" w:after="150"/>
      </w:pPr>
      <w:r>
        <w:rPr>
          <w:rFonts w:ascii="Arial" w:cs="Arial" w:eastAsia="Arial" w:hAnsi="Arial"/>
          <w:b/>
          <w:bCs/>
          <w:color w:val="2E5090"/>
          <w:sz w:val="26"/>
          <w:szCs w:val="26"/>
        </w:rPr>
        <w:t xml:space="preserve">Days 31-60: Build &amp; Reach</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tblHeader/>
        </w:trPr>
        <w:tc>
          <w:tcPr>
            <w:tcW w:type="dxa" w:w="1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Track</w:t>
            </w:r>
          </w:p>
        </w:tc>
        <w:tc>
          <w:tcPr>
            <w:tcW w:type="dxa" w:w="7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Actions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Product</w:t>
            </w:r>
          </w:p>
        </w:tc>
        <w:tc>
          <w:tcPr>
            <w:tcW w:type="dxa" w:w="7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Build AI-BOM SDK (Apache 2.0). Cross-platform demo: Copilot Studio ↔ Google A2A.</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Fundraising</w:t>
            </w:r>
          </w:p>
        </w:tc>
        <w:tc>
          <w:tcPr>
            <w:tcW w:type="dxa" w:w="7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Submit Cyberstarts + YL. Cold-email Glilot with demo. 10-15 VC meetings.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Hiring</w:t>
            </w:r>
          </w:p>
        </w:tc>
        <w:tc>
          <w:tcPr>
            <w:tcW w:type="dxa" w:w="7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First security researcher (8200/81 preferred).</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Partners</w:t>
            </w:r>
          </w:p>
        </w:tc>
        <w:tc>
          <w:tcPr>
            <w:tcW w:type="dxa" w:w="7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Approach 3 Israeli enterprises (fintech + MS ecosystem).</w:t>
            </w:r>
          </w:p>
        </w:tc>
      </w:tr>
    </w:tbl>
    <w:p>
      <w:pPr>
        <w:pStyle w:val="Heading2"/>
        <w:spacing w:before="300" w:after="150"/>
      </w:pPr>
      <w:r>
        <w:rPr>
          <w:rFonts w:ascii="Arial" w:cs="Arial" w:eastAsia="Arial" w:hAnsi="Arial"/>
          <w:b/>
          <w:bCs/>
          <w:color w:val="2E5090"/>
          <w:sz w:val="26"/>
          <w:szCs w:val="26"/>
        </w:rPr>
        <w:t xml:space="preserve">Days 61-90: Validate &amp; Protect</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tblHeader/>
        </w:trPr>
        <w:tc>
          <w:tcPr>
            <w:tcW w:type="dxa" w:w="1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Track</w:t>
            </w:r>
          </w:p>
        </w:tc>
        <w:tc>
          <w:tcPr>
            <w:tcW w:type="dxa" w:w="7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Actions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Product</w:t>
            </w:r>
          </w:p>
        </w:tc>
        <w:tc>
          <w:tcPr>
            <w:tcW w:type="dxa" w:w="7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Demo discovery MVP to 3 CISOs (financial services). Iterate.</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IP</w:t>
            </w:r>
          </w:p>
        </w:tc>
        <w:tc>
          <w:tcPr>
            <w:tcW w:type="dxa" w:w="7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File provisional patent: cross-protocol trust translation.</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Partners</w:t>
            </w:r>
          </w:p>
        </w:tc>
        <w:tc>
          <w:tcPr>
            <w:tcW w:type="dxa" w:w="7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Lock 2-3 design partners for beta. First paid: month 6-8.</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Certs</w:t>
            </w:r>
          </w:p>
        </w:tc>
        <w:tc>
          <w:tcPr>
            <w:tcW w:type="dxa" w:w="7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Begin SOC 2 Type I ($15-50K via Vanta/Drata). Target: month 8.</w:t>
            </w:r>
          </w:p>
        </w:tc>
      </w:tr>
    </w:tbl>
    <w:p>
      <w:pPr>
        <w:spacing w:before="12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
        <w:gridCol w:w="9240"/>
      </w:tblGrid>
      <w:tr>
        <w:tc>
          <w:tcPr>
            <w:tcW w:type="dxa" w:w="120"/>
            <w:tcBorders>
              <w:top w:val="none" w:color="FFFFFF" w:sz="0"/>
              <w:left w:val="single" w:color="2D8659" w:sz="6"/>
              <w:bottom w:val="none" w:color="FFFFFF" w:sz="0"/>
              <w:right w:val="none" w:color="FFFFFF" w:sz="0"/>
            </w:tcBorders>
            <w:shd w:fill="E8F5EE" w:val="clear"/>
          </w:tcPr>
          <w:p/>
        </w:tc>
        <w:tc>
          <w:tcPr>
            <w:tcW w:type="dxa" w:w="9240"/>
            <w:tcBorders>
              <w:top w:val="none" w:color="FFFFFF" w:sz="0"/>
              <w:left w:val="none" w:color="FFFFFF" w:sz="0"/>
              <w:bottom w:val="none" w:color="FFFFFF" w:sz="0"/>
              <w:right w:val="none" w:color="FFFFFF" w:sz="0"/>
            </w:tcBorders>
            <w:shd w:fill="E8F5EE" w:val="clear"/>
            <w:tcMar>
              <w:top w:type="dxa" w:w="120"/>
              <w:left w:type="dxa" w:w="160"/>
              <w:bottom w:type="dxa" w:w="120"/>
              <w:right w:type="dxa" w:w="160"/>
            </w:tcMar>
          </w:tcPr>
          <w:p>
            <w:pPr>
              <w:spacing w:after="60"/>
            </w:pPr>
            <w:r>
              <w:rPr>
                <w:rFonts w:ascii="Arial" w:cs="Arial" w:eastAsia="Arial" w:hAnsi="Arial"/>
                <w:b/>
                <w:bCs/>
                <w:color w:val="2D8659"/>
                <w:sz w:val="20"/>
                <w:szCs w:val="20"/>
              </w:rPr>
              <w:t xml:space="preserve">SEED MILESTONES (MONTHS 4-18)</w:t>
            </w:r>
          </w:p>
          <w:p>
            <w:pPr>
              <w:spacing w:after="30" w:line="276" w:before="0"/>
              <w:jc w:val="left"/>
            </w:pPr>
            <w:r>
              <w:rPr>
                <w:rFonts w:ascii="Arial" w:cs="Arial" w:eastAsia="Arial" w:hAnsi="Arial"/>
                <w:b/>
                <w:bCs/>
                <w:color w:val="1A1A1A"/>
                <w:sz w:val="20"/>
                <w:szCs w:val="20"/>
              </w:rPr>
              <w:t xml:space="preserve">M4-8: </w:t>
            </w:r>
            <w:r>
              <w:rPr>
                <w:rFonts w:ascii="Arial" w:cs="Arial" w:eastAsia="Arial" w:hAnsi="Arial"/>
                <w:color w:val="1A1A1A"/>
                <w:sz w:val="20"/>
                <w:szCs w:val="20"/>
              </w:rPr>
              <w:t xml:space="preserve">Private beta, 3-5 partners, SDK alpha.</w:t>
            </w:r>
          </w:p>
          <w:p>
            <w:pPr>
              <w:spacing w:after="30" w:line="276" w:before="0"/>
              <w:jc w:val="left"/>
            </w:pPr>
            <w:r>
              <w:rPr>
                <w:rFonts w:ascii="Arial" w:cs="Arial" w:eastAsia="Arial" w:hAnsi="Arial"/>
                <w:b/>
                <w:bCs/>
                <w:color w:val="1A1A1A"/>
                <w:sz w:val="20"/>
                <w:szCs w:val="20"/>
              </w:rPr>
              <w:t xml:space="preserve">M6-8: </w:t>
            </w:r>
            <w:r>
              <w:rPr>
                <w:rFonts w:ascii="Arial" w:cs="Arial" w:eastAsia="Arial" w:hAnsi="Arial"/>
                <w:color w:val="1A1A1A"/>
                <w:sz w:val="20"/>
                <w:szCs w:val="20"/>
              </w:rPr>
              <w:t xml:space="preserve">First paid design partner.</w:t>
            </w:r>
          </w:p>
          <w:p>
            <w:pPr>
              <w:spacing w:after="30" w:line="276" w:before="0"/>
              <w:jc w:val="left"/>
            </w:pPr>
            <w:r>
              <w:rPr>
                <w:rFonts w:ascii="Arial" w:cs="Arial" w:eastAsia="Arial" w:hAnsi="Arial"/>
                <w:b/>
                <w:bCs/>
                <w:color w:val="1A1A1A"/>
                <w:sz w:val="20"/>
                <w:szCs w:val="20"/>
              </w:rPr>
              <w:t xml:space="preserve">M8-12: </w:t>
            </w:r>
            <w:r>
              <w:rPr>
                <w:rFonts w:ascii="Arial" w:cs="Arial" w:eastAsia="Arial" w:hAnsi="Arial"/>
                <w:color w:val="1A1A1A"/>
                <w:sz w:val="20"/>
                <w:szCs w:val="20"/>
              </w:rPr>
              <w:t xml:space="preserve">GA v1.0. 5-10 paying customers. ~$300-500K ARR.</w:t>
            </w:r>
          </w:p>
          <w:p>
            <w:pPr>
              <w:spacing w:after="120" w:line="276" w:before="0"/>
              <w:jc w:val="left"/>
            </w:pPr>
            <w:r>
              <w:rPr>
                <w:rFonts w:ascii="Arial" w:cs="Arial" w:eastAsia="Arial" w:hAnsi="Arial"/>
                <w:b/>
                <w:bCs/>
                <w:color w:val="1A1A1A"/>
                <w:sz w:val="20"/>
                <w:szCs w:val="20"/>
              </w:rPr>
              <w:t xml:space="preserve">M12-18: </w:t>
            </w:r>
            <w:r>
              <w:rPr>
                <w:rFonts w:ascii="Arial" w:cs="Arial" w:eastAsia="Arial" w:hAnsi="Arial"/>
                <w:color w:val="1A1A1A"/>
                <w:sz w:val="20"/>
                <w:szCs w:val="20"/>
              </w:rPr>
              <w:t xml:space="preserve">Cross-platform. 15-25 customers. $1-2M ARR. CPO joins full-time.</w:t>
            </w:r>
          </w:p>
        </w:tc>
      </w:tr>
    </w:tbl>
    <w:p>
      <w:r>
        <w:br w:type="page"/>
      </w:r>
    </w:p>
    <w:p>
      <w:pPr>
        <w:pStyle w:val="Heading1"/>
        <w:spacing w:before="400" w:after="200"/>
      </w:pPr>
      <w:r>
        <w:rPr>
          <w:rFonts w:ascii="Arial" w:cs="Arial" w:eastAsia="Arial" w:hAnsi="Arial"/>
          <w:b/>
          <w:bCs/>
          <w:color w:val="1B2A4A"/>
          <w:sz w:val="32"/>
          <w:szCs w:val="32"/>
        </w:rPr>
        <w:t xml:space="preserve">15. Naming &amp; Category Positioning</w:t>
      </w:r>
    </w:p>
    <w:p>
      <w:pPr>
        <w:pStyle w:val="Heading2"/>
        <w:spacing w:before="300" w:after="150"/>
      </w:pPr>
      <w:r>
        <w:rPr>
          <w:rFonts w:ascii="Arial" w:cs="Arial" w:eastAsia="Arial" w:hAnsi="Arial"/>
          <w:b/>
          <w:bCs/>
          <w:color w:val="2E5090"/>
          <w:sz w:val="26"/>
          <w:szCs w:val="26"/>
        </w:rPr>
        <w:t xml:space="preserve">15.1 Name Options</w:t>
      </w:r>
    </w:p>
    <w:p>
      <w:pPr>
        <w:spacing w:before="6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000"/>
        <w:gridCol w:w="5560"/>
      </w:tblGrid>
      <w:tr>
        <w:trPr>
          <w:tblHeader/>
        </w:trPr>
        <w:tc>
          <w:tcPr>
            <w:tcW w:type="dxa" w:w="18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Name</w:t>
            </w:r>
          </w:p>
        </w:tc>
        <w:tc>
          <w:tcPr>
            <w:tcW w:type="dxa" w:w="200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Origin</w:t>
            </w:r>
          </w:p>
        </w:tc>
        <w:tc>
          <w:tcPr>
            <w:tcW w:type="dxa" w:w="5560"/>
            <w:tcBorders>
              <w:top w:val="single" w:color="D0D5DD" w:sz="1"/>
              <w:left w:val="single" w:color="D0D5DD" w:sz="1"/>
              <w:bottom w:val="single" w:color="D0D5DD" w:sz="1"/>
              <w:right w:val="single" w:color="D0D5DD" w:sz="1"/>
            </w:tcBorders>
            <w:shd w:fill="1B2A4A" w:val="clear"/>
            <w:tcMar>
              <w:top w:type="dxa" w:w="80"/>
              <w:left w:type="dxa" w:w="120"/>
              <w:bottom w:type="dxa" w:w="80"/>
              <w:right w:type="dxa" w:w="120"/>
            </w:tcMar>
          </w:tcPr>
          <w:p>
            <w:r>
              <w:rPr>
                <w:rFonts w:ascii="Arial" w:cs="Arial" w:eastAsia="Arial" w:hAnsi="Arial"/>
                <w:b/>
                <w:bCs/>
                <w:color w:val="FFFFFF"/>
                <w:sz w:val="18"/>
                <w:szCs w:val="18"/>
              </w:rPr>
              <w:t xml:space="preserve">Strengths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Trusera</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Trust + Era</w:t>
            </w:r>
          </w:p>
        </w:tc>
        <w:tc>
          <w:tcPr>
            <w:tcW w:type="dxa" w:w="5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Sounds established. Easy US pronunciation. New era of trust.</w:t>
            </w:r>
          </w:p>
        </w:tc>
      </w:tr>
      <w:tr>
        <w:tc>
          <w:tcPr>
            <w:tcW w:type="dxa" w:w="18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Verimesh</w:t>
            </w:r>
          </w:p>
        </w:tc>
        <w:tc>
          <w:tcPr>
            <w:tcW w:type="dxa" w:w="200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Verify + Mesh</w:t>
            </w:r>
          </w:p>
        </w:tc>
        <w:tc>
          <w:tcPr>
            <w:tcW w:type="dxa" w:w="5560"/>
            <w:tcBorders>
              <w:top w:val="single" w:color="D0D5DD" w:sz="1"/>
              <w:left w:val="single" w:color="D0D5DD" w:sz="1"/>
              <w:bottom w:val="single" w:color="D0D5DD" w:sz="1"/>
              <w:right w:val="single" w:color="D0D5DD" w:sz="1"/>
            </w:tcBorders>
            <w:shd w:fill="F2F4F7" w:val="clear"/>
            <w:tcMar>
              <w:top w:type="dxa" w:w="80"/>
              <w:left w:type="dxa" w:w="120"/>
              <w:bottom w:type="dxa" w:w="80"/>
              <w:right w:type="dxa" w:w="120"/>
            </w:tcMar>
          </w:tcPr>
          <w:p>
            <w:pPr>
              <w:spacing w:line="260"/>
            </w:pPr>
            <w:r>
              <w:rPr>
                <w:rFonts w:ascii="Arial" w:cs="Arial" w:eastAsia="Arial" w:hAnsi="Arial"/>
                <w:color w:val="1A1A1A"/>
                <w:sz w:val="18"/>
                <w:szCs w:val="18"/>
              </w:rPr>
              <w:t xml:space="preserve">Describes product. Resonates with platform engineers.</w:t>
            </w:r>
          </w:p>
        </w:tc>
      </w:tr>
      <w:tr>
        <w:tc>
          <w:tcPr>
            <w:tcW w:type="dxa" w:w="18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Interlock AI</w:t>
            </w:r>
          </w:p>
        </w:tc>
        <w:tc>
          <w:tcPr>
            <w:tcW w:type="dxa" w:w="200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Mutual trust</w:t>
            </w:r>
          </w:p>
        </w:tc>
        <w:tc>
          <w:tcPr>
            <w:tcW w:type="dxa" w:w="5560"/>
            <w:tcBorders>
              <w:top w:val="single" w:color="D0D5DD" w:sz="1"/>
              <w:left w:val="single" w:color="D0D5DD" w:sz="1"/>
              <w:bottom w:val="single" w:color="D0D5DD" w:sz="1"/>
              <w:right w:val="single" w:color="D0D5DD" w:sz="1"/>
            </w:tcBorders>
            <w:shd w:fill="FFFFFF" w:val="clear"/>
            <w:tcMar>
              <w:top w:type="dxa" w:w="80"/>
              <w:left w:type="dxa" w:w="120"/>
              <w:bottom w:type="dxa" w:w="80"/>
              <w:right w:type="dxa" w:w="120"/>
            </w:tcMar>
          </w:tcPr>
          <w:p>
            <w:pPr>
              <w:spacing w:line="260"/>
            </w:pPr>
            <w:r>
              <w:rPr>
                <w:rFonts w:ascii="Arial" w:cs="Arial" w:eastAsia="Arial" w:hAnsi="Arial"/>
                <w:color w:val="1A1A1A"/>
                <w:sz w:val="18"/>
                <w:szCs w:val="18"/>
              </w:rPr>
              <w:t xml:space="preserve">Strong connotation. Clean. Enterprise-ready.</w:t>
            </w:r>
          </w:p>
        </w:tc>
      </w:tr>
    </w:tbl>
    <w:p>
      <w:pPr>
        <w:pStyle w:val="Heading2"/>
        <w:spacing w:before="300" w:after="150"/>
      </w:pPr>
      <w:r>
        <w:rPr>
          <w:rFonts w:ascii="Arial" w:cs="Arial" w:eastAsia="Arial" w:hAnsi="Arial"/>
          <w:b/>
          <w:bCs/>
          <w:color w:val="2E5090"/>
          <w:sz w:val="26"/>
          <w:szCs w:val="26"/>
        </w:rPr>
        <w:t xml:space="preserve">15.2 Category Positioning</w:t>
      </w:r>
    </w:p>
    <w:p>
      <w:pPr>
        <w:spacing w:after="120" w:line="276" w:before="0"/>
        <w:jc w:val="left"/>
      </w:pPr>
      <w:r>
        <w:rPr>
          <w:rFonts w:ascii="Arial" w:cs="Arial" w:eastAsia="Arial" w:hAnsi="Arial"/>
          <w:b/>
          <w:bCs/>
          <w:color w:val="1A1A1A"/>
          <w:sz w:val="20"/>
          <w:szCs w:val="20"/>
        </w:rPr>
        <w:t xml:space="preserve">Core: </w:t>
      </w:r>
      <w:r>
        <w:rPr>
          <w:rFonts w:ascii="Arial" w:cs="Arial" w:eastAsia="Arial" w:hAnsi="Arial"/>
          <w:color w:val="1A1A1A"/>
          <w:sz w:val="20"/>
          <w:szCs w:val="20"/>
        </w:rPr>
        <w:t xml:space="preserve">"The trust infrastructure layer for the multi-agent enterprise."</w:t>
      </w:r>
    </w:p>
    <w:p>
      <w:pPr>
        <w:spacing w:after="120" w:line="276" w:before="0"/>
        <w:jc w:val="left"/>
      </w:pPr>
      <w:r>
        <w:rPr>
          <w:rFonts w:ascii="Arial" w:cs="Arial" w:eastAsia="Arial" w:hAnsi="Arial"/>
          <w:b/>
          <w:bCs/>
          <w:color w:val="1A1A1A"/>
          <w:sz w:val="20"/>
          <w:szCs w:val="20"/>
        </w:rPr>
        <w:t xml:space="preserve">Analogy: </w:t>
      </w:r>
      <w:r>
        <w:rPr>
          <w:rFonts w:ascii="Arial" w:cs="Arial" w:eastAsia="Arial" w:hAnsi="Arial"/>
          <w:color w:val="1A1A1A"/>
          <w:sz w:val="20"/>
          <w:szCs w:val="20"/>
        </w:rPr>
        <w:t xml:space="preserve">"Istio for AI agents." Just as Istio became trust for microservices, enterprises need trust infrastructure for agent communication.</w:t>
      </w:r>
    </w:p>
    <w:p>
      <w:pPr>
        <w:spacing w:after="120" w:line="276" w:before="0"/>
        <w:jc w:val="left"/>
      </w:pPr>
      <w:r>
        <w:rPr>
          <w:rFonts w:ascii="Arial" w:cs="Arial" w:eastAsia="Arial" w:hAnsi="Arial"/>
          <w:b/>
          <w:bCs/>
          <w:color w:val="1A1A1A"/>
          <w:sz w:val="20"/>
          <w:szCs w:val="20"/>
        </w:rPr>
        <w:t xml:space="preserve">Category: Agentic Service Mesh. </w:t>
      </w:r>
      <w:r>
        <w:rPr>
          <w:rFonts w:ascii="Arial" w:cs="Arial" w:eastAsia="Arial" w:hAnsi="Arial"/>
          <w:color w:val="1A1A1A"/>
          <w:sz w:val="20"/>
          <w:szCs w:val="20"/>
        </w:rPr>
        <w:t xml:space="preserve">Own this term everywhere. Category creation = strongest moat (Wiz, Axonius, Island proved it).</w:t>
      </w:r>
    </w:p>
    <w:p>
      <w:pPr>
        <w:spacing w:before="300"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200"/>
              <w:left w:type="dxa" w:w="300"/>
              <w:bottom w:type="dxa" w:w="200"/>
              <w:right w:type="dxa" w:w="300"/>
            </w:tcMar>
          </w:tcPr>
          <w:p>
            <w:pPr>
              <w:spacing w:after="60"/>
              <w:jc w:val="center"/>
            </w:pPr>
            <w:r>
              <w:rPr>
                <w:rFonts w:ascii="Arial" w:cs="Arial" w:eastAsia="Arial" w:hAnsi="Arial"/>
                <w:b/>
                <w:bCs/>
                <w:color w:val="FFFFFF"/>
                <w:sz w:val="28"/>
                <w:szCs w:val="28"/>
              </w:rPr>
              <w:t xml:space="preserve">Execute Now.</w:t>
            </w:r>
          </w:p>
          <w:p>
            <w:pPr>
              <w:spacing w:after="0"/>
              <w:jc w:val="center"/>
            </w:pPr>
            <w:r>
              <w:rPr>
                <w:rFonts w:ascii="Arial" w:cs="Arial" w:eastAsia="Arial" w:hAnsi="Arial"/>
                <w:i/>
                <w:iCs/>
                <w:color w:val="A0B4D0"/>
                <w:sz w:val="20"/>
                <w:szCs w:val="20"/>
              </w:rPr>
              <w:t xml:space="preserve">The window is 6-18 months. The PoC exists. The market is ready. The team is right.</w:t>
            </w:r>
          </w:p>
        </w:tc>
      </w:tr>
    </w:tbl>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6"/>
        <w:szCs w:val="16"/>
      </w:rPr>
      <w:t xml:space="preserve">Page </w:t>
    </w:r>
    <w:r>
      <w:rPr>
        <w:rFonts w:ascii="Arial" w:cs="Arial" w:eastAsia="Arial" w:hAnsi="Arial"/>
        <w:color w:val="66666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666666"/>
        <w:sz w:val="16"/>
        <w:szCs w:val="16"/>
      </w:rPr>
      <w:t xml:space="preserve">TRUSERA — 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1B2A4A"/>
      <w:sz w:val="32"/>
      <w:szCs w:val="32"/>
    </w:rPr>
  </w:style>
  <w:style w:type="paragraph" w:styleId="Heading2">
    <w:name w:val="Heading 2"/>
    <w:basedOn w:val="Normal"/>
    <w:next w:val="Normal"/>
    <w:qFormat/>
    <w:pPr>
      <w:spacing w:before="300" w:after="150"/>
      <w:outlineLvl w:val="1"/>
    </w:pPr>
    <w:rPr>
      <w:rFonts w:ascii="Arial" w:cs="Arial" w:eastAsia="Arial" w:hAnsi="Arial"/>
      <w:b/>
      <w:bCs/>
      <w:color w:val="2E5090"/>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2026-02-07T18:22:18.333Z</dcterms:created>
  <dcterms:modified xsi:type="dcterms:W3CDTF">2026-02-07T18:22:18.334Z</dcterms:modified>
</cp:coreProperties>
</file>

<file path=docProps/custom.xml><?xml version="1.0" encoding="utf-8"?>
<Properties xmlns="http://schemas.openxmlformats.org/officeDocument/2006/custom-properties" xmlns:vt="http://schemas.openxmlformats.org/officeDocument/2006/docPropsVTypes"/>
</file>