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600" w:after="80" w:line="276" w:lineRule="auto"/>
      </w:pPr>
      <w:r>
        <w:rPr>
          <w:rFonts w:ascii="Arial" w:hAnsi="Arial"/>
          <w:b/>
          <w:i w:val="0"/>
          <w:color w:val="1A365D"/>
          <w:sz w:val="44"/>
        </w:rPr>
        <w:t>Competitive Intelligence &amp; Gap Analysis</w:t>
      </w:r>
    </w:p>
    <w:p>
      <w:pPr>
        <w:spacing w:before="0" w:after="400" w:line="276" w:lineRule="auto"/>
      </w:pPr>
      <w:r>
        <w:rPr>
          <w:rFonts w:ascii="Arial" w:hAnsi="Arial"/>
          <w:b/>
          <w:i w:val="0"/>
          <w:color w:val="2B6CB0"/>
          <w:sz w:val="26"/>
        </w:rPr>
        <w:t>Golden-Standard Internal Product Roadmap Supplement  —  May 2026</w:t>
      </w:r>
    </w:p>
    <w:p>
      <w:pPr>
        <w:keepNext/>
        <w:spacing w:before="320" w:after="120" w:line="276" w:lineRule="auto"/>
      </w:pPr>
      <w:r>
        <w:rPr>
          <w:rFonts w:ascii="Arial" w:hAnsi="Arial"/>
          <w:b/>
          <w:i w:val="0"/>
          <w:color w:val="1A365D"/>
          <w:sz w:val="30"/>
        </w:rPr>
        <w:t>Executive Summary</w:t>
      </w:r>
    </w:p>
    <w:p>
      <w:pPr>
        <w:spacing w:before="0" w:after="80" w:line="276" w:lineRule="auto"/>
      </w:pPr>
      <w:r>
        <w:rPr>
          <w:rFonts w:ascii="Arial" w:hAnsi="Arial"/>
          <w:b w:val="0"/>
          <w:i w:val="0"/>
          <w:color w:val="2D3748"/>
          <w:sz w:val="20"/>
        </w:rPr>
        <w:t>MeshFlow is the only agentic framework that combines enterprise-grade compliance, systematic cost governance, and production-durable multi-agent orchestration in a single open-source layer. No competitor covers all three.</w:t>
      </w:r>
    </w:p>
    <w:p>
      <w:pPr>
        <w:spacing w:before="0" w:after="80" w:line="276" w:lineRule="auto"/>
      </w:pPr>
      <w:r>
        <w:rPr>
          <w:rFonts w:ascii="Arial" w:hAnsi="Arial"/>
          <w:b w:val="0"/>
          <w:i w:val="0"/>
          <w:color w:val="2D3748"/>
          <w:sz w:val="20"/>
        </w:rPr>
        <w:t>This document deepens the competitive analysis across six frameworks — LangGraph, CrewAI, AutoGen, Dify, Flowise, and Haystack — and adds five new intelligence layers: win/loss signals, pricing &amp; TCO, threat trajectory, buyer persona prioritization, and a risk register. The goal is to arm product, engineering, and sales with everything needed for the next two sprint planning cycles.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2E8F0"/>
          <w:bottom w:val="single" w:sz="4" w:space="0" w:color="E2E8F0"/>
          <w:left w:val="none"/>
          <w:right w:val="none"/>
          <w:insideH w:val="single" w:sz="4" w:space="0" w:color="E2E8F0"/>
          <w:insideV w:val="none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4608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Coverage Dimension</w:t>
            </w:r>
          </w:p>
        </w:tc>
        <w:tc>
          <w:tcPr>
            <w:tcW w:type="dxa" w:w="1584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Built ✅</w:t>
            </w:r>
          </w:p>
        </w:tc>
        <w:tc>
          <w:tcPr>
            <w:tcW w:type="dxa" w:w="1584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Partial ⚡</w:t>
            </w:r>
          </w:p>
        </w:tc>
        <w:tc>
          <w:tcPr>
            <w:tcW w:type="dxa" w:w="1584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Missing ✗</w:t>
            </w:r>
          </w:p>
        </w:tc>
      </w:tr>
      <w:tr>
        <w:tc>
          <w:tcPr>
            <w:tcW w:type="dxa" w:w="46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Original (LangGraph / CrewAI / AutoGen)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18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5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21</w:t>
            </w:r>
          </w:p>
        </w:tc>
      </w:tr>
      <w:tr>
        <w:tc>
          <w:tcPr>
            <w:tcW w:type="dxa" w:w="46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After adding Dify / Flowise / Haystack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18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8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29</w:t>
            </w:r>
          </w:p>
        </w:tc>
      </w:tr>
      <w:tr>
        <w:tc>
          <w:tcPr>
            <w:tcW w:type="dxa" w:w="46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MeshFlow unique advantages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13 ★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—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—</w:t>
            </w:r>
          </w:p>
        </w:tc>
      </w:tr>
    </w:tbl>
    <w:p>
      <w:pPr>
        <w:spacing w:before="0" w:after="160" w:line="276" w:lineRule="auto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  <w:shd w:fill="F7FAFC"/>
            <w:tcBorders>
              <w:top w:val="none"/>
              <w:bottom w:val="none"/>
              <w:left w:val="single" w:sz="36" w:space="0" w:color="1A365D"/>
              <w:right w:val="none"/>
            </w:tcBorders>
            <w:tcMar>
              <w:top w:w="100" w:type="dxa"/>
              <w:bottom w:w="100" w:type="dxa"/>
              <w:left w:w="150" w:type="dxa"/>
              <w:right w:w="150" w:type="dxa"/>
            </w:tcMar>
          </w:tcPr>
          <w:p>
            <w:pPr>
              <w:spacing w:before="0" w:after="0" w:line="276" w:lineRule="auto"/>
            </w:pPr>
            <w:r>
              <w:rPr>
                <w:rFonts w:ascii="Arial" w:hAnsi="Arial"/>
                <w:b/>
                <w:i w:val="0"/>
                <w:color w:val="1A365D"/>
                <w:sz w:val="20"/>
              </w:rPr>
              <w:t>MeshFlow Positioning Statement</w:t>
              <w:br/>
            </w:r>
            <w:r>
              <w:rPr>
                <w:rFonts w:ascii="Arial" w:hAnsi="Arial"/>
                <w:b w:val="0"/>
                <w:i/>
                <w:color w:val="2D3748"/>
                <w:sz w:val="20"/>
              </w:rPr>
              <w:t>"MeshFlow is the only agentic framework that is production-safe out of the box — with built-in compliance, token cost governance, durable execution, and audit trails — so engineering teams can ship complex multi-agent systems to regulated enterprise environments without bolting on security, cost controls, or reliability as afterthoughts."</w:t>
              <w:br/>
              <w:br/>
              <w:t>Every section of this document should reinforce this statement. When prioritizing sprint items, ask: does this make MeshFlow more production-safe, more cost-governed, or more durable than any competitor?</w:t>
            </w:r>
          </w:p>
        </w:tc>
      </w:tr>
    </w:tbl>
    <w:p>
      <w:pPr>
        <w:spacing w:before="0" w:after="80" w:line="276" w:lineRule="auto"/>
      </w:pPr>
    </w:p>
    <w:p>
      <w:pPr>
        <w:keepNext/>
        <w:spacing w:before="320" w:after="120" w:line="276" w:lineRule="auto"/>
      </w:pPr>
      <w:r>
        <w:rPr>
          <w:rFonts w:ascii="Arial" w:hAnsi="Arial"/>
          <w:b/>
          <w:i w:val="0"/>
          <w:color w:val="1A365D"/>
          <w:sz w:val="30"/>
        </w:rPr>
        <w:t>Section 1 — Win/Loss Signal Intelligence</w:t>
      </w:r>
    </w:p>
    <w:p>
      <w:pPr>
        <w:spacing w:before="0" w:after="80" w:line="276" w:lineRule="auto"/>
      </w:pPr>
      <w:r>
        <w:rPr>
          <w:rFonts w:ascii="Arial" w:hAnsi="Arial"/>
          <w:b w:val="0"/>
          <w:i w:val="0"/>
          <w:color w:val="2D3748"/>
          <w:sz w:val="20"/>
        </w:rPr>
        <w:t>The following signal layer captures the real-world buying patterns observed across enterprise and developer evaluations. Teams should update this section after every competitive deal — won or lost.</w:t>
      </w: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1.1 Why MeshFlow Wins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2E8F0"/>
          <w:bottom w:val="single" w:sz="4" w:space="0" w:color="E2E8F0"/>
          <w:left w:val="none"/>
          <w:right w:val="none"/>
          <w:insideH w:val="single" w:sz="4" w:space="0" w:color="E2E8F0"/>
          <w:insideV w:val="none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432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Signal / Reason</w:t>
            </w:r>
          </w:p>
        </w:tc>
        <w:tc>
          <w:tcPr>
            <w:tcW w:type="dxa" w:w="1296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Frequency</w:t>
            </w:r>
          </w:p>
        </w:tc>
        <w:tc>
          <w:tcPr>
            <w:tcW w:type="dxa" w:w="1872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Buyer Type</w:t>
            </w:r>
          </w:p>
        </w:tc>
        <w:tc>
          <w:tcPr>
            <w:tcW w:type="dxa" w:w="1872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Competing Framework</w:t>
            </w:r>
          </w:p>
        </w:tc>
      </w:tr>
      <w:tr>
        <w:tc>
          <w:tcPr>
            <w:tcW w:type="dxa" w:w="43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Built-in HIPAA/SOC2 compliance layer — no custom guardrails needed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Enterprise / Healthcare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AutoGen, Dify</w:t>
            </w:r>
          </w:p>
        </w:tc>
      </w:tr>
      <w:tr>
        <w:tc>
          <w:tcPr>
            <w:tcW w:type="dxa" w:w="43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DurableWorkflowExecutor survives crashes without re-running entire pipeline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Engineering Teams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LangGraph, AutoGen</w:t>
            </w:r>
          </w:p>
        </w:tc>
      </w:tr>
      <w:tr>
        <w:tc>
          <w:tcPr>
            <w:tcW w:type="dxa" w:w="43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CostCapGuardrail prevents runaway LLM spend in production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FinOps / Engineering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All</w:t>
            </w:r>
          </w:p>
        </w:tc>
      </w:tr>
      <w:tr>
        <w:tc>
          <w:tcPr>
            <w:tcW w:type="dxa" w:w="43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SHA-256 audit chain satisfies legal/compliance review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Legal / Compliance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Flowise, AutoGen</w:t>
            </w:r>
          </w:p>
        </w:tc>
      </w:tr>
      <w:tr>
        <w:tc>
          <w:tcPr>
            <w:tcW w:type="dxa" w:w="43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MCP Server auto-generation saves weeks of integration work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Platform Teams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All</w:t>
            </w:r>
          </w:p>
        </w:tc>
      </w:tr>
      <w:tr>
        <w:tc>
          <w:tcPr>
            <w:tcW w:type="dxa" w:w="43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21 pre-built specialist agents cut initial build time significantly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Dev Teams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CrewAI, Flowise</w:t>
            </w:r>
          </w:p>
        </w:tc>
      </w:tr>
      <w:tr>
        <w:tc>
          <w:tcPr>
            <w:tcW w:type="dxa" w:w="43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Active sprint cadence vs. AutoGen maintenance mode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Enterprise Evaluators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AutoGen</w:t>
            </w:r>
          </w:p>
        </w:tc>
      </w:tr>
    </w:tbl>
    <w:p>
      <w:pPr>
        <w:spacing w:before="0" w:after="160" w:line="276" w:lineRule="auto"/>
      </w:pP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1.2 Why MeshFlow Loses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2E8F0"/>
          <w:bottom w:val="single" w:sz="4" w:space="0" w:color="E2E8F0"/>
          <w:left w:val="none"/>
          <w:right w:val="none"/>
          <w:insideH w:val="single" w:sz="4" w:space="0" w:color="E2E8F0"/>
          <w:insideV w:val="none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432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Signal / Reason</w:t>
            </w:r>
          </w:p>
        </w:tc>
        <w:tc>
          <w:tcPr>
            <w:tcW w:type="dxa" w:w="1296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Frequency</w:t>
            </w:r>
          </w:p>
        </w:tc>
        <w:tc>
          <w:tcPr>
            <w:tcW w:type="dxa" w:w="1872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Buyer Type</w:t>
            </w:r>
          </w:p>
        </w:tc>
        <w:tc>
          <w:tcPr>
            <w:tcW w:type="dxa" w:w="1872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Gap to Close</w:t>
            </w:r>
          </w:p>
        </w:tc>
      </w:tr>
      <w:tr>
        <w:tc>
          <w:tcPr>
            <w:tcW w:type="dxa" w:w="43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 visual workflow builder — non-technical stakeholders prefer Dify/Flowise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Product / Ops Teams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MermaidJS interactive editor (P2)</w:t>
            </w:r>
          </w:p>
        </w:tc>
      </w:tr>
      <w:tr>
        <w:tc>
          <w:tcPr>
            <w:tcW w:type="dxa" w:w="43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 formal SOC 2 Type II certificate — Dify is certified, MeshFlow is not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Enterprise Security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SOC 2 certification (P3)</w:t>
            </w:r>
          </w:p>
        </w:tc>
      </w:tr>
      <w:tr>
        <w:tc>
          <w:tcPr>
            <w:tcW w:type="dxa" w:w="43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LangSmith's visual trace UI is better for debugging than raw OTEL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Engineering Teams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Lightweight trace viewer (P3)</w:t>
            </w:r>
          </w:p>
        </w:tc>
      </w:tr>
      <w:tr>
        <w:tc>
          <w:tcPr>
            <w:tcW w:type="dxa" w:w="43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Haystack RAG depth (LLMRanker, self-correction) is more mature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ML Engineers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RAG parity sprint (P2)</w:t>
            </w:r>
          </w:p>
        </w:tc>
      </w:tr>
      <w:tr>
        <w:tc>
          <w:tcPr>
            <w:tcW w:type="dxa" w:w="43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 public agent registry — CrewAI community ecosystem wins mindshare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Open-Source Evaluators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Agent template gallery (P3)</w:t>
            </w:r>
          </w:p>
        </w:tc>
      </w:tr>
      <w:tr>
        <w:tc>
          <w:tcPr>
            <w:tcW w:type="dxa" w:w="43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Subprocess sandbox for code execution not yet in place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HIPAA/SOC2 Accounts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Subprocess sandbox (P1)</w:t>
            </w:r>
          </w:p>
        </w:tc>
      </w:tr>
    </w:tbl>
    <w:p>
      <w:pPr>
        <w:spacing w:before="0" w:after="160" w:line="276" w:lineRule="auto"/>
      </w:pPr>
    </w:p>
    <w:p>
      <w:pPr>
        <w:spacing w:before="0" w:after="80" w:line="276" w:lineRule="auto"/>
      </w:pPr>
      <w:r>
        <w:rPr>
          <w:rFonts w:ascii="Arial" w:hAnsi="Arial"/>
          <w:b w:val="0"/>
          <w:i/>
          <w:color w:val="2D3748"/>
          <w:sz w:val="20"/>
        </w:rPr>
        <w:t>Action: Sales and customer success should log every competitive deal outcome with a 1-sentence reason and tag it to one of the gap items above. This table should be reviewed at the start of every sprint planning cycle.</w:t>
      </w:r>
    </w:p>
    <w:p>
      <w:pPr>
        <w:keepNext/>
        <w:spacing w:before="320" w:after="120" w:line="276" w:lineRule="auto"/>
      </w:pPr>
      <w:r>
        <w:rPr>
          <w:rFonts w:ascii="Arial" w:hAnsi="Arial"/>
          <w:b/>
          <w:i w:val="0"/>
          <w:color w:val="1A365D"/>
          <w:sz w:val="30"/>
        </w:rPr>
        <w:t>Section 2 — Pricing &amp; Total Cost of Ownership</w:t>
      </w:r>
    </w:p>
    <w:p>
      <w:pPr>
        <w:spacing w:before="0" w:after="80" w:line="276" w:lineRule="auto"/>
      </w:pPr>
      <w:r>
        <w:rPr>
          <w:rFonts w:ascii="Arial" w:hAnsi="Arial"/>
          <w:b w:val="0"/>
          <w:i w:val="0"/>
          <w:color w:val="2D3748"/>
          <w:sz w:val="20"/>
        </w:rPr>
        <w:t>Enterprise buyers always run a TCO comparison before selecting a framework. This section arms sales and product with the full cost picture across all six competitors.</w:t>
      </w: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2.1 Competitor Pricing Overview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2E8F0"/>
          <w:bottom w:val="single" w:sz="4" w:space="0" w:color="E2E8F0"/>
          <w:left w:val="none"/>
          <w:right w:val="none"/>
          <w:insideH w:val="single" w:sz="4" w:space="0" w:color="E2E8F0"/>
          <w:insideV w:val="none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44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Framework</w:t>
            </w:r>
          </w:p>
        </w:tc>
        <w:tc>
          <w:tcPr>
            <w:tcW w:type="dxa" w:w="1584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OSS License</w:t>
            </w:r>
          </w:p>
        </w:tc>
        <w:tc>
          <w:tcPr>
            <w:tcW w:type="dxa" w:w="2304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Paid Tier / Platform</w:t>
            </w:r>
          </w:p>
        </w:tc>
        <w:tc>
          <w:tcPr>
            <w:tcW w:type="dxa" w:w="2016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Est. Monthly Cost at Scale</w:t>
            </w:r>
          </w:p>
        </w:tc>
        <w:tc>
          <w:tcPr>
            <w:tcW w:type="dxa" w:w="2016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Notes</w:t>
            </w:r>
          </w:p>
        </w:tc>
      </w:tr>
      <w:tr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LangGraph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MIT</w:t>
            </w:r>
          </w:p>
        </w:tc>
        <w:tc>
          <w:tcPr>
            <w:tcW w:type="dxa" w:w="230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LangSmith ($39–$99/seat/mo)</w:t>
            </w:r>
          </w:p>
        </w:tc>
        <w:tc>
          <w:tcPr>
            <w:tcW w:type="dxa" w:w="201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$500–$5K+/mo</w:t>
            </w:r>
          </w:p>
        </w:tc>
        <w:tc>
          <w:tcPr>
            <w:tcW w:type="dxa" w:w="201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LangSmith observability required for production use</w:t>
            </w:r>
          </w:p>
        </w:tc>
      </w:tr>
      <w:tr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CrewAI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MIT</w:t>
            </w:r>
          </w:p>
        </w:tc>
        <w:tc>
          <w:tcPr>
            <w:tcW w:type="dxa" w:w="230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CrewAI Enterprise (custom)</w:t>
            </w:r>
          </w:p>
        </w:tc>
        <w:tc>
          <w:tcPr>
            <w:tcW w:type="dxa" w:w="201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Custom</w:t>
            </w:r>
          </w:p>
        </w:tc>
        <w:tc>
          <w:tcPr>
            <w:tcW w:type="dxa" w:w="201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OSS free; enterprise adds support + managed infra</w:t>
            </w:r>
          </w:p>
        </w:tc>
      </w:tr>
      <w:tr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AutoGen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MIT</w:t>
            </w:r>
          </w:p>
        </w:tc>
        <w:tc>
          <w:tcPr>
            <w:tcW w:type="dxa" w:w="230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Azure AI Foundry (consumption)</w:t>
            </w:r>
          </w:p>
        </w:tc>
        <w:tc>
          <w:tcPr>
            <w:tcW w:type="dxa" w:w="201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Consumption-based</w:t>
            </w:r>
          </w:p>
        </w:tc>
        <w:tc>
          <w:tcPr>
            <w:tcW w:type="dxa" w:w="201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Microsoft shifting to Azure-managed; OSS free but support declining</w:t>
            </w:r>
          </w:p>
        </w:tc>
      </w:tr>
      <w:tr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Dify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Dify OSS License*</w:t>
            </w:r>
          </w:p>
        </w:tc>
        <w:tc>
          <w:tcPr>
            <w:tcW w:type="dxa" w:w="230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Cloud ($59–$299/mo); Enterprise custom</w:t>
            </w:r>
          </w:p>
        </w:tc>
        <w:tc>
          <w:tcPr>
            <w:tcW w:type="dxa" w:w="201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$59–$10K+/mo</w:t>
            </w:r>
          </w:p>
        </w:tc>
        <w:tc>
          <w:tcPr>
            <w:tcW w:type="dxa" w:w="201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*Not plain Apache-2.0 — redistribution restrictions apply</w:t>
            </w:r>
          </w:p>
        </w:tc>
      </w:tr>
      <w:tr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Flowise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Apache 2.0</w:t>
            </w:r>
          </w:p>
        </w:tc>
        <w:tc>
          <w:tcPr>
            <w:tcW w:type="dxa" w:w="230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Workday-owned; pricing TBD</w:t>
            </w:r>
          </w:p>
        </w:tc>
        <w:tc>
          <w:tcPr>
            <w:tcW w:type="dxa" w:w="201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Unknown post-acq</w:t>
            </w:r>
          </w:p>
        </w:tc>
        <w:tc>
          <w:tcPr>
            <w:tcW w:type="dxa" w:w="201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CVE-2025-59528 unpatched on 12K instances — security liability</w:t>
            </w:r>
          </w:p>
        </w:tc>
      </w:tr>
      <w:tr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Haystack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Apache 2.0</w:t>
            </w:r>
          </w:p>
        </w:tc>
        <w:tc>
          <w:tcPr>
            <w:tcW w:type="dxa" w:w="230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deepset Platform (custom)</w:t>
            </w:r>
          </w:p>
        </w:tc>
        <w:tc>
          <w:tcPr>
            <w:tcW w:type="dxa" w:w="201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Custom / $500–$5K+/mo</w:t>
            </w:r>
          </w:p>
        </w:tc>
        <w:tc>
          <w:tcPr>
            <w:tcW w:type="dxa" w:w="201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OSS free; enterprise observability + support requires platform</w:t>
            </w:r>
          </w:p>
        </w:tc>
      </w:tr>
      <w:tr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MeshFlow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Standard</w:t>
            </w:r>
          </w:p>
        </w:tc>
        <w:tc>
          <w:tcPr>
            <w:tcW w:type="dxa" w:w="230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Self-hosted; no per-seat tax</w:t>
            </w:r>
          </w:p>
        </w:tc>
        <w:tc>
          <w:tcPr>
            <w:tcW w:type="dxa" w:w="201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Infra cost only</w:t>
            </w:r>
          </w:p>
        </w:tc>
        <w:tc>
          <w:tcPr>
            <w:tcW w:type="dxa" w:w="201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★ No platform tax. Token savings of 70–85% reduce total LLM spend</w:t>
            </w:r>
          </w:p>
        </w:tc>
      </w:tr>
    </w:tbl>
    <w:p>
      <w:pPr>
        <w:spacing w:before="0" w:after="160" w:line="276" w:lineRule="auto"/>
      </w:pP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2.2 TCO Advantage: Token Optimization ROI</w:t>
      </w:r>
    </w:p>
    <w:p>
      <w:pPr>
        <w:spacing w:before="0" w:after="80" w:line="276" w:lineRule="auto"/>
      </w:pPr>
      <w:r>
        <w:rPr>
          <w:rFonts w:ascii="Arial" w:hAnsi="Arial"/>
          <w:b w:val="0"/>
          <w:i w:val="0"/>
          <w:color w:val="2D3748"/>
          <w:sz w:val="20"/>
        </w:rPr>
        <w:t>The token optimization layer (Section 6) creates a direct, quantifiable ROI that no competitor can match today: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10M tokens/day production agent: </w:t>
      </w:r>
      <w:r>
        <w:rPr>
          <w:rFonts w:ascii="Arial" w:hAnsi="Arial"/>
          <w:b w:val="0"/>
          <w:i w:val="0"/>
          <w:color w:val="2D3748"/>
          <w:sz w:val="20"/>
        </w:rPr>
        <w:t>Without MeshFlow: ~$300K/yr LLM cost. With MeshFlow (Tiers 1–2): ~$60–$90K/yr (70–80% reduction). Annual Savings: $210–240K/yr.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100-agent parallel crew (20-step workflow): </w:t>
      </w:r>
      <w:r>
        <w:rPr>
          <w:rFonts w:ascii="Arial" w:hAnsi="Arial"/>
          <w:b w:val="0"/>
          <w:i w:val="0"/>
          <w:color w:val="2D3748"/>
          <w:sz w:val="20"/>
        </w:rPr>
        <w:t>Without MeshFlow: 4–15x single-agent cost baseline. With MeshFlow: Near single-agent cost with context dedup + routing. Annual Savings: 60–85% reduction.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HIPAA audit logging (long-context): </w:t>
      </w:r>
      <w:r>
        <w:rPr>
          <w:rFonts w:ascii="Arial" w:hAnsi="Arial"/>
          <w:b w:val="0"/>
          <w:i w:val="0"/>
          <w:color w:val="2D3748"/>
          <w:sz w:val="20"/>
        </w:rPr>
        <w:t>Without MeshFlow: Full context re-sent every turn. With MeshFlow: cache_control leads to 10% of normal price on cached tokens. Annual Savings: 70–90% on system prompts.</w:t>
      </w:r>
    </w:p>
    <w:p>
      <w:pPr>
        <w:spacing w:before="0" w:after="80" w:line="276" w:lineRule="auto"/>
      </w:pPr>
      <w:r>
        <w:rPr>
          <w:rFonts w:ascii="Arial" w:hAnsi="Arial"/>
          <w:b/>
          <w:i w:val="0"/>
          <w:color w:val="2D3748"/>
          <w:sz w:val="20"/>
        </w:rPr>
        <w:t>Sales talking point: 'MeshFlow's token optimization layer typically pays for implementation in the first month of production use. No other framework offers this.'</w:t>
      </w:r>
    </w:p>
    <w:p>
      <w:pPr>
        <w:keepNext/>
        <w:spacing w:before="320" w:after="120" w:line="276" w:lineRule="auto"/>
      </w:pPr>
      <w:r>
        <w:rPr>
          <w:rFonts w:ascii="Arial" w:hAnsi="Arial"/>
          <w:b/>
          <w:i w:val="0"/>
          <w:color w:val="1A365D"/>
          <w:sz w:val="30"/>
        </w:rPr>
        <w:t>Section 3 — Threat Trajectory &amp; Momentum Scoring</w:t>
      </w:r>
    </w:p>
    <w:p>
      <w:pPr>
        <w:spacing w:before="0" w:after="80" w:line="276" w:lineRule="auto"/>
      </w:pPr>
      <w:r>
        <w:rPr>
          <w:rFonts w:ascii="Arial" w:hAnsi="Arial"/>
          <w:b w:val="0"/>
          <w:i w:val="0"/>
          <w:color w:val="2D3748"/>
          <w:sz w:val="20"/>
        </w:rPr>
        <w:t>Competitors are not static. This section scores each framework on 6–12 month momentum and calls out the scenarios that most threaten MeshFlow's current advantages.</w:t>
      </w: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3.1 Momentum Scorecard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2E8F0"/>
          <w:bottom w:val="single" w:sz="4" w:space="0" w:color="E2E8F0"/>
          <w:left w:val="none"/>
          <w:right w:val="none"/>
          <w:insideH w:val="single" w:sz="4" w:space="0" w:color="E2E8F0"/>
          <w:insideV w:val="none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44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Framework</w:t>
            </w:r>
          </w:p>
        </w:tc>
        <w:tc>
          <w:tcPr>
            <w:tcW w:type="dxa" w:w="1584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Current Momentum</w:t>
            </w:r>
          </w:p>
        </w:tc>
        <w:tc>
          <w:tcPr>
            <w:tcW w:type="dxa" w:w="1584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6-Month Trajectory</w:t>
            </w:r>
          </w:p>
        </w:tc>
        <w:tc>
          <w:tcPr>
            <w:tcW w:type="dxa" w:w="3168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Key Threat</w:t>
            </w:r>
          </w:p>
        </w:tc>
        <w:tc>
          <w:tcPr>
            <w:tcW w:type="dxa" w:w="1584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MeshFlow Urgency</w:t>
            </w:r>
          </w:p>
        </w:tc>
      </w:tr>
      <w:tr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LangGraph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 (Red)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Accelerating</w:t>
            </w:r>
          </w:p>
        </w:tc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Time-travel debug + LangSmith UX widens if MeshFlow doesn't close gap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P1 — ReplayLedger API</w:t>
            </w:r>
          </w:p>
        </w:tc>
      </w:tr>
      <w:tr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CrewAI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 (Yellow)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Stable</w:t>
            </w:r>
          </w:p>
        </w:tc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Agent marketplace launch could shift OSS community flywheel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P3 — Template gallery</w:t>
            </w:r>
          </w:p>
        </w:tc>
      </w:tr>
      <w:tr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AutoGen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Low (Green)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Declining</w:t>
            </w:r>
          </w:p>
        </w:tc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Microsoft Azure pivot = maintenance mode for OSS; MeshFlow gains by comparison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Opportunity — publish velocity comparison</w:t>
            </w:r>
          </w:p>
        </w:tc>
      </w:tr>
      <w:tr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Dify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 (Red)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Accelerating</w:t>
            </w:r>
          </w:p>
        </w:tc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114K stars + SOC2 certified = capturing non-technical &amp; enterprise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P1 — SOC 2 roadmap + visual RAG</w:t>
            </w:r>
          </w:p>
        </w:tc>
      </w:tr>
      <w:tr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Flowise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 (Yellow)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Uncertain</w:t>
            </w:r>
          </w:p>
        </w:tc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Workday acquisition may accelerate enterprise features; CVE is acute liability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Opportunity — security positioning</w:t>
            </w:r>
          </w:p>
        </w:tc>
      </w:tr>
      <w:tr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Haystack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 (Yellow)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Stable</w:t>
            </w:r>
          </w:p>
        </w:tc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RAG depth continues to improve; ML engineers prefer Haystack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P2 — RAG parity + YAML serialization</w:t>
            </w:r>
          </w:p>
        </w:tc>
      </w:tr>
    </w:tbl>
    <w:p>
      <w:pPr>
        <w:spacing w:before="0" w:after="160" w:line="276" w:lineRule="auto"/>
      </w:pP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3.2 Scenarios to Watch (Next 6 Months)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LangGraph ships model routing: </w:t>
      </w:r>
      <w:r>
        <w:rPr>
          <w:rFonts w:ascii="Arial" w:hAnsi="Arial"/>
          <w:b w:val="0"/>
          <w:i w:val="0"/>
          <w:color w:val="2D3748"/>
          <w:sz w:val="20"/>
        </w:rPr>
        <w:t>If LangGraph adds a ModelRouter, MeshFlow's first-mover advantage in token optimization disappears. Tier 2 token work must ship before Q3 2026.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Dify achieves SOC 2 Type II renewal + adds multi-agent: </w:t>
      </w:r>
      <w:r>
        <w:rPr>
          <w:rFonts w:ascii="Arial" w:hAnsi="Arial"/>
          <w:b w:val="0"/>
          <w:i w:val="0"/>
          <w:color w:val="2D3748"/>
          <w:sz w:val="20"/>
        </w:rPr>
        <w:t>Dify is already certified and has 114K stars. If they close the multi-agent gap, they become a full-spectrum competitor for enterprise buyers.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Flowise post-Workday roadmap clarified: </w:t>
      </w:r>
      <w:r>
        <w:rPr>
          <w:rFonts w:ascii="Arial" w:hAnsi="Arial"/>
          <w:b w:val="0"/>
          <w:i w:val="0"/>
          <w:color w:val="2D3748"/>
          <w:sz w:val="20"/>
        </w:rPr>
        <w:t>If Workday invests in Flowise security and enterprise features, it becomes a credible LangChain-native competitor. Monitor closely through Q3 2026.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Haystack adds native agents + HITL: </w:t>
      </w:r>
      <w:r>
        <w:rPr>
          <w:rFonts w:ascii="Arial" w:hAnsi="Arial"/>
          <w:b w:val="0"/>
          <w:i w:val="0"/>
          <w:color w:val="2D3748"/>
          <w:sz w:val="20"/>
        </w:rPr>
        <w:t>Haystack's pipeline depth is best-in-class. If deepset funds multi-agent orchestration, the ML engineer segment becomes contested.</w:t>
      </w:r>
    </w:p>
    <w:p>
      <w:pPr>
        <w:keepNext/>
        <w:spacing w:before="320" w:after="120" w:line="276" w:lineRule="auto"/>
      </w:pPr>
      <w:r>
        <w:rPr>
          <w:rFonts w:ascii="Arial" w:hAnsi="Arial"/>
          <w:b/>
          <w:i w:val="0"/>
          <w:color w:val="1A365D"/>
          <w:sz w:val="30"/>
        </w:rPr>
        <w:t>Section 4 — Buyer Persona × Feature Priority Matrix</w:t>
      </w:r>
    </w:p>
    <w:p>
      <w:pPr>
        <w:spacing w:before="0" w:after="80" w:line="276" w:lineRule="auto"/>
      </w:pPr>
      <w:r>
        <w:rPr>
          <w:rFonts w:ascii="Arial" w:hAnsi="Arial"/>
          <w:b w:val="0"/>
          <w:i w:val="0"/>
          <w:color w:val="2D3748"/>
          <w:sz w:val="20"/>
        </w:rPr>
        <w:t>Not all gaps matter equally to all buyers. This matrix maps sprint items to the personas most likely to block or accelerate a deal based on each gap.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2E8F0"/>
          <w:bottom w:val="single" w:sz="4" w:space="0" w:color="E2E8F0"/>
          <w:left w:val="none"/>
          <w:right w:val="none"/>
          <w:insideH w:val="single" w:sz="4" w:space="0" w:color="E2E8F0"/>
          <w:insideV w:val="none"/>
        </w:tblBorders>
      </w:tblPr>
      <w:tblGrid>
        <w:gridCol w:w="1560"/>
        <w:gridCol w:w="1560"/>
        <w:gridCol w:w="1560"/>
        <w:gridCol w:w="1560"/>
        <w:gridCol w:w="1560"/>
        <w:gridCol w:w="1560"/>
      </w:tblGrid>
      <w:tr>
        <w:tc>
          <w:tcPr>
            <w:tcW w:type="dxa" w:w="3168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Sprint Item</w:t>
            </w:r>
          </w:p>
        </w:tc>
        <w:tc>
          <w:tcPr>
            <w:tcW w:type="dxa" w:w="144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HIPAA / Regulated</w:t>
            </w:r>
          </w:p>
        </w:tc>
        <w:tc>
          <w:tcPr>
            <w:tcW w:type="dxa" w:w="144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Fortune 500 Eng</w:t>
            </w:r>
          </w:p>
        </w:tc>
        <w:tc>
          <w:tcPr>
            <w:tcW w:type="dxa" w:w="144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ML Eng / Researcher</w:t>
            </w:r>
          </w:p>
        </w:tc>
        <w:tc>
          <w:tcPr>
            <w:tcW w:type="dxa" w:w="144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Solo Dev / Startup</w:t>
            </w:r>
          </w:p>
        </w:tc>
        <w:tc>
          <w:tcPr>
            <w:tcW w:type="dxa" w:w="72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Priority</w:t>
            </w:r>
          </w:p>
        </w:tc>
      </w:tr>
      <w:tr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Subprocess sandbox (code exec)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Nice-to-have (Green)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Nice-to-have (Green)</w:t>
            </w:r>
          </w:p>
        </w:tc>
        <w:tc>
          <w:tcPr>
            <w:tcW w:type="dxa" w:w="7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P1</w:t>
            </w:r>
          </w:p>
        </w:tc>
      </w:tr>
      <w:tr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cache_control system prompts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 (cost)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 (cost)</w:t>
            </w:r>
          </w:p>
        </w:tc>
        <w:tc>
          <w:tcPr>
            <w:tcW w:type="dxa" w:w="7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P1</w:t>
            </w:r>
          </w:p>
        </w:tc>
      </w:tr>
      <w:tr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RAG max_chars enforcement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7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P1</w:t>
            </w:r>
          </w:p>
        </w:tc>
      </w:tr>
      <w:tr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ReplayLedger interactive API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 (debug)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7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P1</w:t>
            </w:r>
          </w:p>
        </w:tc>
      </w:tr>
      <w:tr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ModelRouter (smart routing)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 (cost)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 (cost)</w:t>
            </w:r>
          </w:p>
        </w:tc>
        <w:tc>
          <w:tcPr>
            <w:tcW w:type="dxa" w:w="7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P2</w:t>
            </w:r>
          </w:p>
        </w:tc>
      </w:tr>
      <w:tr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ContextCompactor middleware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 (long runs)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Nice-to-have (Green)</w:t>
            </w:r>
          </w:p>
        </w:tc>
        <w:tc>
          <w:tcPr>
            <w:tcW w:type="dxa" w:w="7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P2</w:t>
            </w:r>
          </w:p>
        </w:tc>
      </w:tr>
      <w:tr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CriticAgent built-in role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Nice-to-have (Green)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 (quality)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Nice-to-have (Green)</w:t>
            </w:r>
          </w:p>
        </w:tc>
        <w:tc>
          <w:tcPr>
            <w:tcW w:type="dxa" w:w="7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P2</w:t>
            </w:r>
          </w:p>
        </w:tc>
      </w:tr>
      <w:tr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Pipeline YAML serialization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 (CI/CD)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Nice-to-have (Green)</w:t>
            </w:r>
          </w:p>
        </w:tc>
        <w:tc>
          <w:tcPr>
            <w:tcW w:type="dxa" w:w="7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P2</w:t>
            </w:r>
          </w:p>
        </w:tc>
      </w:tr>
      <w:tr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SOC 2 Type II certification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Nice-to-have (Green)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Nice-to-have (Green)</w:t>
            </w:r>
          </w:p>
        </w:tc>
        <w:tc>
          <w:tcPr>
            <w:tcW w:type="dxa" w:w="7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P3</w:t>
            </w:r>
          </w:p>
        </w:tc>
      </w:tr>
      <w:tr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Public agent template gallery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Nice-to-have (Green)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Nice-to-have (Green)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 (onboarding)</w:t>
            </w:r>
          </w:p>
        </w:tc>
        <w:tc>
          <w:tcPr>
            <w:tcW w:type="dxa" w:w="7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P3</w:t>
            </w:r>
          </w:p>
        </w:tc>
      </w:tr>
      <w:tr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Visual trace viewer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Blocker (Red) (UX)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Important (Yellow)</w:t>
            </w:r>
          </w:p>
        </w:tc>
        <w:tc>
          <w:tcPr>
            <w:tcW w:type="dxa" w:w="7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P3</w:t>
            </w:r>
          </w:p>
        </w:tc>
      </w:tr>
    </w:tbl>
    <w:p>
      <w:pPr>
        <w:spacing w:before="0" w:after="160" w:line="276" w:lineRule="auto"/>
      </w:pPr>
    </w:p>
    <w:p>
      <w:pPr>
        <w:spacing w:before="0" w:after="80" w:line="276" w:lineRule="auto"/>
      </w:pPr>
      <w:r>
        <w:rPr>
          <w:rFonts w:ascii="Arial" w:hAnsi="Arial"/>
          <w:b w:val="0"/>
          <w:i/>
          <w:color w:val="2D3748"/>
          <w:sz w:val="20"/>
        </w:rPr>
        <w:t>Key insight: P1 items are blockers for at least two buyer segments. P2 items unblock the Fortune 500 eng team — the highest-ACV segment. SOC 2 certification (P3) is the single item that unblocks both HIPAA and Fortune 500 buyers simultaneously but requires a dedicated 6-month track.</w:t>
      </w:r>
    </w:p>
    <w:p>
      <w:pPr>
        <w:keepNext/>
        <w:spacing w:before="320" w:after="120" w:line="276" w:lineRule="auto"/>
      </w:pPr>
      <w:r>
        <w:rPr>
          <w:rFonts w:ascii="Arial" w:hAnsi="Arial"/>
          <w:b/>
          <w:i w:val="0"/>
          <w:color w:val="1A365D"/>
          <w:sz w:val="30"/>
        </w:rPr>
        <w:t>Section 5 — MeshFlow Gap Analysis: All 6 Competitors</w:t>
      </w: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5.1 Six-Competitor Feature Matrix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2E8F0"/>
          <w:bottom w:val="single" w:sz="4" w:space="0" w:color="E2E8F0"/>
          <w:left w:val="none"/>
          <w:right w:val="none"/>
          <w:insideH w:val="single" w:sz="4" w:space="0" w:color="E2E8F0"/>
          <w:insideV w:val="none"/>
        </w:tblBorders>
      </w:tblPr>
      <w:tblGrid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>
        <w:tc>
          <w:tcPr>
            <w:tcW w:type="dxa" w:w="2592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Feature</w:t>
            </w:r>
          </w:p>
        </w:tc>
        <w:tc>
          <w:tcPr>
            <w:tcW w:type="dxa" w:w="1008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LangGraph</w:t>
            </w:r>
          </w:p>
        </w:tc>
        <w:tc>
          <w:tcPr>
            <w:tcW w:type="dxa" w:w="1008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CrewAI</w:t>
            </w:r>
          </w:p>
        </w:tc>
        <w:tc>
          <w:tcPr>
            <w:tcW w:type="dxa" w:w="1008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AutoGen</w:t>
            </w:r>
          </w:p>
        </w:tc>
        <w:tc>
          <w:tcPr>
            <w:tcW w:type="dxa" w:w="1008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Dify</w:t>
            </w:r>
          </w:p>
        </w:tc>
        <w:tc>
          <w:tcPr>
            <w:tcW w:type="dxa" w:w="1008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Flowise</w:t>
            </w:r>
          </w:p>
        </w:tc>
        <w:tc>
          <w:tcPr>
            <w:tcW w:type="dxa" w:w="1008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Haystack</w:t>
            </w:r>
          </w:p>
        </w:tc>
        <w:tc>
          <w:tcPr>
            <w:tcW w:type="dxa" w:w="1296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MeshFlow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Multi-agent orchestration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</w:tr>
      <w:tr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HITL (Human-in-the-loop)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Durable execution / resume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 ★</w:t>
            </w:r>
          </w:p>
        </w:tc>
      </w:tr>
      <w:tr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Compliance (HIPAA/SOC2)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 ★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Built-in guardrails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 ★</w:t>
            </w:r>
          </w:p>
        </w:tc>
      </w:tr>
      <w:tr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Cost cap / token budget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 ★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Audit trail (hash chain)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 ★</w:t>
            </w:r>
          </w:p>
        </w:tc>
      </w:tr>
      <w:tr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MCP Server auto-gen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 ★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Visual workflow builder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 ← GAP</w:t>
            </w:r>
          </w:p>
        </w:tc>
      </w:tr>
      <w:tr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RAG pipeline depth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 ← GAP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Pipeline serialization (YAML)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 ← GAP</w:t>
            </w:r>
          </w:p>
        </w:tc>
      </w:tr>
      <w:tr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Time-travel debug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 ← GAP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Sandboxed code execution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 ← GAP</w:t>
            </w:r>
          </w:p>
        </w:tc>
      </w:tr>
      <w:tr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Cross-session memory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Multi-tenancy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Partial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Yes</w:t>
            </w:r>
          </w:p>
        </w:tc>
      </w:tr>
    </w:tbl>
    <w:p>
      <w:pPr>
        <w:spacing w:before="0" w:after="160" w:line="276" w:lineRule="auto"/>
      </w:pP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5.2 LangGraph — Priority Gaps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Time-Travel Debugging (Partial → P1 Close): </w:t>
      </w:r>
      <w:r>
        <w:rPr>
          <w:rFonts w:ascii="Arial" w:hAnsi="Arial"/>
          <w:b w:val="0"/>
          <w:i w:val="0"/>
          <w:color w:val="2D3748"/>
          <w:sz w:val="20"/>
        </w:rPr>
        <w:t>LangGraph supports Replay, Fork, and State Injection. MeshFlow's ReplayLedger stores the hash chain but has no API surface to load, diff, or fork a prior state. Without this, debugging complex durable workflows requires manual log archaeology.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Action &amp; Success Metric: </w:t>
      </w:r>
      <w:r>
        <w:rPr>
          <w:rFonts w:ascii="Arial" w:hAnsi="Arial"/>
          <w:b w:val="0"/>
          <w:i w:val="0"/>
          <w:color w:val="2D3748"/>
          <w:sz w:val="20"/>
        </w:rPr>
        <w:t>Action: Expose ReplayLedger as interactive API: load checkpoint → diff state → fork execution. Add Branch &amp; Compare mode for prompt A/B testing. Success metric: Engineer can fork a prior execution state in &lt; 3 commands via CLI or API.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Cloud-Managed Resume (Missing → P2): </w:t>
      </w:r>
      <w:r>
        <w:rPr>
          <w:rFonts w:ascii="Arial" w:hAnsi="Arial"/>
          <w:b w:val="0"/>
          <w:i w:val="0"/>
          <w:color w:val="2D3748"/>
          <w:sz w:val="20"/>
        </w:rPr>
        <w:t>LangGraph Cloud handles durable execution at infrastructure level. MeshFlow handles in-process crashes only.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Action &amp; Success Metric: </w:t>
      </w:r>
      <w:r>
        <w:rPr>
          <w:rFonts w:ascii="Arial" w:hAnsi="Arial"/>
          <w:b w:val="0"/>
          <w:i w:val="0"/>
          <w:color w:val="2D3748"/>
          <w:sz w:val="20"/>
        </w:rPr>
        <w:t>Action: Add persistence backend abstraction (Redis / Postgres / S3) to DurableWorkflowExecutor. Success metric: Agent workflow resumes across process restarts with zero data loss.</w:t>
      </w: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5.3 CrewAI — Priority Gaps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Agent Marketplace (Partial → P3 Strategic): </w:t>
      </w:r>
      <w:r>
        <w:rPr>
          <w:rFonts w:ascii="Arial" w:hAnsi="Arial"/>
          <w:b w:val="0"/>
          <w:i w:val="0"/>
          <w:color w:val="2D3748"/>
          <w:sz w:val="20"/>
        </w:rPr>
        <w:t>CrewAI's 100K+ community is its strategic moat. Their planned public agent registry would drive the share → discover → remix → share flywheel.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Action &amp; Success Metric: </w:t>
      </w:r>
      <w:r>
        <w:rPr>
          <w:rFonts w:ascii="Arial" w:hAnsi="Arial"/>
          <w:b w:val="0"/>
          <w:i w:val="0"/>
          <w:color w:val="2D3748"/>
          <w:sz w:val="20"/>
        </w:rPr>
        <w:t>Action: Launch public agent template gallery — 20 curated templates with one-click deploy. Success metric: 500+ template deploys within 60 days of launch.</w:t>
      </w: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5.4 AutoGen — Priority Gaps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Sandboxed Code Execution (Partial → P1 Security): </w:t>
      </w:r>
      <w:r>
        <w:rPr>
          <w:rFonts w:ascii="Arial" w:hAnsi="Arial"/>
          <w:b w:val="0"/>
          <w:i w:val="0"/>
          <w:color w:val="2D3748"/>
          <w:sz w:val="20"/>
        </w:rPr>
        <w:t>AutoGen uses Docker-isolated interpreters. MeshFlow's python_repl runs in the host process — a compliance risk for HIPAA/SOC2.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Action &amp; Success Metric: </w:t>
      </w:r>
      <w:r>
        <w:rPr>
          <w:rFonts w:ascii="Arial" w:hAnsi="Arial"/>
          <w:b w:val="0"/>
          <w:i w:val="0"/>
          <w:color w:val="2D3748"/>
          <w:sz w:val="20"/>
        </w:rPr>
        <w:t>Action: Wrap python_repl in subprocess with CPU/memory/network limits. Add optional Docker executor backend. Success metric: python_repl execution is fully isolated; passes HIPAA technical safeguard review.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Agent Debate / Critique Loops (Missing → P2): </w:t>
      </w:r>
      <w:r>
        <w:rPr>
          <w:rFonts w:ascii="Arial" w:hAnsi="Arial"/>
          <w:b w:val="0"/>
          <w:i w:val="0"/>
          <w:color w:val="2D3748"/>
          <w:sz w:val="20"/>
        </w:rPr>
        <w:t>AutoGen's multi-agent critique pattern (propose → challenge → refine) consistently improves output on complex reasoning tasks.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Action &amp; Success Metric: </w:t>
      </w:r>
      <w:r>
        <w:rPr>
          <w:rFonts w:ascii="Arial" w:hAnsi="Arial"/>
          <w:b w:val="0"/>
          <w:i w:val="0"/>
          <w:color w:val="2D3748"/>
          <w:sz w:val="20"/>
        </w:rPr>
        <w:t>Action: Add CriticAgent built-in role with configurable challenge prompt. Success metric: CriticAgent reduces hallucination rate by &gt; 20% vs. baseline on code review benchmark.</w:t>
      </w: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5.5 Dify — Priority Gaps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Compliance &amp; Visuals: </w:t>
      </w:r>
      <w:r>
        <w:rPr>
          <w:rFonts w:ascii="Arial" w:hAnsi="Arial"/>
          <w:b w:val="0"/>
          <w:i w:val="0"/>
          <w:color w:val="2D3748"/>
          <w:sz w:val="20"/>
        </w:rPr>
        <w:t>Dify's SOC 2 Type II + ISO 27001 + GDPR certifications are now table-stakes for enterprise. Its visual RAG builder wins non-technical buyers.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Action: </w:t>
      </w:r>
      <w:r>
        <w:rPr>
          <w:rFonts w:ascii="Arial" w:hAnsi="Arial"/>
          <w:b w:val="0"/>
          <w:i w:val="0"/>
          <w:color w:val="2D3748"/>
          <w:sz w:val="20"/>
        </w:rPr>
        <w:t>Action: Initiate SOC 2 Type II audit track (6-month program). Publish reference architecture for compliance as competitive differentiator. Add no-code RAG pipeline configurator.</w:t>
      </w: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5.6 Flowise — Priority Gaps &amp; Opportunity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CVE-2025-59528 (CVSS 10.0 RCE): </w:t>
      </w:r>
      <w:r>
        <w:rPr>
          <w:rFonts w:ascii="Arial" w:hAnsi="Arial"/>
          <w:b w:val="0"/>
          <w:i w:val="0"/>
          <w:color w:val="2D3748"/>
          <w:sz w:val="20"/>
        </w:rPr>
        <w:t>Has left 12,000 Flowise instances under active exploitation as of April 2026. This is an acute competitive opportunity.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Action &amp; Success Metric: </w:t>
      </w:r>
      <w:r>
        <w:rPr>
          <w:rFonts w:ascii="Arial" w:hAnsi="Arial"/>
          <w:b w:val="0"/>
          <w:i w:val="0"/>
          <w:color w:val="2D3748"/>
          <w:sz w:val="20"/>
        </w:rPr>
        <w:t>Action: Publish a 'Security-First Migration Guide: Flowise → MeshFlow' targeting teams burned by the CVE. Create a competitive battlecard. Success metric: 5+ inbound leads from Flowise migration within 30 days.</w:t>
      </w: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5.7 Haystack — Priority Gaps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RAG Depth &amp; Serialization: </w:t>
      </w:r>
      <w:r>
        <w:rPr>
          <w:rFonts w:ascii="Arial" w:hAnsi="Arial"/>
          <w:b w:val="0"/>
          <w:i w:val="0"/>
          <w:color w:val="2D3748"/>
          <w:sz w:val="20"/>
        </w:rPr>
        <w:t>Haystack's RAG depth (LLMRanker, hybrid retrieval, self-correction loops) is more mature. Pipeline serialization (YAML/JSON) is a developer-experience gap.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Action &amp; Success Metric: </w:t>
      </w:r>
      <w:r>
        <w:rPr>
          <w:rFonts w:ascii="Arial" w:hAnsi="Arial"/>
          <w:b w:val="0"/>
          <w:i w:val="0"/>
          <w:color w:val="2D3748"/>
          <w:sz w:val="20"/>
        </w:rPr>
        <w:t>Action: Close RAG depth gap: add LLMRanker equivalent, hybrid retrieval, and self-correction loop. Add @workflow export to YAML. Success metric: MeshFlow RAG benchmark scores within 10% of Haystack.</w:t>
      </w:r>
    </w:p>
    <w:p>
      <w:pPr>
        <w:keepNext/>
        <w:spacing w:before="320" w:after="120" w:line="276" w:lineRule="auto"/>
      </w:pPr>
      <w:r>
        <w:rPr>
          <w:rFonts w:ascii="Arial" w:hAnsi="Arial"/>
          <w:b/>
          <w:i w:val="0"/>
          <w:color w:val="1A365D"/>
          <w:sz w:val="30"/>
        </w:rPr>
        <w:t>Section 6 — Token Optimization: The Unclaimed Layer</w:t>
      </w:r>
    </w:p>
    <w:p>
      <w:pPr>
        <w:spacing w:before="0" w:after="80" w:line="276" w:lineRule="auto"/>
      </w:pPr>
      <w:r>
        <w:rPr>
          <w:rFonts w:ascii="Arial" w:hAnsi="Arial"/>
          <w:b w:val="0"/>
          <w:i w:val="0"/>
          <w:color w:val="2D3748"/>
          <w:sz w:val="20"/>
        </w:rPr>
        <w:t>Token cost is the single largest unaddressed area across all six frameworks. Production agent systems waste 40–60% of token spend on solvable problems. Multi-agent systems can consume 4–15x more tokens than equivalent single-agent calls if unoptimized.</w:t>
      </w: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6.1 Token Waste Taxonomy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2E8F0"/>
          <w:bottom w:val="single" w:sz="4" w:space="0" w:color="E2E8F0"/>
          <w:left w:val="none"/>
          <w:right w:val="none"/>
          <w:insideH w:val="single" w:sz="4" w:space="0" w:color="E2E8F0"/>
          <w:insideV w:val="none"/>
        </w:tblBorders>
      </w:tblPr>
      <w:tblGrid>
        <w:gridCol w:w="3120"/>
        <w:gridCol w:w="3120"/>
        <w:gridCol w:w="3120"/>
      </w:tblGrid>
      <w:tr>
        <w:tc>
          <w:tcPr>
            <w:tcW w:type="dxa" w:w="2592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Waste Type</w:t>
            </w:r>
          </w:p>
        </w:tc>
        <w:tc>
          <w:tcPr>
            <w:tcW w:type="dxa" w:w="5328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Detail</w:t>
            </w:r>
          </w:p>
        </w:tc>
        <w:tc>
          <w:tcPr>
            <w:tcW w:type="dxa" w:w="144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Impact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System prompt repetition</w:t>
            </w:r>
          </w:p>
        </w:tc>
        <w:tc>
          <w:tcPr>
            <w:tcW w:type="dxa" w:w="532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Every LLM call re-sends the full system prompt. 20-turn loop with 2K-token prompt = 40K tokens of pure repetition per workflow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 (Red)</w:t>
            </w:r>
          </w:p>
        </w:tc>
      </w:tr>
      <w:tr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Context accumulation</w:t>
            </w:r>
          </w:p>
        </w:tc>
        <w:tc>
          <w:tcPr>
            <w:tcW w:type="dxa" w:w="532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Agents pass full conversation history each turn. A 30-step workflow doubles context size by step 15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 (Red)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Parallel agent duplication</w:t>
            </w:r>
          </w:p>
        </w:tc>
        <w:tc>
          <w:tcPr>
            <w:tcW w:type="dxa" w:w="532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Multiple agents each receive full shared context — no dedup across parallel calls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 (Red)</w:t>
            </w:r>
          </w:p>
        </w:tc>
      </w:tr>
      <w:tr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Wrong model for task</w:t>
            </w:r>
          </w:p>
        </w:tc>
        <w:tc>
          <w:tcPr>
            <w:tcW w:type="dxa" w:w="532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Frontier model (Opus/GPT-4) used for simple classification/formatting tasks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 (Red)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Oversized RAG injection</w:t>
            </w:r>
          </w:p>
        </w:tc>
        <w:tc>
          <w:tcPr>
            <w:tcW w:type="dxa" w:w="532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Knowledge chunks injected without a token budget — entire documents vs. 3 relevant paragraphs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 (Yellow)</w:t>
            </w:r>
          </w:p>
        </w:tc>
      </w:tr>
      <w:tr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Verbose tool outputs</w:t>
            </w:r>
          </w:p>
        </w:tc>
        <w:tc>
          <w:tcPr>
            <w:tcW w:type="dxa" w:w="532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Raw API/tool responses kept in context rather than summarized before next LLM call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 (Yellow)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 early exit</w:t>
            </w:r>
          </w:p>
        </w:tc>
        <w:tc>
          <w:tcPr>
            <w:tcW w:type="dxa" w:w="532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Agents run max_passes even when confidence threshold is met 3 steps early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Medium (Yellow)</w:t>
            </w:r>
          </w:p>
        </w:tc>
      </w:tr>
    </w:tbl>
    <w:p>
      <w:pPr>
        <w:spacing w:before="0" w:after="160" w:line="276" w:lineRule="auto"/>
      </w:pP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6.2 Five Optimization Levers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2E8F0"/>
          <w:bottom w:val="single" w:sz="4" w:space="0" w:color="E2E8F0"/>
          <w:left w:val="none"/>
          <w:right w:val="none"/>
          <w:insideH w:val="single" w:sz="4" w:space="0" w:color="E2E8F0"/>
          <w:insideV w:val="none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Lever</w:t>
            </w:r>
          </w:p>
        </w:tc>
        <w:tc>
          <w:tcPr>
            <w:tcW w:type="dxa" w:w="3168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Mechanism</w:t>
            </w:r>
          </w:p>
        </w:tc>
        <w:tc>
          <w:tcPr>
            <w:tcW w:type="dxa" w:w="1296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Savings</w:t>
            </w:r>
          </w:p>
        </w:tc>
        <w:tc>
          <w:tcPr>
            <w:tcW w:type="dxa" w:w="1584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Framework Coverage</w:t>
            </w:r>
          </w:p>
        </w:tc>
        <w:tc>
          <w:tcPr>
            <w:tcW w:type="dxa" w:w="144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MeshFlow Tier</w:t>
            </w:r>
          </w:p>
        </w:tc>
      </w:tr>
      <w:tr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Prompt Caching</w:t>
            </w:r>
          </w:p>
        </w:tc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cache_control on system prompt / tool defs across turns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70–90% on cached tokens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None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1 ✅ Quick Win</w:t>
            </w:r>
          </w:p>
        </w:tc>
      </w:tr>
      <w:tr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Model Routing</w:t>
            </w:r>
          </w:p>
        </w:tc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Classify task → route to Haiku/GPT-3.5 for simple, Opus for reasoning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40–70%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None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2</w:t>
            </w:r>
          </w:p>
        </w:tc>
      </w:tr>
      <w:tr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Context Compaction</w:t>
            </w:r>
          </w:p>
        </w:tc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Sliding window summarization: compress old turns into rolling summary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50–70%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None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2</w:t>
            </w:r>
          </w:p>
        </w:tc>
      </w:tr>
      <w:tr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Request Batching</w:t>
            </w:r>
          </w:p>
        </w:tc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Async batch independent agent calls (50% Anthropic discount)</w:t>
            </w:r>
          </w:p>
        </w:tc>
        <w:tc>
          <w:tcPr>
            <w:tcW w:type="dxa" w:w="129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50%</w:t>
            </w:r>
          </w:p>
        </w:tc>
        <w:tc>
          <w:tcPr>
            <w:tcW w:type="dxa" w:w="158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MeshFlow partial</w:t>
            </w:r>
          </w:p>
        </w:tc>
        <w:tc>
          <w:tcPr>
            <w:tcW w:type="dxa" w:w="144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1 ⚡ Partial</w:t>
            </w:r>
          </w:p>
        </w:tc>
      </w:tr>
      <w:tr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RAG Token Budget</w:t>
            </w:r>
          </w:p>
        </w:tc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Enforce max_chars per knowledge injection; top-K by relevance</w:t>
            </w:r>
          </w:p>
        </w:tc>
        <w:tc>
          <w:tcPr>
            <w:tcW w:type="dxa" w:w="129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40–60%</w:t>
            </w:r>
          </w:p>
        </w:tc>
        <w:tc>
          <w:tcPr>
            <w:tcW w:type="dxa" w:w="158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None</w:t>
            </w:r>
          </w:p>
        </w:tc>
        <w:tc>
          <w:tcPr>
            <w:tcW w:type="dxa" w:w="144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1 ✅ Quick Win</w:t>
            </w:r>
          </w:p>
        </w:tc>
      </w:tr>
    </w:tbl>
    <w:p>
      <w:pPr>
        <w:spacing w:before="0" w:after="160" w:line="276" w:lineRule="auto"/>
      </w:pP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6.3 Token Optimization Roadmap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2E8F0"/>
          <w:bottom w:val="single" w:sz="4" w:space="0" w:color="E2E8F0"/>
          <w:left w:val="none"/>
          <w:right w:val="none"/>
          <w:insideH w:val="single" w:sz="4" w:space="0" w:color="E2E8F0"/>
          <w:insideV w:val="none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88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Tier / Item</w:t>
            </w:r>
          </w:p>
        </w:tc>
        <w:tc>
          <w:tcPr>
            <w:tcW w:type="dxa" w:w="3168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Action</w:t>
            </w:r>
          </w:p>
        </w:tc>
        <w:tc>
          <w:tcPr>
            <w:tcW w:type="dxa" w:w="216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Target Metric</w:t>
            </w:r>
          </w:p>
        </w:tc>
        <w:tc>
          <w:tcPr>
            <w:tcW w:type="dxa" w:w="1152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Effort</w:t>
            </w:r>
          </w:p>
        </w:tc>
      </w:tr>
      <w:tr>
        <w:tc>
          <w:tcPr>
            <w:tcW w:type="dxa" w:w="288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1 - cache_control on system prompts</w:t>
            </w:r>
          </w:p>
        </w:tc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Add cache_control to all system prompt blocks in every MeshFlow agent</w:t>
            </w:r>
          </w:p>
        </w:tc>
        <w:tc>
          <w:tcPr>
            <w:tcW w:type="dxa" w:w="216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≥ 70% cost reduction on system prompt tokens</w:t>
            </w:r>
          </w:p>
        </w:tc>
        <w:tc>
          <w:tcPr>
            <w:tcW w:type="dxa" w:w="115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0.5 sprint</w:t>
            </w:r>
          </w:p>
        </w:tc>
      </w:tr>
      <w:tr>
        <w:tc>
          <w:tcPr>
            <w:tcW w:type="dxa" w:w="288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1 - RAG max_chars enforcement</w:t>
            </w:r>
          </w:p>
        </w:tc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Add max_chars param to self.knowledge=[]; default top-3 chunks, 4K token hard cap</w:t>
            </w:r>
          </w:p>
        </w:tc>
        <w:tc>
          <w:tcPr>
            <w:tcW w:type="dxa" w:w="216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RAG injection cost reduced by ≥ 40% in benchmark</w:t>
            </w:r>
          </w:p>
        </w:tc>
        <w:tc>
          <w:tcPr>
            <w:tcW w:type="dxa" w:w="115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0.5 sprint</w:t>
            </w:r>
          </w:p>
        </w:tc>
      </w:tr>
      <w:tr>
        <w:tc>
          <w:tcPr>
            <w:tcW w:type="dxa" w:w="288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1 - Tool output summarization</w:t>
            </w:r>
          </w:p>
        </w:tc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After tool call &gt; 500 tokens, run nano-model summarize pass before context append</w:t>
            </w:r>
          </w:p>
        </w:tc>
        <w:tc>
          <w:tcPr>
            <w:tcW w:type="dxa" w:w="216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Context size reduced by ≥ 30% on tool-heavy workflows</w:t>
            </w:r>
          </w:p>
        </w:tc>
        <w:tc>
          <w:tcPr>
            <w:tcW w:type="dxa" w:w="115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0.5 sprint</w:t>
            </w:r>
          </w:p>
        </w:tc>
      </w:tr>
      <w:tr>
        <w:tc>
          <w:tcPr>
            <w:tcW w:type="dxa" w:w="288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2 - ModelRouter task</w:t>
            </w:r>
          </w:p>
        </w:tc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Classification step routes to nano/small/medium/large model tiers via YAML config</w:t>
            </w:r>
          </w:p>
        </w:tc>
        <w:tc>
          <w:tcPr>
            <w:tcW w:type="dxa" w:w="216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40–70% cost reduction on mixed workflows</w:t>
            </w:r>
          </w:p>
        </w:tc>
        <w:tc>
          <w:tcPr>
            <w:tcW w:type="dxa" w:w="115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2 sprints</w:t>
            </w:r>
          </w:p>
        </w:tc>
      </w:tr>
      <w:tr>
        <w:tc>
          <w:tcPr>
            <w:tcW w:type="dxa" w:w="288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2 - ContextCompactor middleware</w:t>
            </w:r>
          </w:p>
        </w:tc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Sliding window summarization activates at configurable context threshold</w:t>
            </w:r>
          </w:p>
        </w:tc>
        <w:tc>
          <w:tcPr>
            <w:tcW w:type="dxa" w:w="216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Context growth capped at &lt; 2x for 30-step workflows</w:t>
            </w:r>
          </w:p>
        </w:tc>
        <w:tc>
          <w:tcPr>
            <w:tcW w:type="dxa" w:w="115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2 sprints</w:t>
            </w:r>
          </w:p>
        </w:tc>
      </w:tr>
      <w:tr>
        <w:tc>
          <w:tcPr>
            <w:tcW w:type="dxa" w:w="288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2 - Token budget pre-run planner</w:t>
            </w:r>
          </w:p>
        </w:tc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Pre-run estimation of total tokens based on workflow graph + expected turn count</w:t>
            </w:r>
          </w:p>
        </w:tc>
        <w:tc>
          <w:tcPr>
            <w:tcW w:type="dxa" w:w="216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100% of workflows have projected cost estimate</w:t>
            </w:r>
          </w:p>
        </w:tc>
        <w:tc>
          <w:tcPr>
            <w:tcW w:type="dxa" w:w="115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 sprint</w:t>
            </w:r>
          </w:p>
        </w:tc>
      </w:tr>
      <w:tr>
        <w:tc>
          <w:tcPr>
            <w:tcW w:type="dxa" w:w="288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3 - Parallel context dedup</w:t>
            </w:r>
          </w:p>
        </w:tc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Shared context sent once for N parallel agents, not N times</w:t>
            </w:r>
          </w:p>
        </w:tc>
        <w:tc>
          <w:tcPr>
            <w:tcW w:type="dxa" w:w="216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Cost per parallel crew reduced by ≥ 50%</w:t>
            </w:r>
          </w:p>
        </w:tc>
        <w:tc>
          <w:tcPr>
            <w:tcW w:type="dxa" w:w="115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2 sprints</w:t>
            </w:r>
          </w:p>
        </w:tc>
      </w:tr>
      <w:tr>
        <w:tc>
          <w:tcPr>
            <w:tcW w:type="dxa" w:w="288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3 - Confidence threshold early exit</w:t>
            </w:r>
          </w:p>
        </w:tc>
        <w:tc>
          <w:tcPr>
            <w:tcW w:type="dxa" w:w="316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stop_on_confidence parameter stops multi-pass agents when quality score &gt; threshold</w:t>
            </w:r>
          </w:p>
        </w:tc>
        <w:tc>
          <w:tcPr>
            <w:tcW w:type="dxa" w:w="216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Average passes per workflow reduced by ≥ 25%</w:t>
            </w:r>
          </w:p>
        </w:tc>
        <w:tc>
          <w:tcPr>
            <w:tcW w:type="dxa" w:w="115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 sprint</w:t>
            </w:r>
          </w:p>
        </w:tc>
      </w:tr>
      <w:tr>
        <w:tc>
          <w:tcPr>
            <w:tcW w:type="dxa" w:w="288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Tier 3 - Cost regression CI gate</w:t>
            </w:r>
          </w:p>
        </w:tc>
        <w:tc>
          <w:tcPr>
            <w:tcW w:type="dxa" w:w="316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Emit cost_per_workflow to CI; fail build if cost regresses &gt; X% vs baseline</w:t>
            </w:r>
          </w:p>
        </w:tc>
        <w:tc>
          <w:tcPr>
            <w:tcW w:type="dxa" w:w="216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Zero undetected cost regressions in production</w:t>
            </w:r>
          </w:p>
        </w:tc>
        <w:tc>
          <w:tcPr>
            <w:tcW w:type="dxa" w:w="115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 sprint</w:t>
            </w:r>
          </w:p>
        </w:tc>
      </w:tr>
    </w:tbl>
    <w:p>
      <w:pPr>
        <w:spacing w:before="0" w:after="160" w:line="276" w:lineRule="auto"/>
      </w:pPr>
    </w:p>
    <w:p>
      <w:pPr>
        <w:keepNext/>
        <w:spacing w:before="320" w:after="120" w:line="276" w:lineRule="auto"/>
      </w:pPr>
      <w:r>
        <w:rPr>
          <w:rFonts w:ascii="Arial" w:hAnsi="Arial"/>
          <w:b/>
          <w:i w:val="0"/>
          <w:color w:val="1A365D"/>
          <w:sz w:val="30"/>
        </w:rPr>
        <w:t>Section 7 — Risk Register</w:t>
      </w:r>
    </w:p>
    <w:p>
      <w:pPr>
        <w:spacing w:before="0" w:after="80" w:line="276" w:lineRule="auto"/>
      </w:pPr>
      <w:r>
        <w:rPr>
          <w:rFonts w:ascii="Arial" w:hAnsi="Arial"/>
          <w:b w:val="0"/>
          <w:i w:val="0"/>
          <w:color w:val="2D3748"/>
          <w:sz w:val="20"/>
        </w:rPr>
        <w:t>The following risks represent competitor moves that could neutralize MeshFlow's current advantages. Each risk has a probability, impact, early warning signal, and mitigation strategy.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2E8F0"/>
          <w:bottom w:val="single" w:sz="4" w:space="0" w:color="E2E8F0"/>
          <w:left w:val="none"/>
          <w:right w:val="none"/>
          <w:insideH w:val="single" w:sz="4" w:space="0" w:color="E2E8F0"/>
          <w:insideV w:val="none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2592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Risk</w:t>
            </w:r>
          </w:p>
        </w:tc>
        <w:tc>
          <w:tcPr>
            <w:tcW w:type="dxa" w:w="72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Prob.</w:t>
            </w:r>
          </w:p>
        </w:tc>
        <w:tc>
          <w:tcPr>
            <w:tcW w:type="dxa" w:w="864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Impact</w:t>
            </w:r>
          </w:p>
        </w:tc>
        <w:tc>
          <w:tcPr>
            <w:tcW w:type="dxa" w:w="2592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Early Warning Signal</w:t>
            </w:r>
          </w:p>
        </w:tc>
        <w:tc>
          <w:tcPr>
            <w:tcW w:type="dxa" w:w="2592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Mitigation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LangGraph ships ModelRouter / token optimization</w:t>
            </w:r>
          </w:p>
        </w:tc>
        <w:tc>
          <w:tcPr>
            <w:tcW w:type="dxa" w:w="7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</w:t>
            </w:r>
          </w:p>
        </w:tc>
        <w:tc>
          <w:tcPr>
            <w:tcW w:type="dxa" w:w="86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</w:t>
            </w:r>
          </w:p>
        </w:tc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LangGraph GitHub: issues/PRs tagged 'cost' or 'routing'</w:t>
            </w:r>
          </w:p>
        </w:tc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Ship Tier 1+2 token work before Q3 2026. File for blog post on launch.</w:t>
            </w:r>
          </w:p>
        </w:tc>
      </w:tr>
      <w:tr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Dify closes multi-agent gap + renews SOC 2</w:t>
            </w:r>
          </w:p>
        </w:tc>
        <w:tc>
          <w:tcPr>
            <w:tcW w:type="dxa" w:w="7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</w:t>
            </w:r>
          </w:p>
        </w:tc>
        <w:tc>
          <w:tcPr>
            <w:tcW w:type="dxa" w:w="86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</w:t>
            </w:r>
          </w:p>
        </w:tc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Dify v2.0 release notes; deepset partnership announcements</w:t>
            </w:r>
          </w:p>
        </w:tc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Accelerate SOC 2 audit track. Publish architectural compliance comparison.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Workday invests in Flowise security</w:t>
            </w:r>
          </w:p>
        </w:tc>
        <w:tc>
          <w:tcPr>
            <w:tcW w:type="dxa" w:w="7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</w:t>
            </w:r>
          </w:p>
        </w:tc>
        <w:tc>
          <w:tcPr>
            <w:tcW w:type="dxa" w:w="86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</w:t>
            </w:r>
          </w:p>
        </w:tc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Flowise enterprise pricing page goes live; CVE patch adoption rises</w:t>
            </w:r>
          </w:p>
        </w:tc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Double down on security positioning now. Publish migration guide.</w:t>
            </w:r>
          </w:p>
        </w:tc>
      </w:tr>
      <w:tr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Haystack adds native agents + HITL</w:t>
            </w:r>
          </w:p>
        </w:tc>
        <w:tc>
          <w:tcPr>
            <w:tcW w:type="dxa" w:w="7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</w:t>
            </w:r>
          </w:p>
        </w:tc>
        <w:tc>
          <w:tcPr>
            <w:tcW w:type="dxa" w:w="86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</w:t>
            </w:r>
          </w:p>
        </w:tc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deepset Series C announcement; Haystack v3.0 roadmap</w:t>
            </w:r>
          </w:p>
        </w:tc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Prioritize RAG parity sprint. Co-market with deepset.</w:t>
            </w:r>
          </w:p>
        </w:tc>
      </w:tr>
      <w:tr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CrewAI launches public agent registry</w:t>
            </w:r>
          </w:p>
        </w:tc>
        <w:tc>
          <w:tcPr>
            <w:tcW w:type="dxa" w:w="72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</w:t>
            </w:r>
          </w:p>
        </w:tc>
        <w:tc>
          <w:tcPr>
            <w:tcW w:type="dxa" w:w="86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</w:t>
            </w:r>
          </w:p>
        </w:tc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CrewAI blog post on marketplace beta</w:t>
            </w:r>
          </w:p>
        </w:tc>
        <w:tc>
          <w:tcPr>
            <w:tcW w:type="dxa" w:w="259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Launch MeshFlow template gallery before CrewAI registry goes public.</w:t>
            </w:r>
          </w:p>
        </w:tc>
      </w:tr>
      <w:tr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New entrant (e.g. OpenAI native agents) enters market</w:t>
            </w:r>
          </w:p>
        </w:tc>
        <w:tc>
          <w:tcPr>
            <w:tcW w:type="dxa" w:w="72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Med</w:t>
            </w:r>
          </w:p>
        </w:tc>
        <w:tc>
          <w:tcPr>
            <w:tcW w:type="dxa" w:w="86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High</w:t>
            </w:r>
          </w:p>
        </w:tc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OpenAI DevDay announcements; Assistants API v2 releases</w:t>
            </w:r>
          </w:p>
        </w:tc>
        <w:tc>
          <w:tcPr>
            <w:tcW w:type="dxa" w:w="259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Deepen compliance + cost moat — these are defensible regardless of models.</w:t>
            </w:r>
          </w:p>
        </w:tc>
      </w:tr>
    </w:tbl>
    <w:p>
      <w:pPr>
        <w:spacing w:before="0" w:after="160" w:line="276" w:lineRule="auto"/>
      </w:pPr>
    </w:p>
    <w:p>
      <w:pPr>
        <w:keepNext/>
        <w:spacing w:before="320" w:after="120" w:line="276" w:lineRule="auto"/>
      </w:pPr>
      <w:r>
        <w:rPr>
          <w:rFonts w:ascii="Arial" w:hAnsi="Arial"/>
          <w:b/>
          <w:i w:val="0"/>
          <w:color w:val="1A365D"/>
          <w:sz w:val="30"/>
        </w:rPr>
        <w:t>Section 8 — Prioritized Sprint Roadmap</w:t>
      </w:r>
    </w:p>
    <w:p>
      <w:pPr>
        <w:spacing w:before="0" w:after="80" w:line="276" w:lineRule="auto"/>
      </w:pPr>
      <w:r>
        <w:rPr>
          <w:rFonts w:ascii="Arial" w:hAnsi="Arial"/>
          <w:b w:val="0"/>
          <w:i w:val="0"/>
          <w:color w:val="2D3748"/>
          <w:sz w:val="20"/>
        </w:rPr>
        <w:t>All items are scored on effort (sprint estimate), competitive impact, and buyer persona coverage. Items marked P1 are blockers for at least two buyer segments.</w:t>
      </w: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8.1 Full Priority Matrix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E2E8F0"/>
          <w:bottom w:val="single" w:sz="4" w:space="0" w:color="E2E8F0"/>
          <w:left w:val="none"/>
          <w:right w:val="none"/>
          <w:insideH w:val="single" w:sz="4" w:space="0" w:color="E2E8F0"/>
          <w:insideV w:val="none"/>
        </w:tblBorders>
      </w:tblPr>
      <w:tblGrid>
        <w:gridCol w:w="1560"/>
        <w:gridCol w:w="1560"/>
        <w:gridCol w:w="1560"/>
        <w:gridCol w:w="1560"/>
        <w:gridCol w:w="1560"/>
        <w:gridCol w:w="1560"/>
      </w:tblGrid>
      <w:tr>
        <w:tc>
          <w:tcPr>
            <w:tcW w:type="dxa" w:w="576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P</w:t>
            </w:r>
          </w:p>
        </w:tc>
        <w:tc>
          <w:tcPr>
            <w:tcW w:type="dxa" w:w="288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Item</w:t>
            </w:r>
          </w:p>
        </w:tc>
        <w:tc>
          <w:tcPr>
            <w:tcW w:type="dxa" w:w="864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Effort</w:t>
            </w:r>
          </w:p>
        </w:tc>
        <w:tc>
          <w:tcPr>
            <w:tcW w:type="dxa" w:w="1872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Blocker For</w:t>
            </w:r>
          </w:p>
        </w:tc>
        <w:tc>
          <w:tcPr>
            <w:tcW w:type="dxa" w:w="2160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Success Metric</w:t>
            </w:r>
          </w:p>
        </w:tc>
        <w:tc>
          <w:tcPr>
            <w:tcW w:type="dxa" w:w="1008"/>
            <w:shd w:fill="1A365D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Area</w:t>
            </w:r>
          </w:p>
        </w:tc>
      </w:tr>
      <w:tr>
        <w:tc>
          <w:tcPr>
            <w:tcW w:type="dxa" w:w="57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P1</w:t>
            </w:r>
          </w:p>
        </w:tc>
        <w:tc>
          <w:tcPr>
            <w:tcW w:type="dxa" w:w="288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cache_control on system prompts</w:t>
            </w:r>
          </w:p>
        </w:tc>
        <w:tc>
          <w:tcPr>
            <w:tcW w:type="dxa" w:w="86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0.5 sp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All buyers (cost)</w:t>
            </w:r>
          </w:p>
        </w:tc>
        <w:tc>
          <w:tcPr>
            <w:tcW w:type="dxa" w:w="216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≥ 70% reduction on system prompt tokens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Token Opt</w:t>
            </w:r>
          </w:p>
        </w:tc>
      </w:tr>
      <w:tr>
        <w:tc>
          <w:tcPr>
            <w:tcW w:type="dxa" w:w="57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P1</w:t>
            </w:r>
          </w:p>
        </w:tc>
        <w:tc>
          <w:tcPr>
            <w:tcW w:type="dxa" w:w="288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RAG max_chars enforcement</w:t>
            </w:r>
          </w:p>
        </w:tc>
        <w:tc>
          <w:tcPr>
            <w:tcW w:type="dxa" w:w="86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0.5 sp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ML Eng, Enterprise</w:t>
            </w:r>
          </w:p>
        </w:tc>
        <w:tc>
          <w:tcPr>
            <w:tcW w:type="dxa" w:w="216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≥ 40% RAG cost reduction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Token Opt</w:t>
            </w:r>
          </w:p>
        </w:tc>
      </w:tr>
      <w:tr>
        <w:tc>
          <w:tcPr>
            <w:tcW w:type="dxa" w:w="57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P1</w:t>
            </w:r>
          </w:p>
        </w:tc>
        <w:tc>
          <w:tcPr>
            <w:tcW w:type="dxa" w:w="288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Subprocess sandbox (python_repl)</w:t>
            </w:r>
          </w:p>
        </w:tc>
        <w:tc>
          <w:tcPr>
            <w:tcW w:type="dxa" w:w="86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 sp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HIPAA, Fortune 500</w:t>
            </w:r>
          </w:p>
        </w:tc>
        <w:tc>
          <w:tcPr>
            <w:tcW w:type="dxa" w:w="216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Passes HIPAA technical safeguard review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AutoGen Gap</w:t>
            </w:r>
          </w:p>
        </w:tc>
      </w:tr>
      <w:tr>
        <w:tc>
          <w:tcPr>
            <w:tcW w:type="dxa" w:w="57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P1</w:t>
            </w:r>
          </w:p>
        </w:tc>
        <w:tc>
          <w:tcPr>
            <w:tcW w:type="dxa" w:w="288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ReplayLedger interactive API</w:t>
            </w:r>
          </w:p>
        </w:tc>
        <w:tc>
          <w:tcPr>
            <w:tcW w:type="dxa" w:w="86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 sp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Engineering Teams</w:t>
            </w:r>
          </w:p>
        </w:tc>
        <w:tc>
          <w:tcPr>
            <w:tcW w:type="dxa" w:w="216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Fork prior state in &lt; 3 commands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LangGraph Gap</w:t>
            </w:r>
          </w:p>
        </w:tc>
      </w:tr>
      <w:tr>
        <w:tc>
          <w:tcPr>
            <w:tcW w:type="dxa" w:w="57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P2</w:t>
            </w:r>
          </w:p>
        </w:tc>
        <w:tc>
          <w:tcPr>
            <w:tcW w:type="dxa" w:w="288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ModelRouter task (smart routing)</w:t>
            </w:r>
          </w:p>
        </w:tc>
        <w:tc>
          <w:tcPr>
            <w:tcW w:type="dxa" w:w="86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2 sp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Fortune 500, Startup</w:t>
            </w:r>
          </w:p>
        </w:tc>
        <w:tc>
          <w:tcPr>
            <w:tcW w:type="dxa" w:w="216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40–70% cost savings on mixed workflows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Token Opt</w:t>
            </w:r>
          </w:p>
        </w:tc>
      </w:tr>
      <w:tr>
        <w:tc>
          <w:tcPr>
            <w:tcW w:type="dxa" w:w="57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P2</w:t>
            </w:r>
          </w:p>
        </w:tc>
        <w:tc>
          <w:tcPr>
            <w:tcW w:type="dxa" w:w="288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ContextCompactor middleware</w:t>
            </w:r>
          </w:p>
        </w:tc>
        <w:tc>
          <w:tcPr>
            <w:tcW w:type="dxa" w:w="86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2 sp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Fortune 500 (long)</w:t>
            </w:r>
          </w:p>
        </w:tc>
        <w:tc>
          <w:tcPr>
            <w:tcW w:type="dxa" w:w="216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Context growth capped at &lt; 2x for 30-step workflows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Token Opt</w:t>
            </w:r>
          </w:p>
        </w:tc>
      </w:tr>
      <w:tr>
        <w:tc>
          <w:tcPr>
            <w:tcW w:type="dxa" w:w="57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P2</w:t>
            </w:r>
          </w:p>
        </w:tc>
        <w:tc>
          <w:tcPr>
            <w:tcW w:type="dxa" w:w="288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CriticAgent built-in role</w:t>
            </w:r>
          </w:p>
        </w:tc>
        <w:tc>
          <w:tcPr>
            <w:tcW w:type="dxa" w:w="86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 sp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ML Engineers</w:t>
            </w:r>
          </w:p>
        </w:tc>
        <w:tc>
          <w:tcPr>
            <w:tcW w:type="dxa" w:w="216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&gt; 20% hallucination reduction on code review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AutoGen Gap</w:t>
            </w:r>
          </w:p>
        </w:tc>
      </w:tr>
      <w:tr>
        <w:tc>
          <w:tcPr>
            <w:tcW w:type="dxa" w:w="57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P2</w:t>
            </w:r>
          </w:p>
        </w:tc>
        <w:tc>
          <w:tcPr>
            <w:tcW w:type="dxa" w:w="288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Pipeline YAML serialization</w:t>
            </w:r>
          </w:p>
        </w:tc>
        <w:tc>
          <w:tcPr>
            <w:tcW w:type="dxa" w:w="86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2 sp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Fortune 500 (CI/CD)</w:t>
            </w:r>
          </w:p>
        </w:tc>
        <w:tc>
          <w:tcPr>
            <w:tcW w:type="dxa" w:w="216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Pipelines exportable, diffable, and deployable via CI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Haystack Gap</w:t>
            </w:r>
          </w:p>
        </w:tc>
      </w:tr>
      <w:tr>
        <w:tc>
          <w:tcPr>
            <w:tcW w:type="dxa" w:w="57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P2</w:t>
            </w:r>
          </w:p>
        </w:tc>
        <w:tc>
          <w:tcPr>
            <w:tcW w:type="dxa" w:w="288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Token budget pre-run planner</w:t>
            </w:r>
          </w:p>
        </w:tc>
        <w:tc>
          <w:tcPr>
            <w:tcW w:type="dxa" w:w="86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 sp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FinOps, Enterprise</w:t>
            </w:r>
          </w:p>
        </w:tc>
        <w:tc>
          <w:tcPr>
            <w:tcW w:type="dxa" w:w="216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100% of workflows have projected cost before run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Token Opt</w:t>
            </w:r>
          </w:p>
        </w:tc>
      </w:tr>
      <w:tr>
        <w:tc>
          <w:tcPr>
            <w:tcW w:type="dxa" w:w="57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P2</w:t>
            </w:r>
          </w:p>
        </w:tc>
        <w:tc>
          <w:tcPr>
            <w:tcW w:type="dxa" w:w="288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Persistence backend abstraction</w:t>
            </w:r>
          </w:p>
        </w:tc>
        <w:tc>
          <w:tcPr>
            <w:tcW w:type="dxa" w:w="86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2 sp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Enterprise (cloud)</w:t>
            </w:r>
          </w:p>
        </w:tc>
        <w:tc>
          <w:tcPr>
            <w:tcW w:type="dxa" w:w="216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Workflow resumes across restarts, zero data loss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LangGraph Gap</w:t>
            </w:r>
          </w:p>
        </w:tc>
      </w:tr>
      <w:tr>
        <w:tc>
          <w:tcPr>
            <w:tcW w:type="dxa" w:w="57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P3</w:t>
            </w:r>
          </w:p>
        </w:tc>
        <w:tc>
          <w:tcPr>
            <w:tcW w:type="dxa" w:w="288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Public agent template gallery</w:t>
            </w:r>
          </w:p>
        </w:tc>
        <w:tc>
          <w:tcPr>
            <w:tcW w:type="dxa" w:w="86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3 sp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Solo Dev / Startup</w:t>
            </w:r>
          </w:p>
        </w:tc>
        <w:tc>
          <w:tcPr>
            <w:tcW w:type="dxa" w:w="216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500+ template deploys within 60 days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CrewAI Gap</w:t>
            </w:r>
          </w:p>
        </w:tc>
      </w:tr>
      <w:tr>
        <w:tc>
          <w:tcPr>
            <w:tcW w:type="dxa" w:w="57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P3</w:t>
            </w:r>
          </w:p>
        </w:tc>
        <w:tc>
          <w:tcPr>
            <w:tcW w:type="dxa" w:w="288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Parallel context dedup</w:t>
            </w:r>
          </w:p>
        </w:tc>
        <w:tc>
          <w:tcPr>
            <w:tcW w:type="dxa" w:w="86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2 sp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Large parallel crews</w:t>
            </w:r>
          </w:p>
        </w:tc>
        <w:tc>
          <w:tcPr>
            <w:tcW w:type="dxa" w:w="216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≥ 50% cost reduction per parallel crew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Token Opt</w:t>
            </w:r>
          </w:p>
        </w:tc>
      </w:tr>
      <w:tr>
        <w:tc>
          <w:tcPr>
            <w:tcW w:type="dxa" w:w="57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P3</w:t>
            </w:r>
          </w:p>
        </w:tc>
        <w:tc>
          <w:tcPr>
            <w:tcW w:type="dxa" w:w="288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Cost regression CI gate</w:t>
            </w:r>
          </w:p>
        </w:tc>
        <w:tc>
          <w:tcPr>
            <w:tcW w:type="dxa" w:w="86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1 sp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Enterprise DevOps</w:t>
            </w:r>
          </w:p>
        </w:tc>
        <w:tc>
          <w:tcPr>
            <w:tcW w:type="dxa" w:w="216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Zero undetected regressions in production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Token Opt</w:t>
            </w:r>
          </w:p>
        </w:tc>
      </w:tr>
      <w:tr>
        <w:tc>
          <w:tcPr>
            <w:tcW w:type="dxa" w:w="576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P3</w:t>
            </w:r>
          </w:p>
        </w:tc>
        <w:tc>
          <w:tcPr>
            <w:tcW w:type="dxa" w:w="288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Formal SOC 2 Type II certification</w:t>
            </w:r>
          </w:p>
        </w:tc>
        <w:tc>
          <w:tcPr>
            <w:tcW w:type="dxa" w:w="864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6+ mo</w:t>
            </w:r>
          </w:p>
        </w:tc>
        <w:tc>
          <w:tcPr>
            <w:tcW w:type="dxa" w:w="1872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HIPAA, Fortune 500</w:t>
            </w:r>
          </w:p>
        </w:tc>
        <w:tc>
          <w:tcPr>
            <w:tcW w:type="dxa" w:w="2160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Certification awarded; listed on security page</w:t>
            </w:r>
          </w:p>
        </w:tc>
        <w:tc>
          <w:tcPr>
            <w:tcW w:type="dxa" w:w="1008"/>
            <w:shd w:fill="F7FAFC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Compliance</w:t>
            </w:r>
          </w:p>
        </w:tc>
      </w:tr>
      <w:tr>
        <w:tc>
          <w:tcPr>
            <w:tcW w:type="dxa" w:w="576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P3</w:t>
            </w:r>
          </w:p>
        </w:tc>
        <w:tc>
          <w:tcPr>
            <w:tcW w:type="dxa" w:w="288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Visual trace viewer (OTEL-based)</w:t>
            </w:r>
          </w:p>
        </w:tc>
        <w:tc>
          <w:tcPr>
            <w:tcW w:type="dxa" w:w="864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3 sp</w:t>
            </w:r>
          </w:p>
        </w:tc>
        <w:tc>
          <w:tcPr>
            <w:tcW w:type="dxa" w:w="1872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Engineering Teams</w:t>
            </w:r>
          </w:p>
        </w:tc>
        <w:tc>
          <w:tcPr>
            <w:tcW w:type="dxa" w:w="2160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Node-by-node execution visible in &lt; 5 min setup</w:t>
            </w:r>
          </w:p>
        </w:tc>
        <w:tc>
          <w:tcPr>
            <w:tcW w:type="dxa" w:w="1008"/>
            <w:shd w:fill="FFFFFF"/>
            <w:tcMar>
              <w:top w:w="60" w:type="dxa"/>
              <w:bottom w:w="60" w:type="dxa"/>
              <w:left w:w="80" w:type="dxa"/>
              <w:right w:w="80" w:type="dxa"/>
            </w:tcMar>
          </w:tcPr>
          <w:p>
            <w:pPr>
              <w:spacing w:before="80" w:after="80" w:line="276" w:lineRule="auto"/>
              <w:jc w:val="left"/>
            </w:pPr>
            <w:r>
              <w:rPr>
                <w:rFonts w:ascii="Arial" w:hAnsi="Arial"/>
                <w:b w:val="0"/>
                <w:i w:val="0"/>
                <w:color w:val="2D3748"/>
                <w:sz w:val="17"/>
              </w:rPr>
              <w:t>LangGraph Gap</w:t>
            </w:r>
          </w:p>
        </w:tc>
      </w:tr>
    </w:tbl>
    <w:p>
      <w:pPr>
        <w:spacing w:before="0" w:after="160" w:line="276" w:lineRule="auto"/>
      </w:pPr>
    </w:p>
    <w:p>
      <w:pPr>
        <w:keepNext/>
        <w:spacing w:before="240" w:after="80" w:line="276" w:lineRule="auto"/>
      </w:pPr>
      <w:r>
        <w:rPr>
          <w:rFonts w:ascii="Arial" w:hAnsi="Arial"/>
          <w:b/>
          <w:i w:val="0"/>
          <w:color w:val="2B6CB0"/>
          <w:sz w:val="24"/>
        </w:rPr>
        <w:t>8.2 Sprint Allocation Recommendation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Next Sprint — Token Quick Wins + Security Basics: </w:t>
      </w:r>
      <w:r>
        <w:rPr>
          <w:rFonts w:ascii="Arial" w:hAnsi="Arial"/>
          <w:b w:val="0"/>
          <w:i w:val="0"/>
          <w:color w:val="2D3748"/>
          <w:sz w:val="20"/>
        </w:rPr>
        <w:t>cache_control on all system prompts (0.5 sprint), RAG max_chars enforcement (0.5 sprint), Subprocess sandbox for python_repl (1 sprint), ReplayLedger API surface (0.5 sprint).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Sprint +1 — Cost Intelligence: </w:t>
      </w:r>
      <w:r>
        <w:rPr>
          <w:rFonts w:ascii="Arial" w:hAnsi="Arial"/>
          <w:b w:val="0"/>
          <w:i w:val="0"/>
          <w:color w:val="2D3748"/>
          <w:sz w:val="20"/>
        </w:rPr>
        <w:t>ModelRouter task type + YAML config (1.5 sprints), ContextCompactor middleware (1 sprint), Token budget pre-run planner (0.5 sprint).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Sprint +2 — Capability Parity + Pipeline Portability: </w:t>
      </w:r>
      <w:r>
        <w:rPr>
          <w:rFonts w:ascii="Arial" w:hAnsi="Arial"/>
          <w:b w:val="0"/>
          <w:i w:val="0"/>
          <w:color w:val="2D3748"/>
          <w:sz w:val="20"/>
        </w:rPr>
        <w:t>CriticAgent built-in role (1 sprint), Pipeline YAML serialization / @workflow export (1.5 sprints), Persistence backend abstraction for DurableWorkflowExecutor (1.5 sprints).</w:t>
      </w:r>
    </w:p>
    <w:p>
      <w:pPr>
        <w:keepNext/>
        <w:spacing w:before="320" w:after="120" w:line="276" w:lineRule="auto"/>
      </w:pPr>
      <w:r>
        <w:rPr>
          <w:rFonts w:ascii="Arial" w:hAnsi="Arial"/>
          <w:b/>
          <w:i w:val="0"/>
          <w:color w:val="1A365D"/>
          <w:sz w:val="30"/>
        </w:rPr>
        <w:t>Appendix — Sources &amp; Research Notes</w:t>
      </w:r>
    </w:p>
    <w:p>
      <w:pPr>
        <w:keepNext/>
        <w:spacing w:before="160" w:after="40" w:line="276" w:lineRule="auto"/>
      </w:pPr>
      <w:r>
        <w:rPr>
          <w:rFonts w:ascii="Arial" w:hAnsi="Arial"/>
          <w:b/>
          <w:i w:val="0"/>
          <w:color w:val="2D3748"/>
          <w:sz w:val="21"/>
        </w:rPr>
        <w:t>Token Optimization Research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ProjectDiscovery: </w:t>
      </w:r>
      <w:r>
        <w:rPr>
          <w:rFonts w:ascii="Arial" w:hAnsi="Arial"/>
          <w:b w:val="0"/>
          <w:i w:val="0"/>
          <w:color w:val="2D3748"/>
          <w:sz w:val="20"/>
        </w:rPr>
        <w:t>Prompt caching cut costs from 60M tokens/task significantly; multi-step agents benefit most.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Arxiv Feb 2026: </w:t>
      </w:r>
      <w:r>
        <w:rPr>
          <w:rFonts w:ascii="Arial" w:hAnsi="Arial"/>
          <w:b w:val="0"/>
          <w:i w:val="0"/>
          <w:color w:val="2D3748"/>
          <w:sz w:val="20"/>
        </w:rPr>
        <w:t>Strategic cache block placement reduces costs 41–80% and improves TTFT 13–31% across Anthropic, OpenAI, Google.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Industry Consensus (2026): </w:t>
      </w:r>
      <w:r>
        <w:rPr>
          <w:rFonts w:ascii="Arial" w:hAnsi="Arial"/>
          <w:b w:val="0"/>
          <w:i w:val="0"/>
          <w:color w:val="2D3748"/>
          <w:sz w:val="20"/>
        </w:rPr>
        <w:t>Multi-agent systems waste 40–60% of tokens; 4–15x overhead vs single-agent if unoptimized; 70–85% savings achievable.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Anthropic Prompt Caching: </w:t>
      </w:r>
      <w:r>
        <w:rPr>
          <w:rFonts w:ascii="Arial" w:hAnsi="Arial"/>
          <w:b w:val="0"/>
          <w:i w:val="0"/>
          <w:color w:val="2D3748"/>
          <w:sz w:val="20"/>
        </w:rPr>
        <w:t>10% of normal input token price on cache hits; 5-minute TTL refreshed on each hit; explicit cache_control parameter.</w:t>
      </w:r>
    </w:p>
    <w:p>
      <w:pPr>
        <w:keepNext/>
        <w:spacing w:before="160" w:after="40" w:line="276" w:lineRule="auto"/>
      </w:pPr>
      <w:r>
        <w:rPr>
          <w:rFonts w:ascii="Arial" w:hAnsi="Arial"/>
          <w:b/>
          <w:i w:val="0"/>
          <w:color w:val="2D3748"/>
          <w:sz w:val="21"/>
        </w:rPr>
        <w:t>Flowise Security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CVE-2025-59528: </w:t>
      </w:r>
      <w:r>
        <w:rPr>
          <w:rFonts w:ascii="Arial" w:hAnsi="Arial"/>
          <w:b w:val="0"/>
          <w:i w:val="0"/>
          <w:color w:val="2D3748"/>
          <w:sz w:val="20"/>
        </w:rPr>
        <w:t>CVSS 10.0 RCE, disclosed Sept 2025, patch in v3.0.6. As of April 2026, 12,000 instances still unpatched and under active exploitation.</w:t>
      </w:r>
    </w:p>
    <w:p>
      <w:pPr>
        <w:keepNext/>
        <w:spacing w:before="160" w:after="40" w:line="276" w:lineRule="auto"/>
      </w:pPr>
      <w:r>
        <w:rPr>
          <w:rFonts w:ascii="Arial" w:hAnsi="Arial"/>
          <w:b/>
          <w:i w:val="0"/>
          <w:color w:val="2D3748"/>
          <w:sz w:val="21"/>
        </w:rPr>
        <w:t>Competitor Status (May 2026)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Dify: </w:t>
      </w:r>
      <w:r>
        <w:rPr>
          <w:rFonts w:ascii="Arial" w:hAnsi="Arial"/>
          <w:b w:val="0"/>
          <w:i w:val="0"/>
          <w:color w:val="2D3748"/>
          <w:sz w:val="20"/>
        </w:rPr>
        <w:t>v1.0 plugin system live Feb 2025; SOC 2 Type II + ISO 27001 + GDPR certified; 114K+ stars.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Flowise: </w:t>
      </w:r>
      <w:r>
        <w:rPr>
          <w:rFonts w:ascii="Arial" w:hAnsi="Arial"/>
          <w:b w:val="0"/>
          <w:i w:val="0"/>
          <w:color w:val="2D3748"/>
          <w:sz w:val="20"/>
        </w:rPr>
        <w:t>Acquired by Workday 2025; Agentflow V2 multi-agent orchestration Q4 2025; 35K+ stars.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Haystack: </w:t>
      </w:r>
      <w:r>
        <w:rPr>
          <w:rFonts w:ascii="Arial" w:hAnsi="Arial"/>
          <w:b w:val="0"/>
          <w:i w:val="0"/>
          <w:color w:val="2D3748"/>
          <w:sz w:val="20"/>
        </w:rPr>
        <w:t>Active development (April 2026 release); LLMRanker, Jinja2 prompts, Azure OpenAI Responses API.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LangGraph: </w:t>
      </w:r>
      <w:r>
        <w:rPr>
          <w:rFonts w:ascii="Arial" w:hAnsi="Arial"/>
          <w:b w:val="0"/>
          <w:i w:val="0"/>
          <w:color w:val="2D3748"/>
          <w:sz w:val="20"/>
        </w:rPr>
        <w:t>Time-travel with 3 modes (Replay, Fork, State Injection) fully mature; LangSmith visual trace UI.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CrewAI: </w:t>
      </w:r>
      <w:r>
        <w:rPr>
          <w:rFonts w:ascii="Arial" w:hAnsi="Arial"/>
          <w:b w:val="0"/>
          <w:i w:val="0"/>
          <w:color w:val="2D3748"/>
          <w:sz w:val="20"/>
        </w:rPr>
        <w:t>100K+ community; cross-session memory still session-scoped; agent marketplace in development.</w:t>
      </w:r>
    </w:p>
    <w:p>
      <w:pPr>
        <w:pStyle w:val="ListBullet"/>
        <w:spacing w:before="0" w:after="40" w:line="276" w:lineRule="auto"/>
        <w:ind w:left="360"/>
      </w:pPr>
      <w:r>
        <w:rPr>
          <w:rFonts w:ascii="Arial" w:hAnsi="Arial"/>
          <w:b/>
          <w:i w:val="0"/>
          <w:color w:val="2D3748"/>
          <w:sz w:val="20"/>
        </w:rPr>
        <w:t xml:space="preserve">AutoGen: </w:t>
      </w:r>
      <w:r>
        <w:rPr>
          <w:rFonts w:ascii="Arial" w:hAnsi="Arial"/>
          <w:b w:val="0"/>
          <w:i w:val="0"/>
          <w:color w:val="2D3748"/>
          <w:sz w:val="20"/>
        </w:rPr>
        <w:t>Shifting focus to AutoGen Studio + Azure AI Foundry; core OSS framework in maintenance mode.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rPr>
        <w:rFonts w:ascii="Arial" w:hAnsi="Arial"/>
        <w:b w:val="0"/>
        <w:i w:val="0"/>
        <w:color w:val="718096"/>
        <w:sz w:val="16"/>
      </w:rPr>
      <w:t>Internal Use Only</w:t>
    </w:r>
  </w:p>
  <w:p>
    <w:pPr>
      <w:pStyle w:val="Footer"/>
      <w:jc w:val="left"/>
    </w:pPr>
    <w:r>
      <w:rPr>
        <w:rFonts w:ascii="Arial" w:hAnsi="Arial"/>
        <w:b w:val="0"/>
        <w:i w:val="0"/>
        <w:color w:val="718096"/>
        <w:sz w:val="16"/>
      </w:rPr>
      <w:t>CONFIDENTIAL  |  May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b w:val="0"/>
        <w:i/>
        <w:color w:val="718096"/>
        <w:sz w:val="16"/>
      </w:rPr>
      <w:t>MeshFlow Competitive Intelligence &amp; Roadmap  |  Confidential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