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b/>
          <w:color w:val="0E7C86"/>
          <w:sz w:val="40"/>
        </w:rPr>
        <w:t>Enabling AI Agents on the oneM2M Service Layer</w:t>
      </w:r>
    </w:p>
    <w:p>
      <w:r>
        <w:rPr>
          <w:b w:val="0"/>
          <w:color w:val="5C6D75"/>
          <w:sz w:val="24"/>
        </w:rPr>
        <w:t>An open-source Model Context Protocol (MCP) interworking implementation for oneM2M CSEs</w:t>
      </w:r>
    </w:p>
    <w:p>
      <w:r>
        <w:rPr>
          <w:b w:val="0"/>
          <w:color w:val="5C6D75"/>
          <w:sz w:val="18"/>
        </w:rPr>
        <w:t>Proposal and project overview  ·  August 2026  ·  Contact: rostanaiautomation@gmail.com</w:t>
      </w:r>
    </w:p>
    <w:p>
      <w:pPr>
        <w:pStyle w:val="Heading1"/>
      </w:pPr>
      <w:r>
        <w:t>Summary</w:t>
      </w:r>
    </w:p>
    <w:p>
      <w:r>
        <w:rPr>
          <w:b w:val="0"/>
        </w:rPr>
        <w:t>We are building the first open-source implementation of oneM2M–MCP interworking: a server that lets AI agents (LLM-based assistants and autonomous agents) discover, read, and manage resources on a oneM2M CSE through the Model Context Protocol, with oneM2M access control policies enforced on every agent action. A working prototype already runs on the ACME CSE as a standard user plugin, together with first performance measurements. We would like to align this work with WI-0122 / TR-0081 [1] and contribute our implementation experience back to oneM2M.</w:t>
      </w:r>
    </w:p>
    <w:p>
      <w:pPr>
        <w:pStyle w:val="Heading1"/>
      </w:pPr>
      <w:r>
        <w:t>The problem we address</w:t>
      </w:r>
    </w:p>
    <w:p>
      <w:r>
        <w:rPr>
          <w:b w:val="0"/>
        </w:rPr>
        <w:t>AI agents are becoming a primary way users and systems interact with software. MCP has emerged as the de-facto standard for connecting agents to external systems (500+ public servers; adopted by major AI vendors and now governed under the Linux Foundation). Yet today an AI agent has no standard way to work with a oneM2M system:</w:t>
      </w:r>
    </w:p>
    <w:p>
      <w:pPr>
        <w:pStyle w:val="ListBullet"/>
      </w:pPr>
      <w:r>
        <w:rPr>
          <w:b/>
        </w:rPr>
        <w:t xml:space="preserve">No implementation exists. </w:t>
      </w:r>
      <w:r>
        <w:t>oneM2M has recognised the topic — WI-0122 "Interworking with AI Agents – oneM2M &amp; MCP" and TR-0081 [1] — but as of August 2026 there is no public open-source implementation to learn from, test against, or standardise from.</w:t>
      </w:r>
    </w:p>
    <w:p>
      <w:pPr>
        <w:pStyle w:val="ListBullet"/>
      </w:pPr>
      <w:r>
        <w:rPr>
          <w:b/>
        </w:rPr>
        <w:t xml:space="preserve">The open design questions are unanswered. </w:t>
      </w:r>
      <w:r>
        <w:t>Published oneM2M expert discussions name authentication, authorization, notification handling, and operational dependability as the unsolved problems of agentic access to IoT systems [2]. These need running code to be explored, not only paper designs.</w:t>
      </w:r>
    </w:p>
    <w:p>
      <w:pPr>
        <w:pStyle w:val="ListBullet"/>
      </w:pPr>
      <w:r>
        <w:rPr>
          <w:b/>
        </w:rPr>
        <w:t xml:space="preserve">Adjacent ecosystems are moving faster. </w:t>
      </w:r>
      <w:r>
        <w:t>Home Assistant and commercial IoT platforms already ship MCP servers; LLM-agent research benchmarks exist only for those platforms. Without an implementation, oneM2M risks being invisible in the agentic-AI ecosystem despite being the international IoT standard.</w:t>
      </w:r>
    </w:p>
    <w:p>
      <w:pPr>
        <w:pStyle w:val="Heading1"/>
      </w:pPr>
      <w:r>
        <w:t>What we are building</w:t>
      </w:r>
    </w:p>
    <w:p>
      <w:r>
        <w:rPr>
          <w:b w:val="0"/>
        </w:rPr>
        <w:t>An MCP server for oneM2M CSEs, released as permissively licensed open source (BSD-3, matching the ACME CSE):</w:t>
      </w:r>
    </w:p>
    <w:p>
      <w:pPr>
        <w:pStyle w:val="ListBullet"/>
      </w:pPr>
      <w:r>
        <w:rPr>
          <w:b/>
        </w:rPr>
        <w:t xml:space="preserve">Architecture. </w:t>
      </w:r>
      <w:r>
        <w:t>The server maps MCP tool calls to oneM2M request primitives and dispatches them through the CSE’s own request pipeline, so validation and &lt;accessControlPolicy&gt; enforcement apply to agent traffic exactly as to any AE. It is implemented as a user plugin for the ACME CSE (v2026.05 plugin architecture) — no fork, no core changes.</w:t>
      </w:r>
    </w:p>
    <w:p>
      <w:pPr>
        <w:pStyle w:val="ListBullet"/>
      </w:pPr>
      <w:r>
        <w:rPr>
          <w:b/>
        </w:rPr>
        <w:t xml:space="preserve">Agent-facing tools. </w:t>
      </w:r>
      <w:r>
        <w:t>Resource discovery (filterCriteria), retrieval, AE registration, container and contentInstance management, subscriptions, and a guarded raw-primitive tool — each described so that agents use oneM2M correctly.</w:t>
      </w:r>
    </w:p>
    <w:p>
      <w:pPr>
        <w:pStyle w:val="ListBullet"/>
      </w:pPr>
      <w:r>
        <w:rPr>
          <w:b/>
        </w:rPr>
        <w:t xml:space="preserve">Security model. </w:t>
      </w:r>
      <w:r>
        <w:t>Each agent is mapped to a oneM2M originator with dedicated access control policies; the CSE’s ACP evaluation is the authorization boundary for agent actions — directly addressing the authorization question raised in the WI-0122 context.</w:t>
      </w:r>
    </w:p>
    <w:p>
      <w:pPr>
        <w:pStyle w:val="ListBullet"/>
      </w:pPr>
      <w:r>
        <w:rPr>
          <w:b/>
        </w:rPr>
        <w:t xml:space="preserve">Evaluation. </w:t>
      </w:r>
      <w:r>
        <w:t>A benchmark suite for agent access to a standards-based service layer — to our knowledge the first of its kind — covering discovery, ACP-restricted access, and subscription management.</w:t>
      </w:r>
    </w:p>
    <w:p>
      <w:pPr>
        <w:pStyle w:val="Heading1"/>
      </w:pPr>
      <w:r>
        <w:t>Current status (working prototype)</w:t>
      </w:r>
    </w:p>
    <w:p>
      <w:r>
        <w:rPr>
          <w:b w:val="0"/>
        </w:rPr>
        <w:t>The prototype is functional today on ACME CSE 2026.05.1:</w:t>
      </w:r>
    </w:p>
    <w:p>
      <w:pPr>
        <w:pStyle w:val="ListBullet"/>
      </w:pPr>
      <w:r>
        <w:t>End-to-end verified: an MCP client (as an LLM agent would connect) registers an AE, creates containers, stores and reads data points, and discovers resources — all through oneM2M primitives.</w:t>
      </w:r>
    </w:p>
    <w:p>
      <w:pPr>
        <w:pStyle w:val="ListBullet"/>
      </w:pPr>
      <w:r>
        <w:t>Measured overhead of the MCP layer is approximately 2 ms per operation (p50: 6.2 ms via MCP vs 3.8 ms direct HTTP for contentInstance creation; 4-core commodity hardware).</w:t>
      </w:r>
    </w:p>
    <w:p>
      <w:pPr>
        <w:pStyle w:val="ListBullet"/>
      </w:pPr>
      <w:r>
        <w:t>Sustained throughput through the agent path: 180–240 tool calls per second — ample for agentic workloads.</w:t>
      </w:r>
    </w:p>
    <w:p>
      <w:pPr>
        <w:pStyle w:val="Heading1"/>
      </w:pPr>
      <w:r>
        <w:t>Why this is needed now</w:t>
      </w:r>
    </w:p>
    <w:p>
      <w:pPr>
        <w:pStyle w:val="ListBullet"/>
      </w:pPr>
      <w:r>
        <w:rPr>
          <w:b/>
        </w:rPr>
        <w:t xml:space="preserve">It turns standards intent into evidence. </w:t>
      </w:r>
      <w:r>
        <w:t>WI-0122 and TR-0081 are in early drafts; an open reference implementation provides the implementation experience, gap lists, and test material that make the normative work concrete.</w:t>
      </w:r>
    </w:p>
    <w:p>
      <w:pPr>
        <w:pStyle w:val="ListBullet"/>
      </w:pPr>
      <w:r>
        <w:rPr>
          <w:b/>
        </w:rPr>
        <w:t xml:space="preserve">It answers oneM2M’s adoption challenge. </w:t>
      </w:r>
      <w:r>
        <w:t>The learning curve is oneM2M’s most cited adoption barrier. An agent that speaks natural language and uses oneM2M correctly on the user’s behalf is the most direct developer-experience improvement available.</w:t>
      </w:r>
    </w:p>
    <w:p>
      <w:pPr>
        <w:pStyle w:val="ListBullet"/>
      </w:pPr>
      <w:r>
        <w:rPr>
          <w:b/>
        </w:rPr>
        <w:t xml:space="preserve">Timing. </w:t>
      </w:r>
      <w:r>
        <w:t>The machine-readable specification effort, the Release 6 work programme, and the 2026 hackathon season (AIoT theme) all point the same direction; this project is ready to demonstrate at these venues.</w:t>
      </w:r>
    </w:p>
    <w:p>
      <w:pPr>
        <w:pStyle w:val="Heading1"/>
      </w:pPr>
      <w:r>
        <w:t>Roadmap and how we would like to engage</w:t>
      </w:r>
    </w:p>
    <w:p>
      <w:pPr>
        <w:pStyle w:val="ListBullet"/>
      </w:pPr>
      <w:r>
        <w:t>Q3 2026 — Public release: hardened security model (dedicated agent originators + ACPs), subscription-to-MCP notification bridging, public GitHub repository and documentation.</w:t>
      </w:r>
    </w:p>
    <w:p>
      <w:pPr>
        <w:pStyle w:val="ListBullet"/>
      </w:pPr>
      <w:r>
        <w:t>Q4 2026 — Evaluation: publish the agent benchmark and results; demonstrate at the oneM2M / ESTIMED hackathons.</w:t>
      </w:r>
    </w:p>
    <w:p>
      <w:pPr>
        <w:pStyle w:val="ListBullet"/>
      </w:pPr>
      <w:r>
        <w:t>Ongoing — Contribution: share implementation findings with the WI-0122 / TR-0081 work; align tool semantics with the emerging specification and adapt as it evolves.</w:t>
      </w:r>
    </w:p>
    <w:p>
      <w:r>
        <w:rPr>
          <w:b w:val="0"/>
        </w:rPr>
      </w:r>
    </w:p>
    <w:p>
      <w:r>
        <w:rPr>
          <w:b/>
        </w:rPr>
        <w:t>We welcome feedback, and would be glad to present a live demonstration to interested oneM2M members.</w:t>
      </w:r>
    </w:p>
    <w:p>
      <w:pPr>
        <w:pStyle w:val="Heading1"/>
      </w:pPr>
      <w:r>
        <w:t>References</w:t>
      </w:r>
    </w:p>
    <w:p>
      <w:pPr>
        <w:spacing w:after="60"/>
      </w:pPr>
      <w:r>
        <w:rPr>
          <w:color w:val="5C6D75"/>
          <w:sz w:val="18"/>
        </w:rPr>
        <w:t xml:space="preserve">[1] oneM2M Release 6 work programme — WI-0122 "Interworking with AI Agents – oneM2M &amp; MCP" and TR-0081 "AI Agent Interworking": </w:t>
      </w:r>
      <w:hyperlink r:id="rId9">
        <w:r>
          <w:rPr>
            <w:color w:val="0E7C86"/>
            <w:u w:val="single"/>
          </w:rPr>
          <w:t>https://www.onem2m.org/technical/published-specifications/release-6</w:t>
        </w:r>
      </w:hyperlink>
    </w:p>
    <w:p>
      <w:pPr>
        <w:spacing w:after="60"/>
      </w:pPr>
      <w:r>
        <w:rPr>
          <w:color w:val="5C6D75"/>
          <w:sz w:val="18"/>
        </w:rPr>
        <w:t xml:space="preserve">[2] I. Friese (Deutsche Telekom), "Early experiments combining Agentic AI, MCP and oneM2M", oneM2M executive viewpoint: </w:t>
      </w:r>
      <w:hyperlink r:id="rId10">
        <w:r>
          <w:rPr>
            <w:color w:val="0E7C86"/>
            <w:u w:val="single"/>
          </w:rPr>
          <w:t>https://www.onem2m.org/membership/executive-viewpoints/968-ingo-friese-ai-mcp</w:t>
        </w:r>
      </w:hyperlink>
    </w:p>
    <w:p>
      <w:pPr>
        <w:spacing w:after="60"/>
      </w:pPr>
      <w:r>
        <w:rPr>
          <w:color w:val="5C6D75"/>
          <w:sz w:val="18"/>
        </w:rPr>
        <w:t xml:space="preserve">[3] oneM2M TP#72 report — Release 6 timeline and AI work items: </w:t>
      </w:r>
      <w:hyperlink r:id="rId11">
        <w:r>
          <w:rPr>
            <w:color w:val="0E7C86"/>
            <w:u w:val="single"/>
          </w:rPr>
          <w:t>https://www.onem2m.org/membership/executive-viewpoints/983-tp72-malaysia-iot-standardization</w:t>
        </w:r>
      </w:hyperlink>
    </w:p>
    <w:p>
      <w:pPr>
        <w:spacing w:after="60"/>
      </w:pPr>
      <w:r>
        <w:rPr>
          <w:color w:val="5C6D75"/>
          <w:sz w:val="18"/>
        </w:rPr>
        <w:t xml:space="preserve">[4] Model Context Protocol specification: </w:t>
      </w:r>
      <w:hyperlink r:id="rId12">
        <w:r>
          <w:rPr>
            <w:color w:val="0E7C86"/>
            <w:u w:val="single"/>
          </w:rPr>
          <w:t>https://modelcontextprotocol.io</w:t>
        </w:r>
      </w:hyperlink>
    </w:p>
    <w:p>
      <w:pPr>
        <w:spacing w:after="60"/>
      </w:pPr>
      <w:r>
        <w:rPr>
          <w:color w:val="5C6D75"/>
          <w:sz w:val="18"/>
        </w:rPr>
        <w:t xml:space="preserve">[5] ACME oneM2M CSE (open-source, plugin architecture): </w:t>
      </w:r>
      <w:hyperlink r:id="rId13">
        <w:r>
          <w:rPr>
            <w:color w:val="0E7C86"/>
            <w:u w:val="single"/>
          </w:rPr>
          <w:t>https://github.com/ankraft/ACME-oneM2M-CSE</w:t>
        </w:r>
      </w:hyperlink>
    </w:p>
    <w:sectPr w:rsidR="00FC693F" w:rsidRPr="0006063C" w:rsidSect="00034616">
      <w:pgSz w:w="12240" w:h="15840"/>
      <w:pgMar w:top="1247" w:right="1361" w:bottom="1247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color w:val="1C262B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 w:ascii="Calibri" w:hAnsi="Calibri"/>
      <w:b/>
      <w:bCs/>
      <w:color w:val="0E7C86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80"/>
      <w:outlineLvl w:val="1"/>
    </w:pPr>
    <w:rPr>
      <w:rFonts w:asciiTheme="majorHAnsi" w:eastAsiaTheme="majorEastAsia" w:hAnsiTheme="majorHAnsi" w:cstheme="majorBidi" w:ascii="Calibri" w:hAnsi="Calibri"/>
      <w:b/>
      <w:bCs/>
      <w:color w:val="1C262B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onem2m.org/technical/published-specifications/release-6" TargetMode="External"/><Relationship Id="rId10" Type="http://schemas.openxmlformats.org/officeDocument/2006/relationships/hyperlink" Target="https://www.onem2m.org/membership/executive-viewpoints/968-ingo-friese-ai-mcp" TargetMode="External"/><Relationship Id="rId11" Type="http://schemas.openxmlformats.org/officeDocument/2006/relationships/hyperlink" Target="https://www.onem2m.org/membership/executive-viewpoints/983-tp72-malaysia-iot-standardization" TargetMode="External"/><Relationship Id="rId12" Type="http://schemas.openxmlformats.org/officeDocument/2006/relationships/hyperlink" Target="https://modelcontextprotocol.io" TargetMode="External"/><Relationship Id="rId13" Type="http://schemas.openxmlformats.org/officeDocument/2006/relationships/hyperlink" Target="https://github.com/ankraft/ACME-oneM2M-C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