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Context of Use Definitions</w:t>
      </w:r>
    </w:p>
    <w:p>
      <w:r>
        <w:t>Morrison et al. (2019) — Centrifugal Blood Pump Hemolysis Study</w:t>
        <w:br/>
        <w:t>FDA OSEL / CDRH Computational Modeling</w:t>
        <w:br/>
        <w:t>Document Date: March 2019</w:t>
      </w:r>
    </w:p>
    <w:p>
      <w:pPr>
        <w:pStyle w:val="Heading1"/>
      </w:pPr>
      <w:r>
        <w:t>COU1: Cardiopulmonary Bypass (CPB) Use</w:t>
      </w:r>
    </w:p>
    <w:p>
      <w:pPr>
        <w:pStyle w:val="Heading2"/>
      </w:pPr>
      <w:r>
        <w:t>Scope</w:t>
      </w:r>
    </w:p>
    <w:p>
      <w:r>
        <w:t>A computational fluid dynamics (CFD) model is used to evaluate the sensitivity of pump-induced hemolysis to variations in component dimensions for a centrifugal blood pump intended for short-term cardiopulmonary bypass (CPB) support. The model identifies which dimensional tolerances most likely contribute to increased hemolysis levels observed in production pumps compared to prototype pumps.</w:t>
      </w:r>
    </w:p>
    <w:p>
      <w:pPr>
        <w:pStyle w:val="Heading2"/>
      </w:pPr>
      <w:r>
        <w:t>Question of Interest</w:t>
      </w:r>
    </w:p>
    <w:p>
      <w:r>
        <w:t>How is pump-related hemolysis impacted by component dimensional tolerances?</w:t>
      </w:r>
    </w:p>
    <w:p>
      <w:pPr>
        <w:pStyle w:val="Heading2"/>
      </w:pPr>
      <w:r>
        <w:t>Intended Application</w:t>
      </w:r>
    </w:p>
    <w:p>
      <w:r>
        <w:t>Based on CFD results, physical pumps with different dimensional configurations will be fabricated and tested via in vitro hemolysis studies. The CFD model guides which configurations to test, but in vitro testing confirms all results before design changes are implemented.</w:t>
      </w:r>
    </w:p>
    <w:p>
      <w:pPr>
        <w:pStyle w:val="Heading2"/>
      </w:pPr>
      <w:r>
        <w:t>Operating Envelope</w:t>
      </w:r>
    </w:p>
    <w:tbl>
      <w:tblPr>
        <w:tblStyle w:val="TableGrid"/>
        <w:tblW w:type="auto" w:w="0"/>
        <w:tblLook w:firstColumn="1" w:firstRow="1" w:lastColumn="0" w:lastRow="0" w:noHBand="0" w:noVBand="1" w:val="04A0"/>
      </w:tblPr>
      <w:tblGrid>
        <w:gridCol w:w="4320"/>
        <w:gridCol w:w="4320"/>
      </w:tblGrid>
      <w:tr>
        <w:tc>
          <w:tcPr>
            <w:tcW w:type="dxa" w:w="4320"/>
          </w:tcPr>
          <w:p>
            <w:r>
              <w:t>Flow Rate</w:t>
            </w:r>
          </w:p>
        </w:tc>
        <w:tc>
          <w:tcPr>
            <w:tcW w:type="dxa" w:w="4320"/>
          </w:tcPr>
          <w:p>
            <w:r>
              <w:t>5.0 LPM (nominal CPB flow)</w:t>
            </w:r>
          </w:p>
        </w:tc>
      </w:tr>
      <w:tr>
        <w:tc>
          <w:tcPr>
            <w:tcW w:type="dxa" w:w="4320"/>
          </w:tcPr>
          <w:p>
            <w:r>
              <w:t>Rotational Speed</w:t>
            </w:r>
          </w:p>
        </w:tc>
        <w:tc>
          <w:tcPr>
            <w:tcW w:type="dxa" w:w="4320"/>
          </w:tcPr>
          <w:p>
            <w:r>
              <w:t>3000 RPM</w:t>
            </w:r>
          </w:p>
        </w:tc>
      </w:tr>
      <w:tr>
        <w:tc>
          <w:tcPr>
            <w:tcW w:type="dxa" w:w="4320"/>
          </w:tcPr>
          <w:p>
            <w:r>
              <w:t>Blood Temperature</w:t>
            </w:r>
          </w:p>
        </w:tc>
        <w:tc>
          <w:tcPr>
            <w:tcW w:type="dxa" w:w="4320"/>
          </w:tcPr>
          <w:p>
            <w:r>
              <w:t>37°C</w:t>
            </w:r>
          </w:p>
        </w:tc>
      </w:tr>
      <w:tr>
        <w:tc>
          <w:tcPr>
            <w:tcW w:type="dxa" w:w="4320"/>
          </w:tcPr>
          <w:p>
            <w:r>
              <w:t>Duration of Use</w:t>
            </w:r>
          </w:p>
        </w:tc>
        <w:tc>
          <w:tcPr>
            <w:tcW w:type="dxa" w:w="4320"/>
          </w:tcPr>
          <w:p>
            <w:r>
              <w:t>Hours (single surgical procedure)</w:t>
            </w:r>
          </w:p>
        </w:tc>
      </w:tr>
      <w:tr>
        <w:tc>
          <w:tcPr>
            <w:tcW w:type="dxa" w:w="4320"/>
          </w:tcPr>
          <w:p>
            <w:r>
              <w:t>Patient Population</w:t>
            </w:r>
          </w:p>
        </w:tc>
        <w:tc>
          <w:tcPr>
            <w:tcW w:type="dxa" w:w="4320"/>
          </w:tcPr>
          <w:p>
            <w:r>
              <w:t>Adult patients undergoing cardiac surgery</w:t>
            </w:r>
          </w:p>
        </w:tc>
      </w:tr>
      <w:tr>
        <w:tc>
          <w:tcPr>
            <w:tcW w:type="dxa" w:w="4320"/>
          </w:tcPr>
          <w:p>
            <w:r>
              <w:t>Regulatory Pathway</w:t>
            </w:r>
          </w:p>
        </w:tc>
        <w:tc>
          <w:tcPr>
            <w:tcW w:type="dxa" w:w="4320"/>
          </w:tcPr>
          <w:p>
            <w:r>
              <w:t>510(k) with predicate device comparison</w:t>
            </w:r>
          </w:p>
        </w:tc>
      </w:tr>
    </w:tbl>
    <w:p>
      <w:pPr>
        <w:pStyle w:val="Heading2"/>
      </w:pPr>
      <w:r>
        <w:t>Exclusions</w:t>
      </w:r>
    </w:p>
    <w:p>
      <w:r>
        <w:t>This COU does not cover: (a) long-term implant use, (b) pediatric patients, (c) flow rates below 3.0 LPM or above 7.0 LPM, (d) pulsatile flow conditions, (e) thrombus formation or platelet activation (hemolysis only).</w:t>
      </w:r>
    </w:p>
    <w:p>
      <w:r>
        <w:br w:type="page"/>
      </w:r>
    </w:p>
    <w:p>
      <w:pPr>
        <w:pStyle w:val="Heading1"/>
      </w:pPr>
      <w:r>
        <w:t>COU2: Ventricular Assist Device (VAD) Use</w:t>
      </w:r>
    </w:p>
    <w:p>
      <w:pPr>
        <w:pStyle w:val="Heading2"/>
      </w:pPr>
      <w:r>
        <w:t>Scope</w:t>
      </w:r>
    </w:p>
    <w:p>
      <w:r>
        <w:t>The same CFD model is assessed for predicting hemolysis in a ventricular assist device (VAD) configuration intended for long-term circulatory support (months to years). The model must provide absolute hemolysis predictions with quantified uncertainty, as the results directly inform design decisions affecting patient safety over extended implant durations.</w:t>
      </w:r>
    </w:p>
    <w:p>
      <w:pPr>
        <w:pStyle w:val="Heading2"/>
      </w:pPr>
      <w:r>
        <w:t>Question of Interest</w:t>
      </w:r>
    </w:p>
    <w:p>
      <w:r>
        <w:t>Can the CFD model predict absolute hemolysis levels with sufficient accuracy and quantified uncertainty to support VAD design optimization for long-term patient safety?</w:t>
      </w:r>
    </w:p>
    <w:p>
      <w:pPr>
        <w:pStyle w:val="Heading2"/>
      </w:pPr>
      <w:r>
        <w:t>Operating Envelope</w:t>
      </w:r>
    </w:p>
    <w:tbl>
      <w:tblPr>
        <w:tblStyle w:val="TableGrid"/>
        <w:tblW w:type="auto" w:w="0"/>
        <w:tblLook w:firstColumn="1" w:firstRow="1" w:lastColumn="0" w:lastRow="0" w:noHBand="0" w:noVBand="1" w:val="04A0"/>
      </w:tblPr>
      <w:tblGrid>
        <w:gridCol w:w="4320"/>
        <w:gridCol w:w="4320"/>
      </w:tblGrid>
      <w:tr>
        <w:tc>
          <w:tcPr>
            <w:tcW w:type="dxa" w:w="4320"/>
          </w:tcPr>
          <w:p>
            <w:r>
              <w:t>Flow Rate</w:t>
            </w:r>
          </w:p>
        </w:tc>
        <w:tc>
          <w:tcPr>
            <w:tcW w:type="dxa" w:w="4320"/>
          </w:tcPr>
          <w:p>
            <w:r>
              <w:t>2.0–8.0 LPM (physiological range)</w:t>
            </w:r>
          </w:p>
        </w:tc>
      </w:tr>
      <w:tr>
        <w:tc>
          <w:tcPr>
            <w:tcW w:type="dxa" w:w="4320"/>
          </w:tcPr>
          <w:p>
            <w:r>
              <w:t>Rotational Speed</w:t>
            </w:r>
          </w:p>
        </w:tc>
        <w:tc>
          <w:tcPr>
            <w:tcW w:type="dxa" w:w="4320"/>
          </w:tcPr>
          <w:p>
            <w:r>
              <w:t>2000–4000 RPM (variable speed control)</w:t>
            </w:r>
          </w:p>
        </w:tc>
      </w:tr>
      <w:tr>
        <w:tc>
          <w:tcPr>
            <w:tcW w:type="dxa" w:w="4320"/>
          </w:tcPr>
          <w:p>
            <w:r>
              <w:t>Blood Temperature</w:t>
            </w:r>
          </w:p>
        </w:tc>
        <w:tc>
          <w:tcPr>
            <w:tcW w:type="dxa" w:w="4320"/>
          </w:tcPr>
          <w:p>
            <w:r>
              <w:t>37°C</w:t>
            </w:r>
          </w:p>
        </w:tc>
      </w:tr>
      <w:tr>
        <w:tc>
          <w:tcPr>
            <w:tcW w:type="dxa" w:w="4320"/>
          </w:tcPr>
          <w:p>
            <w:r>
              <w:t>Duration of Use</w:t>
            </w:r>
          </w:p>
        </w:tc>
        <w:tc>
          <w:tcPr>
            <w:tcW w:type="dxa" w:w="4320"/>
          </w:tcPr>
          <w:p>
            <w:r>
              <w:t>Months to years (chronic implant)</w:t>
            </w:r>
          </w:p>
        </w:tc>
      </w:tr>
      <w:tr>
        <w:tc>
          <w:tcPr>
            <w:tcW w:type="dxa" w:w="4320"/>
          </w:tcPr>
          <w:p>
            <w:r>
              <w:t>Patient Population</w:t>
            </w:r>
          </w:p>
        </w:tc>
        <w:tc>
          <w:tcPr>
            <w:tcW w:type="dxa" w:w="4320"/>
          </w:tcPr>
          <w:p>
            <w:r>
              <w:t>Heart failure patients, bridge-to-transplant or destination therapy</w:t>
            </w:r>
          </w:p>
        </w:tc>
      </w:tr>
      <w:tr>
        <w:tc>
          <w:tcPr>
            <w:tcW w:type="dxa" w:w="4320"/>
          </w:tcPr>
          <w:p>
            <w:r>
              <w:t>Regulatory Pathway</w:t>
            </w:r>
          </w:p>
        </w:tc>
        <w:tc>
          <w:tcPr>
            <w:tcW w:type="dxa" w:w="4320"/>
          </w:tcPr>
          <w:p>
            <w:r>
              <w:t>PMA (Class III, no predicate)</w:t>
            </w:r>
          </w:p>
        </w:tc>
      </w:tr>
    </w:tbl>
    <w:p>
      <w:pPr>
        <w:pStyle w:val="Heading2"/>
      </w:pPr>
      <w:r>
        <w:t>Additional Requirements vs. COU1</w:t>
      </w:r>
    </w:p>
    <w:p>
      <w:r>
        <w:t>COU2 requires: (a) formal uncertainty quantification across all significant input parameters, (b) sensitivity analysis identifying dominant uncertainty contributors, (c) validation against clinical hemolysis data (not just in vitro), (d) assessment of sub-lethal blood damage accumulation, (e) non-Newtonian blood model comparison study.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F4E79"/>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