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V&amp;V 40 Credibility Assessment Narrative</w:t>
      </w:r>
    </w:p>
    <w:p>
      <w:r>
        <w:t>Morrison et al. (2019) — Centrifugal Blood Pump Hemolysis Study</w:t>
        <w:br/>
        <w:t>Assessment of 13 V&amp;V 40 Credibility Factors</w:t>
      </w:r>
    </w:p>
    <w:p>
      <w:pPr>
        <w:pStyle w:val="Heading1"/>
      </w:pPr>
      <w:r>
        <w:t>1. Verification Factors</w:t>
      </w:r>
    </w:p>
    <w:p>
      <w:pPr>
        <w:pStyle w:val="Heading2"/>
      </w:pPr>
      <w:r>
        <w:t>1.1 Software Quality Assurance (SQA)</w:t>
      </w:r>
    </w:p>
    <w:p>
      <w:r>
        <w:t>ANSYS CFX v15.0 is a commercial solver with established SQA processes including regression testing, version control, and documented verification test suites. The solver has been widely used in FDA-regulated blood pump simulations. No custom code modifications were made. Assessment: Level 2 (documented commercial SQA) for both COUs.</w:t>
      </w:r>
    </w:p>
    <w:p>
      <w:pPr>
        <w:pStyle w:val="Heading2"/>
      </w:pPr>
      <w:r>
        <w:t>1.2 Numerical Code Verification (NCV)</w:t>
      </w:r>
    </w:p>
    <w:p>
      <w:r>
        <w:t>Code verification was performed by comparing ANSYS CFX results against analytical solutions for Poiseuille flow and Couette flow. Agreement within 0.1% was demonstrated for both cases. Assessment: Level 2 for COU1, Level 3 required for COU2 (benchmark solutions from independent code).</w:t>
      </w:r>
    </w:p>
    <w:p>
      <w:pPr>
        <w:pStyle w:val="Heading2"/>
      </w:pPr>
      <w:r>
        <w:t>1.3 Discretization Error</w:t>
      </w:r>
    </w:p>
    <w:p>
      <w:r>
        <w:t>A systematic grid convergence study was performed with four mesh levels (coarse through extrafine). The Grid Convergence Index (GCI) on the fine mesh is 0.9%, indicating adequate spatial resolution. Richardson extrapolation confirms asymptotic convergence with observed order of accuracy within 10% of theoretical. See mesh_convergence_study.csv for detailed data. Assessment: Level 3 for both COUs.</w:t>
      </w:r>
    </w:p>
    <w:p>
      <w:pPr>
        <w:pStyle w:val="Heading2"/>
      </w:pPr>
      <w:r>
        <w:t>1.4 Numerical Solver Error</w:t>
      </w:r>
    </w:p>
    <w:p>
      <w:r>
        <w:t>Iterative convergence was monitored via residuals (target: 1.0e-5) and monitor point stability. All simulations converged within 1200 iterations. Monitor point variation in the final 200 iterations was less than 0.1% for MIH and outlet pressure. Assessment: Level 2 for both COUs.</w:t>
      </w:r>
    </w:p>
    <w:p>
      <w:pPr>
        <w:pStyle w:val="Heading2"/>
      </w:pPr>
      <w:r>
        <w:t>1.5 Use Error</w:t>
      </w:r>
    </w:p>
    <w:p>
      <w:r>
        <w:t>Boundary condition setup was reviewed by two independent analysts. Mesh quality metrics (skewness &lt; 0.85, orthogonal quality &gt; 0.3) were verified. Post-processing scripts were checked against hand calculations for three representative cases. Assessment: Level 2 for both COUs.</w:t>
      </w:r>
    </w:p>
    <w:p>
      <w:pPr>
        <w:pStyle w:val="Heading1"/>
      </w:pPr>
      <w:r>
        <w:t>2. Validation Factors</w:t>
      </w:r>
    </w:p>
    <w:p>
      <w:pPr>
        <w:pStyle w:val="Heading2"/>
      </w:pPr>
      <w:r>
        <w:t>2.1 Model Form</w:t>
      </w:r>
    </w:p>
    <w:p>
      <w:r>
        <w:t>The RANS equations with SST k-omega turbulence model represent the governing physics. The Eulerian hemolysis model (Giersiepen power law) is an empirical correlation with known limitations for complex flow fields. The Newtonian blood assumption is appropriate for the shear rate range in centrifugal pumps (&gt;100 s⁻¹) but introduces unquantified bias at lower shear rates relevant to recirculation zones. Assessment: Level 2 for COU1, Level 2 for COU2 (insufficient for MRL 5).</w:t>
      </w:r>
    </w:p>
    <w:p>
      <w:pPr>
        <w:pStyle w:val="Heading2"/>
      </w:pPr>
      <w:r>
        <w:t>2.2 Model Inputs</w:t>
      </w:r>
    </w:p>
    <w:p>
      <w:r>
        <w:t>Pump geometry was obtained from CAD models verified against CMM measurements of production components. Blood properties from published literature. Flow rate and rotational speed from calibrated instruments. Dimensional tolerances measured on 5 production units. Assessment: Level 2 for COU1, Level 3 required for COU2.</w:t>
      </w:r>
    </w:p>
    <w:p>
      <w:pPr>
        <w:pStyle w:val="Heading2"/>
      </w:pPr>
      <w:r>
        <w:t>2.3 Test Samples</w:t>
      </w:r>
    </w:p>
    <w:p>
      <w:r>
        <w:t>In vitro testing used production-quality pumps (n=3) and a predicate device (n=1). Human blood from two donors (Donor A, Donor B) with hematocrit 40±2%. Static controls included. Sample size is adequate for relative ranking but limited for statistical power. Assessment: Level 2 for COU1, insufficient for COU2.</w:t>
      </w:r>
    </w:p>
    <w:p>
      <w:pPr>
        <w:pStyle w:val="Heading2"/>
      </w:pPr>
      <w:r>
        <w:t>2.4 Test Conditions</w:t>
      </w:r>
    </w:p>
    <w:p>
      <w:r>
        <w:t>In vitro test loop maintained at 37°C ± 0.5°C with calibrated flow meter (±2% accuracy) and pressure transducers (±1 mmHg). Tests conducted per ASTM F1841. Six-hour test duration. Assessment: Level 2 for both COUs.</w:t>
      </w:r>
    </w:p>
    <w:p>
      <w:pPr>
        <w:pStyle w:val="Heading1"/>
      </w:pPr>
      <w:r>
        <w:t>3. Assessment Factors</w:t>
      </w:r>
    </w:p>
    <w:p>
      <w:pPr>
        <w:pStyle w:val="Heading2"/>
      </w:pPr>
      <w:r>
        <w:t>3.1 Equivalency of Input Parameters</w:t>
      </w:r>
    </w:p>
    <w:p>
      <w:r>
        <w:t>CFD model inputs match experimental conditions within measurement uncertainty for flow rate, RPM, and temperature. Dimensional tolerances in the model match CMM-measured values of tested pumps within manufacturing tolerance bands. Assessment: Level 2 for COU1, additional documentation needed for COU2.</w:t>
      </w:r>
    </w:p>
    <w:p>
      <w:pPr>
        <w:pStyle w:val="Heading2"/>
      </w:pPr>
      <w:r>
        <w:t>3.2 Output Comparison</w:t>
      </w:r>
    </w:p>
    <w:p>
      <w:r>
        <w:t>PIV velocity comparison: average relative error 11% ± 9% (90% CI). Hemolysis MIH comparison: within 15.8% across all configurations. Model correctly ranks configurations by hemolysis severity. See piv_velocity_validation.csv and hemolysis_mih_comparison.csv. Assessment: Level 2 for COU1, insufficient accuracy for COU2 absolute predictions.</w:t>
      </w:r>
    </w:p>
    <w:p>
      <w:pPr>
        <w:pStyle w:val="Heading1"/>
      </w:pPr>
      <w:r>
        <w:t>4. Applicability Factors</w:t>
      </w:r>
    </w:p>
    <w:p>
      <w:pPr>
        <w:pStyle w:val="Heading2"/>
      </w:pPr>
      <w:r>
        <w:t>4.1 Relevance of QOI</w:t>
      </w:r>
    </w:p>
    <w:p>
      <w:r>
        <w:t>The quantity of interest (MIH) directly measures hemolysis, which is the primary safety concern. MIH is measurable both computationally and experimentally using the same metric definition. Assessment: Level 3 for both COUs.</w:t>
      </w:r>
    </w:p>
    <w:p>
      <w:pPr>
        <w:pStyle w:val="Heading2"/>
      </w:pPr>
      <w:r>
        <w:t>4.2 Relevance of Validation to COU</w:t>
      </w:r>
    </w:p>
    <w:p>
      <w:r>
        <w:t>Validation testing used the same pump design, blood analog, and operating conditions as the intended use. However, validation was performed only at the nominal operating point (5 LPM, 3000 RPM). COU2 requires validation across the full operating envelope (2-8 LPM, 2000-4000 RPM). Assessment: Level 2 for COU1, Level 1 for COU2 (insufficient coverage).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