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Technical Design Document</w:t>
      </w:r>
    </w:p>
    <w:p>
      <w:pPr>
        <w:jc w:val="center"/>
      </w:pPr>
      <w:r>
        <w:t>Project: PaymentGateway v2  ·  Author: J. Martinez  ·  Draft 0.3 — 2026-04-10</w:t>
      </w:r>
    </w:p>
    <w:p>
      <w:pPr>
        <w:pStyle w:val="Heading1"/>
      </w:pPr>
      <w:r>
        <w:t>1. Executive Summary</w:t>
      </w:r>
    </w:p>
    <w:p>
      <w:r>
        <w:t xml:space="preserve">This document describes the </w:t>
      </w:r>
      <w:r>
        <w:rPr>
          <w:b/>
        </w:rPr>
        <w:t>architecture</w:t>
      </w:r>
      <w:r>
        <w:t xml:space="preserve"> and </w:t>
      </w:r>
      <w:r>
        <w:rPr>
          <w:i/>
        </w:rPr>
        <w:t>trade-offs</w:t>
      </w:r>
      <w:r>
        <w:t xml:space="preserve"> of the next-generation payment gateway.</w:t>
      </w:r>
    </w:p>
    <w:p>
      <w:pPr>
        <w:pStyle w:val="Heading1"/>
      </w:pPr>
      <w:r>
        <w:t>2. Requirements</w:t>
      </w:r>
    </w:p>
    <w:p>
      <w:pPr>
        <w:pStyle w:val="Heading2"/>
      </w:pPr>
      <w:r>
        <w:t>2.1 Functional</w:t>
      </w:r>
    </w:p>
    <w:p>
      <w:pPr>
        <w:pStyle w:val="ListBullet"/>
      </w:pPr>
      <w:r>
        <w:t>Process 5,000 TPS peak</w:t>
      </w:r>
    </w:p>
    <w:p>
      <w:pPr>
        <w:pStyle w:val="ListBullet"/>
      </w:pPr>
      <w:r>
        <w:t>Support EUR, USD, GBP, CHF</w:t>
      </w:r>
    </w:p>
    <w:p>
      <w:pPr>
        <w:pStyle w:val="ListBullet"/>
      </w:pPr>
      <w:r>
        <w:t>Sub-200ms p99 latency</w:t>
      </w:r>
    </w:p>
    <w:p>
      <w:pPr>
        <w:pStyle w:val="Heading2"/>
      </w:pPr>
      <w:r>
        <w:t>2.2 Non-functional</w:t>
      </w:r>
    </w:p>
    <w:p>
      <w:pPr>
        <w:pStyle w:val="ListNumber"/>
      </w:pPr>
      <w:r>
        <w:t>99.99% uptime</w:t>
      </w:r>
    </w:p>
    <w:p>
      <w:pPr>
        <w:pStyle w:val="ListNumber"/>
      </w:pPr>
      <w:r>
        <w:t>PCI-DSS compliance</w:t>
      </w:r>
    </w:p>
    <w:p>
      <w:pPr>
        <w:pStyle w:val="ListNumber"/>
      </w:pPr>
      <w:r>
        <w:t>Multi-region active-active</w:t>
      </w:r>
    </w:p>
    <w:p>
      <w:pPr>
        <w:pStyle w:val="Heading1"/>
      </w:pPr>
      <w:r>
        <w:t>4. Service Inventory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Service</w:t>
            </w:r>
          </w:p>
        </w:tc>
        <w:tc>
          <w:tcPr>
            <w:tcW w:type="dxa" w:w="2160"/>
          </w:tcPr>
          <w:p>
            <w:r>
              <w:t>Owner</w:t>
            </w:r>
          </w:p>
        </w:tc>
        <w:tc>
          <w:tcPr>
            <w:tcW w:type="dxa" w:w="2160"/>
          </w:tcPr>
          <w:p>
            <w:r>
              <w:t>SLO</w:t>
            </w:r>
          </w:p>
        </w:tc>
        <w:tc>
          <w:tcPr>
            <w:tcW w:type="dxa" w:w="2160"/>
          </w:tcPr>
          <w:p>
            <w:r>
              <w:t>Datastore</w:t>
            </w:r>
          </w:p>
        </w:tc>
      </w:tr>
      <w:tr>
        <w:tc>
          <w:tcPr>
            <w:tcW w:type="dxa" w:w="2160"/>
          </w:tcPr>
          <w:p>
            <w:r>
              <w:t>auth-svc</w:t>
            </w:r>
          </w:p>
        </w:tc>
        <w:tc>
          <w:tcPr>
            <w:tcW w:type="dxa" w:w="2160"/>
          </w:tcPr>
          <w:p>
            <w:r>
              <w:t>Identity team</w:t>
            </w:r>
          </w:p>
        </w:tc>
        <w:tc>
          <w:tcPr>
            <w:tcW w:type="dxa" w:w="2160"/>
          </w:tcPr>
          <w:p>
            <w:r>
              <w:t>99.99%</w:t>
            </w:r>
          </w:p>
        </w:tc>
        <w:tc>
          <w:tcPr>
            <w:tcW w:type="dxa" w:w="2160"/>
          </w:tcPr>
          <w:p>
            <w:r>
              <w:t>Postgres 15</w:t>
            </w:r>
          </w:p>
        </w:tc>
      </w:tr>
      <w:tr>
        <w:tc>
          <w:tcPr>
            <w:tcW w:type="dxa" w:w="2160"/>
          </w:tcPr>
          <w:p>
            <w:r>
              <w:t>ledger-svc</w:t>
            </w:r>
          </w:p>
        </w:tc>
        <w:tc>
          <w:tcPr>
            <w:tcW w:type="dxa" w:w="2160"/>
          </w:tcPr>
          <w:p>
            <w:r>
              <w:t>Ledger team</w:t>
            </w:r>
          </w:p>
        </w:tc>
        <w:tc>
          <w:tcPr>
            <w:tcW w:type="dxa" w:w="2160"/>
          </w:tcPr>
          <w:p>
            <w:r>
              <w:t>99.999%</w:t>
            </w:r>
          </w:p>
        </w:tc>
        <w:tc>
          <w:tcPr>
            <w:tcW w:type="dxa" w:w="2160"/>
          </w:tcPr>
          <w:p>
            <w:r>
              <w:t>CockroachDB</w:t>
            </w:r>
          </w:p>
        </w:tc>
      </w:tr>
      <w:tr>
        <w:tc>
          <w:tcPr>
            <w:tcW w:type="dxa" w:w="2160"/>
          </w:tcPr>
          <w:p>
            <w:r>
              <w:t>fx-svc</w:t>
            </w:r>
          </w:p>
        </w:tc>
        <w:tc>
          <w:tcPr>
            <w:tcW w:type="dxa" w:w="2160"/>
          </w:tcPr>
          <w:p>
            <w:r>
              <w:t>Pricing team</w:t>
            </w:r>
          </w:p>
        </w:tc>
        <w:tc>
          <w:tcPr>
            <w:tcW w:type="dxa" w:w="2160"/>
          </w:tcPr>
          <w:p>
            <w:r>
              <w:t>99.95%</w:t>
            </w:r>
          </w:p>
        </w:tc>
        <w:tc>
          <w:tcPr>
            <w:tcW w:type="dxa" w:w="2160"/>
          </w:tcPr>
          <w:p>
            <w:r>
              <w:t>Redis + Kafka</w:t>
            </w:r>
          </w:p>
        </w:tc>
      </w:tr>
      <w:tr>
        <w:tc>
          <w:tcPr>
            <w:tcW w:type="dxa" w:w="2160"/>
          </w:tcPr>
          <w:p>
            <w:r>
              <w:t>notification-svc</w:t>
            </w:r>
          </w:p>
        </w:tc>
        <w:tc>
          <w:tcPr>
            <w:tcW w:type="dxa" w:w="2160"/>
          </w:tcPr>
          <w:p>
            <w:r>
              <w:t>Platform team</w:t>
            </w:r>
          </w:p>
        </w:tc>
        <w:tc>
          <w:tcPr>
            <w:tcW w:type="dxa" w:w="2160"/>
          </w:tcPr>
          <w:p>
            <w:r>
              <w:t>99.9%</w:t>
            </w:r>
          </w:p>
        </w:tc>
        <w:tc>
          <w:tcPr>
            <w:tcW w:type="dxa" w:w="2160"/>
          </w:tcPr>
          <w:p>
            <w:r>
              <w:t>DynamoDB</w:t>
            </w:r>
          </w:p>
        </w:tc>
      </w:tr>
    </w:tbl>
    <w:p>
      <w:pPr>
        <w:pStyle w:val="Heading1"/>
      </w:pPr>
      <w:r>
        <w:t>5. Risks &amp; Mitigations</w:t>
      </w:r>
    </w:p>
    <w:p>
      <w:r>
        <w:rPr>
          <w:color w:val="CC0000"/>
        </w:rPr>
        <w:t xml:space="preserve">⚠ </w:t>
      </w:r>
      <w:r>
        <w:t>The PCI-DSS audit must complete before general availability.</w:t>
      </w:r>
    </w:p>
    <w:p>
      <w:pPr>
        <w:pStyle w:val="Heading1"/>
      </w:pPr>
      <w:r>
        <w:t>6. Sample Config</w:t>
      </w:r>
    </w:p>
    <w:p>
      <w:r>
        <w:rPr>
          <w:rFonts w:ascii="Courier New" w:hAnsi="Courier New"/>
          <w:sz w:val="20"/>
        </w:rPr>
        <w:t>service:</w:t>
        <w:br/>
        <w:t xml:space="preserve">  name: ledger-svc</w:t>
        <w:br/>
        <w:t xml:space="preserve">  replicas: 12</w:t>
        <w:br/>
        <w:t xml:space="preserve">  resources:</w:t>
        <w:br/>
        <w:t xml:space="preserve">    cpu: 4</w:t>
        <w:br/>
        <w:t xml:space="preserve">    memory: 8Gi</w:t>
      </w:r>
    </w:p>
    <w:p>
      <w:r>
        <w:t>See also: https://wiki.acme.example/payments/v2 for diagrams.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