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Monthly Counterparty Exposure Return — Operating Procedure</w:t>
      </w:r>
    </w:p>
    <w:p>
      <w:pPr>
        <w:pStyle w:val="Heading1"/>
      </w:pPr>
      <w:r>
        <w:t>Scope</w:t>
      </w:r>
    </w:p>
    <w:p>
      <w:r>
        <w:t>This procedure covers the preparation, review and submission of the monthly counterparty exposure return. It applies to the Market Risk reporting team and to any delegate covering the process during absence.</w:t>
      </w:r>
    </w:p>
    <w:p>
      <w:pPr>
        <w:pStyle w:val="Heading1"/>
      </w:pPr>
      <w:r>
        <w:t>Roles</w:t>
      </w:r>
    </w:p>
    <w:p>
      <w:r>
        <w:t>The preparer runs the workbook and completes the control checks. The reviewer performs the plausibility review and signs off. The process owner is the Head of Market Risk Reporting, who approves any change to the calculation basis.</w:t>
      </w:r>
    </w:p>
    <w:p>
      <w:pPr>
        <w:pStyle w:val="Heading1"/>
      </w:pPr>
      <w:r>
        <w:t>Procedure</w:t>
      </w:r>
    </w:p>
    <w:p>
      <w:r>
        <w:t>1. Confirm the hand-in has arrived and matches the control totals in the covering email. 2. Paste the extract into the Data sheet without disturbing the header row. 3. Confirm the reference haircut table matches the current collateral policy. 4. Review exposures above ten million against the prior month. 5. Obtain reviewer sign-off. 6. Archive the submitted file to the reporting share.</w:t>
      </w:r>
    </w:p>
    <w:p>
      <w:pPr>
        <w:pStyle w:val="Heading1"/>
      </w:pPr>
      <w:r>
        <w:t>Controls</w:t>
      </w:r>
    </w:p>
    <w:p>
      <w:r>
        <w:t>The trade count control must agree to the figure supplied by Data Services. The reconciliation cell on the Output sheet must show a difference of zero before submission. Any manual adjustment must be recorded with a reason and the name of the person who agreed it.</w:t>
      </w:r>
    </w:p>
    <w:p>
      <w:pPr>
        <w:pStyle w:val="Heading1"/>
      </w:pPr>
      <w:r>
        <w:t>Escalation</w:t>
      </w:r>
    </w:p>
    <w:p>
      <w:r>
        <w:t>If the hand-in has not arrived by 10:00 on the third working day, escalate to the Data Services duty manager. If the reconciliation does not clear, escalate to the process owner before submitting anything.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Monthly Counterparty Exposure Return — Operating Procedure</dc:title>
  <dc:subject/>
  <dc:creator>kedge fixture generator</dc:creator>
  <cp:keywords/>
  <dc:description>generated by python-docx</dc:description>
  <cp:lastModifiedBy>kedge fixture generator</cp:lastModifiedBy>
  <cp:revision>1</cp:revision>
  <dcterms:created xsi:type="dcterms:W3CDTF">2026-01-01T00:00:00Z</dcterms:created>
  <dcterms:modified xsi:type="dcterms:W3CDTF">2026-01-01T00:00:00Z</dcterms:modified>
  <cp:category/>
</cp:coreProperties>
</file>