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Lacuna: Cryptic Binding Pocket Discovery via Conformational Ensemble Analysis</w:t>
      </w:r>
    </w:p>
    <w:p>
      <w:pPr>
        <w:jc w:val="center"/>
      </w:pPr>
      <w:r>
        <w:rPr>
          <w:i/>
        </w:rPr>
        <w:t>Clayton W. Moore</w:t>
      </w:r>
    </w:p>
    <w:p>
      <w:pPr>
        <w:jc w:val="center"/>
      </w:pPr>
      <w:r>
        <w:rPr>
          <w:sz w:val="20"/>
        </w:rPr>
        <w:t>Molecular &amp; Environmental Plant Sciences, Texas A&amp;M University, College Station, TX, USA</w:t>
      </w:r>
    </w:p>
    <w:p>
      <w:pPr>
        <w:pStyle w:val="Heading2"/>
      </w:pPr>
      <w:r>
        <w:t>Abstract</w:t>
      </w:r>
    </w:p>
    <w:p>
      <w:r>
        <w:t xml:space="preserve">We introduce Lacuna, an open-source Python tool for discovering cryptic binding pockets: sites that are absent or too small to detect in a protein's unbound structure and open only during conformational fluctuation. Most binding-site predictors score a single static structure, which is precisely the structure in which a cryptic site is invisible. Lacuna instead generates a conformational ensemble from any input structure, detects pockets independently in every conformer, clusters the detections into persistent sites across the ensemble, and ranks those sites with a model fitted on within-structure pairs. Ensemble generation is pluggable: normal mode analysis by default, with implicit-solvent molecular dynamics, Boltz-2 diffusion sampling, or a user-supplied ensemble as alternatives. On the designated test fold of CryptoBench, Lacuna recovers 55.6% of cryptic sites in its top five predictions, rising to 66.1% with an optional PLM-assisted ranker, and it recovers 73%, 45% and 87% on the PocketMiner set, a curated set of literature apo/holo pairs, and COACH420 respectively. The default backend completes in a median of 2.6 seconds per chain on one CPU core, so ensemble-based pocket finding does not require a simulation budget. Every site carries a continuous crypticity score, and outputs are emitted as docking-ready Boltz YAML constraints, AutoDock Vina boxes and pseudoatom PDB files. Lacuna is MIT licensed and available at https://github.com/mooreneural/lacuna and on PyPI as </w:t>
      </w:r>
      <w:r>
        <w:rPr>
          <w:rFonts w:ascii="Courier New" w:hAnsi="Courier New"/>
          <w:sz w:val="19"/>
        </w:rPr>
        <w:t>lacuna-pockets</w:t>
      </w:r>
      <w:r>
        <w:t>.</w:t>
      </w:r>
    </w:p>
    <w:p>
      <w:pPr>
        <w:pStyle w:val="Heading2"/>
      </w:pPr>
      <w:r>
        <w:t>1  Introduction</w:t>
      </w:r>
    </w:p>
    <w:p>
      <w:r>
        <w:t>Many disease-relevant human proteins are classified as undruggable because their experimentally determined structures present no well-formed pocket for a small molecule to occupy [1]. A substantial fraction of those are not truly featureless: they carry cryptic sites, pockets that are closed in the apo structure and open on ligand binding or thermal fluctuation [2]. K-Ras was considered undruggable for three decades until a cryptic pocket beneath switch-II was identified, which led directly to a clinical programme [3]. The practical question is not whether such sites exist but whether they can be found computationally before a ligand is known.</w:t>
      </w:r>
    </w:p>
    <w:p>
      <w:r>
        <w:t>This is hard for a specific and structural reason. The dominant approach to binding-site prediction scores a single static structure, whether geometrically by identifying concave surface features [4] or by machine learning over surface descriptors [5] or learned residue representations [6]. Applied to an apo structure containing a cryptic site, these methods are being asked to find a cavity that is not there. Methods built specifically for cryptic sites predict per-residue opening propensity from a single structure [7], which sidesteps the geometry problem but returns residue scores rather than a pocket a docking program can accept.</w:t>
      </w:r>
    </w:p>
    <w:p>
      <w:r>
        <w:t>The alternative is to supply the missing conformations. Molecular dynamics followed by pocket detection on the trajectory is the established route [8], and it works, but it places a simulation budget between the user and an answer, which in practice restricts it to targets already considered worth the investment. That cost is why ensemble-based pocket finding has not become routine tooling in the way single-structure detectors have.</w:t>
      </w:r>
    </w:p>
    <w:p>
      <w:pPr>
        <w:spacing w:before="140" w:after="140"/>
        <w:ind w:left="403" w:right="259"/>
        <w:pBdr>
          <w:left w:val="single" w:sz="12" w:space="10" w:color="8a8983"/>
        </w:pBdr>
      </w:pPr>
      <w:r>
        <w:rPr>
          <w:b/>
        </w:rPr>
        <w:t>Key Problem.</w:t>
      </w:r>
      <w:r>
        <w:t xml:space="preserve"> A cryptic site is absent or poorly formed in the apo structure, so a detector given one static structure is asked to find a cavity that is not there. Molecular dynamics exposes the missing conformations but puts a simulation budget between the user and an answer, which keeps ensemble-based pocket finding off the default path for most targets.</w:t>
      </w:r>
    </w:p>
    <w:p>
      <w:r>
        <w:t>Lacuna is built on the observation that the ensemble does not have to be expensive to be useful. A cryptic pocket needs only to open somewhere in a set of plausible conformations for a geometric detector to see it, and the cheapest useful source of such conformations, an elastic network model, costs seconds rather than CPU-days. What matters is then the bookkeeping: detecting pockets per conformer produces a large, redundant set of transient cavities that must be matched across frames into persistent sites and ordered so the interesting one appears near the top.</w:t>
      </w:r>
    </w:p>
    <w:p>
      <w:r>
        <w:t>Our contributions are as follows.</w:t>
      </w:r>
    </w:p>
    <w:p>
      <w:r>
        <w:rPr>
          <w:b/>
        </w:rPr>
        <w:t>Lacuna makes ensemble-based pocket discovery cheap enough to be routine.</w:t>
      </w:r>
      <w:r>
        <w:t xml:space="preserve"> The default backend requires no simulation setup, no force field parameterisation and no GPU, and completes in a median of 2.6 seconds per chain on one CPU core (Figure 4). Users who want a more expensive ensemble can substitute one without changing anything downstream.</w:t>
      </w:r>
    </w:p>
    <w:p>
      <w:r>
        <w:rPr>
          <w:b/>
        </w:rPr>
        <w:t>Ensemble generation is pluggable, including a co-folding backend.</w:t>
      </w:r>
      <w:r>
        <w:t xml:space="preserve"> Normal mode analysis, implicit-solvent molecular dynamics, Boltz-2 diffusion sampling, and arbitrary user-supplied ensembles all present the same interface, so the sampling method is a parameter rather than a rewrite.</w:t>
      </w:r>
    </w:p>
    <w:p>
      <w:r>
        <w:rPr>
          <w:b/>
        </w:rPr>
        <w:t>Transient pockets are first-class objects.</w:t>
      </w:r>
      <w:r>
        <w:t xml:space="preserve"> Detections are clustered across conformers into sites that carry their own statistics: how often the site is open, how much it opens relative to the input structure, and how far its centroid wanders. These ensemble-derived quantities are unavailable to any single-structure detector and are what the ranker relies on most.</w:t>
      </w:r>
    </w:p>
    <w:p>
      <w:r>
        <w:rPr>
          <w:b/>
        </w:rPr>
        <w:t>Ranking is fitted, not hand-tuned.</w:t>
      </w:r>
      <w:r>
        <w:t xml:space="preserve"> A linear model over 23 features, trained on within-structure pairs so that it optimises ordering directly, recovers 55.6% of CryptoBench test-fold sites against 17.8% for the analytic crypticity rule it replaced, a factor of three (Figure 3b).</w:t>
      </w:r>
    </w:p>
    <w:p>
      <w:r>
        <w:rPr>
          <w:b/>
        </w:rPr>
        <w:t>Output is docking-ready.</w:t>
      </w:r>
      <w:r>
        <w:t xml:space="preserve"> Each site is emitted as a Boltz YAML constraint, an AutoDock Vina box, and a pseudoatom PDB, so a predicted pocket can be handed directly to a docking or co-folding run.</w:t>
      </w:r>
    </w:p>
    <w:p>
      <w:r>
        <w:t>Lacuna is MIT licensed, distributed on PyPI, archived on Zenodo [9], and covered by 167 tests. This report describes the design and validates the implementation. A separate study uses Lacuna's per-candidate output, alongside three other detectors, to analyse how the field's standard evaluation metric conflates detection with ranking; that analysis is reported elsewhere [10] and is not restated here.</w:t>
      </w:r>
    </w:p>
    <w:p>
      <w:r>
        <w:rPr>
          <w:b/>
        </w:rPr>
        <w:t>How to interpret these results.</w:t>
      </w:r>
      <w:r>
        <w:t xml:space="preserve"> Lacuna is built for cryptic-site discovery, not general binding-site prediction, and the results below should not be read as a claim of universal superiority. On general holo sites that are already open, P2Rank is better, and Section 3.5 reports that result rather than omitting it. On cryptic sites the zero-dependency default does not reach parity with P2Rank either: it trails by 7.8 points with an interval excluding zero, and only the optional PLM-assisted ranker reaches statistical parity. What the default buys instead is that it runs in seconds on a CPU with no external neural-network checkpoint, no MSA and no GPU. Its 23 fitted coefficients ship in the source and add nothing to install size or runtime. The contribution is a modular ensemble-analysis system with ensemble-derived site properties and docking-ready output, not a detector that dominates all alternatives.</w:t>
      </w:r>
    </w:p>
    <w:p>
      <w:pPr>
        <w:jc w:val="center"/>
      </w:pPr>
      <w:r>
        <w:drawing>
          <wp:inline xmlns:a="http://schemas.openxmlformats.org/drawingml/2006/main" xmlns:pic="http://schemas.openxmlformats.org/drawingml/2006/picture">
            <wp:extent cx="5943600" cy="3204832"/>
            <wp:docPr id="1" name="Picture 1"/>
            <wp:cNvGraphicFramePr>
              <a:graphicFrameLocks noChangeAspect="1"/>
            </wp:cNvGraphicFramePr>
            <a:graphic>
              <a:graphicData uri="http://schemas.openxmlformats.org/drawingml/2006/picture">
                <pic:pic>
                  <pic:nvPicPr>
                    <pic:cNvPr id="0" name="fig1_kras.png"/>
                    <pic:cNvPicPr/>
                  </pic:nvPicPr>
                  <pic:blipFill>
                    <a:blip r:embed="rId9"/>
                    <a:stretch>
                      <a:fillRect/>
                    </a:stretch>
                  </pic:blipFill>
                  <pic:spPr>
                    <a:xfrm>
                      <a:off x="0" y="0"/>
                      <a:ext cx="5943600" cy="3204832"/>
                    </a:xfrm>
                    <a:prstGeom prst="rect"/>
                  </pic:spPr>
                </pic:pic>
              </a:graphicData>
            </a:graphic>
          </wp:inline>
        </w:drawing>
      </w:r>
    </w:p>
    <w:p>
      <w:r>
        <w:rPr>
          <w:b/>
        </w:rPr>
        <w:t>Figure 1: The canonical cryptic pocket, recovered at rank 1 in three seconds.</w:t>
      </w:r>
      <w:r>
        <w:t xml:space="preserve"> Lacuna run on chain A of apo K-Ras (PDB 4OBE) with default settings: normal mode backend, 20 conformers. (a) Each row is a pocket cluster, each column a conformer, and a mark indicates the cluster was detected in that conformer. Column 0, left of the dashed line, is the input crystal structure itself; columns 1 to 20 are generated conformers. Clusters absent from the input structure are coloured blue. The rank-1 cluster is the switch-II pocket: it is detected in 11 of the 20 generated conformers and in none of the input, which is what makes it cryptic and what makes it invisible to a detector that sees only column 0. (b) Pocket volume in the input structure against the peak volume reached anywhere in the ensemble. The switch-II cluster goes from 0 to 305 Å³. Clusters 2 and 4 are ordinary surface pockets, already open in the input, and the ensemble adds little to them. The rank-1 cluster reaches a Jaccard overlap of 0.33 with the literature-annotated switch-II site and contains 79% of its residues.</w:t>
      </w:r>
    </w:p>
    <w:p>
      <w:pPr>
        <w:pStyle w:val="Heading2"/>
      </w:pPr>
      <w:r>
        <w:t>2  Design</w:t>
      </w:r>
    </w:p>
    <w:p>
      <w:pPr>
        <w:pStyle w:val="Heading3"/>
      </w:pPr>
      <w:r>
        <w:t>2.1  Overview</w:t>
      </w:r>
    </w:p>
    <w:p>
      <w:r>
        <w:t>Lacuna is a four-stage pipeline (Figure 2). A structure enters, an ensemble is generated, pockets are detected independently in each conformer, detections are clustered across conformers, and the resulting sites are ranked and written out. Each stage is separable, and the ensemble stage in particular is a plugin point.</w:t>
      </w:r>
    </w:p>
    <w:p>
      <w:r>
        <w:rPr>
          <w:b/>
        </w:rPr>
        <w:t>Ensemble generation.</w:t>
      </w:r>
      <w:r>
        <w:t xml:space="preserve"> The default backend is an anisotropic network model [11], an elastic network in which residues are nodes connected by harmonic springs. Displacing the structure along its lowest-frequency normal modes produces conformers that respect the fold's intrinsic flexibility at negligible cost. This is deliberately the cheapest reasonable choice, and it is also the most limited: harmonic modes describe collective breathing well and cannot produce large hinge motions or loop rearrangements. Three alternatives share the same interface. An implicit-solvent molecular dynamics backend samples thermal motion directly. A Boltz-2 backend [16] draws conformers as independent samples from a co-folding model's learned posterior, with the diffusion step scale lowered from its default to increase structural diversity. Finally, </w:t>
      </w:r>
      <w:r>
        <w:rPr>
          <w:rFonts w:ascii="Courier New" w:hAnsi="Courier New"/>
          <w:sz w:val="19"/>
        </w:rPr>
        <w:t>--ensemble</w:t>
      </w:r>
      <w:r>
        <w:t xml:space="preserve"> accepts a multi-model PDB or a directory of structures, so an ensemble produced by any external method can be analysed without Lacuna generating anything; frames are matched to the input by residue numbering and atom name, so a frame missing a loop remains usable.</w:t>
      </w:r>
    </w:p>
    <w:p>
      <w:r>
        <w:rPr>
          <w:b/>
        </w:rPr>
        <w:t>Pocket detection.</w:t>
      </w:r>
      <w:r>
        <w:t xml:space="preserve"> Within each conformer, pockets are found by a grid-based alpha-sphere method in the fpocket lineage [4]: candidate spheres are placed where they contact protein atoms without penetrating them, retained within a radius band that admits ligand-sized cavities while rejecting bulk solvent and interstitial voids, and clustered spatially into pockets. Lining residues are assigned by true atomic contact rather than by a radius around the pocket centre, which matters because a centre-and-radius definition inflates the residue set of large pockets and makes any overlap metric computed from it optimistic. Alternative detectors are available: </w:t>
      </w:r>
      <w:r>
        <w:rPr>
          <w:rFonts w:ascii="Courier New" w:hAnsi="Courier New"/>
          <w:sz w:val="19"/>
        </w:rPr>
        <w:t>--detector p2rank</w:t>
      </w:r>
      <w:r>
        <w:t xml:space="preserve"> substitutes P2Rank [5] per conformer, and </w:t>
      </w:r>
      <w:r>
        <w:rPr>
          <w:rFonts w:ascii="Courier New" w:hAnsi="Courier New"/>
          <w:sz w:val="19"/>
        </w:rPr>
        <w:t>fusion</w:t>
      </w:r>
      <w:r>
        <w:t xml:space="preserve"> runs both.</w:t>
      </w:r>
    </w:p>
    <w:p>
      <w:r>
        <w:rPr>
          <w:b/>
        </w:rPr>
        <w:t>Cross-conformer clustering.</w:t>
      </w:r>
      <w:r>
        <w:t xml:space="preserve"> This is the step that turns per-frame detections into sites. Pockets from different conformers are matched into clusters by spatial proximity of their centres together with overlap of their lining residue sets, so that the same physical site detected in fifteen conformers becomes one cluster rather than fifteen candidates. Each cluster then carries statistics no single structure can provide: persistence, the fraction of conformers in which the site is open; the volume distribution across the ensemble and its coefficient of variation; the volume in the input structure specifically; and the positional spread of the cluster's centroid between conformers.</w:t>
      </w:r>
    </w:p>
    <w:p>
      <w:r>
        <w:rPr>
          <w:b/>
        </w:rPr>
        <w:t>Ranking.</w:t>
      </w:r>
      <w:r>
        <w:t xml:space="preserve"> The default strategy is a linear model over 23 features spanning pocket geometry, druggability in the sense of Halgren's descriptors [12], and the ensemble-derived terms above. It is fitted on within-structure pairs, so it optimises the ordering of candidates inside one protein rather than classifying pockets in isolation, which is the quantity that actually determines whether a user sees the right site. Fitting used only CryptoBench's homology-separated training folds. An optional strategy, </w:t>
      </w:r>
      <w:r>
        <w:rPr>
          <w:rFonts w:ascii="Courier New" w:hAnsi="Courier New"/>
          <w:sz w:val="19"/>
        </w:rPr>
        <w:t>learned-plm</w:t>
      </w:r>
      <w:r>
        <w:t>, refits the same linear form with four additional features summarising a protein language model's per-residue cryptic-site probabilities over the cluster's lining [13]; it requires an optional dependency and is not the default, so that the same command produces the same ranking on every installation. Several analytic strategies remain available for targets that resemble classical case studies more than they resemble CryptoBench.</w:t>
      </w:r>
    </w:p>
    <w:p>
      <w:r>
        <w:rPr>
          <w:b/>
        </w:rPr>
        <w:t>Crypticity.</w:t>
      </w:r>
      <w:r>
        <w:t xml:space="preserve"> Independently of rank, every site receives a continuous score between 0 and 1 capturing the conformational-selection signature:</w:t>
      </w:r>
    </w:p>
    <w:p>
      <w:pPr>
        <w:spacing w:before="120" w:after="120"/>
        <w:ind w:left="403"/>
      </w:pPr>
      <w:r>
        <w:rPr>
          <w:rFonts w:ascii="Consolas" w:hAnsi="Consolas" w:cs="Consolas"/>
          <w:sz w:val="19"/>
        </w:rPr>
        <w:t>opening    = (max_volume − input_volume) / max_volume</w:t>
        <w:br/>
      </w:r>
      <w:r>
        <w:rPr>
          <w:rFonts w:ascii="Consolas" w:hAnsi="Consolas" w:cs="Consolas"/>
          <w:sz w:val="19"/>
        </w:rPr>
        <w:t>crypticity = opening × peak_open_state_druggability</w:t>
      </w:r>
    </w:p>
    <w:p>
      <w:r>
        <w:t>A site absent from the input structure has opening 1.0, so crypticity reduces to its druggability once open. A site already open in the input has low opening and therefore low crypticity regardless of how druggable it is. A site is additionally flagged cryptic when it is present in fewer than 90% of conformers.</w:t>
      </w:r>
    </w:p>
    <w:p>
      <w:r>
        <w:rPr>
          <w:b/>
        </w:rPr>
        <w:t>Outputs.</w:t>
      </w:r>
      <w:r>
        <w:t xml:space="preserve"> Sites are written as a ranked JSON report carrying every quantity above, and optionally as Boltz YAML constraint files, AutoDock Vina box configs, and pseudoatom PDB files for visualisation. The docking outputs exist because a predicted pocket that cannot be handed to the next tool in a workflow is of limited use.</w:t>
      </w:r>
    </w:p>
    <w:p>
      <w:pPr>
        <w:jc w:val="center"/>
      </w:pPr>
      <w:r>
        <w:drawing>
          <wp:inline xmlns:a="http://schemas.openxmlformats.org/drawingml/2006/main" xmlns:pic="http://schemas.openxmlformats.org/drawingml/2006/picture">
            <wp:extent cx="5943600" cy="1784873"/>
            <wp:docPr id="2" name="Picture 2"/>
            <wp:cNvGraphicFramePr>
              <a:graphicFrameLocks noChangeAspect="1"/>
            </wp:cNvGraphicFramePr>
            <a:graphic>
              <a:graphicData uri="http://schemas.openxmlformats.org/drawingml/2006/picture">
                <pic:pic>
                  <pic:nvPicPr>
                    <pic:cNvPr id="0" name="fig2_pipeline.png"/>
                    <pic:cNvPicPr/>
                  </pic:nvPicPr>
                  <pic:blipFill>
                    <a:blip r:embed="rId10"/>
                    <a:stretch>
                      <a:fillRect/>
                    </a:stretch>
                  </pic:blipFill>
                  <pic:spPr>
                    <a:xfrm>
                      <a:off x="0" y="0"/>
                      <a:ext cx="5943600" cy="1784873"/>
                    </a:xfrm>
                    <a:prstGeom prst="rect"/>
                  </pic:spPr>
                </pic:pic>
              </a:graphicData>
            </a:graphic>
          </wp:inline>
        </w:drawing>
      </w:r>
    </w:p>
    <w:p>
      <w:r>
        <w:rPr>
          <w:b/>
        </w:rPr>
        <w:t>Figure 2: Lacuna's pipeline.</w:t>
      </w:r>
      <w:r>
        <w:t xml:space="preserve"> Ensemble generation is a plugin point; detection runs independently per conformer; clustering is what converts transient per-frame cavities into persistent sites with ensemble statistics.</w:t>
      </w:r>
    </w:p>
    <w:p>
      <w:pPr>
        <w:pStyle w:val="Heading3"/>
      </w:pPr>
      <w:r>
        <w:t>2.2  Interface</w:t>
      </w:r>
    </w:p>
    <w:p>
      <w:r>
        <w:t>The command line covers the common case:</w:t>
      </w:r>
    </w:p>
    <w:p>
      <w:pPr>
        <w:spacing w:before="120" w:after="120"/>
        <w:ind w:left="403"/>
      </w:pPr>
      <w:r>
        <w:rPr>
          <w:rFonts w:ascii="Consolas" w:hAnsi="Consolas" w:cs="Consolas"/>
          <w:sz w:val="19"/>
        </w:rPr>
        <w:t>pip install lacuna-pockets</w:t>
        <w:br/>
      </w:r>
      <w:r>
        <w:rPr>
          <w:rFonts w:ascii="Consolas" w:hAnsi="Consolas" w:cs="Consolas"/>
          <w:sz w:val="19"/>
        </w:rPr>
        <w:t>lacuna discover protein.pdb</w:t>
        <w:br/>
      </w:r>
      <w:r>
        <w:rPr>
          <w:rFonts w:ascii="Consolas" w:hAnsi="Consolas" w:cs="Consolas"/>
          <w:sz w:val="19"/>
        </w:rPr>
        <w:t>lacuna discover protein.pdb --backend boltz --conformers 30</w:t>
        <w:br/>
      </w:r>
      <w:r>
        <w:rPr>
          <w:rFonts w:ascii="Consolas" w:hAnsi="Consolas" w:cs="Consolas"/>
          <w:sz w:val="19"/>
        </w:rPr>
        <w:t>lacuna discover protein.pdb --emit-boltz-constraints --emit-vina-boxes</w:t>
      </w:r>
    </w:p>
    <w:p>
      <w:r>
        <w:t xml:space="preserve">Inputs are PDB or mmCIF and may come from the PDB, AlphaFold [14], Boltz or Chai. A </w:t>
      </w:r>
      <w:r>
        <w:rPr>
          <w:rFonts w:ascii="Courier New" w:hAnsi="Courier New"/>
          <w:sz w:val="19"/>
        </w:rPr>
        <w:t>--homodimer</w:t>
      </w:r>
      <w:r>
        <w:t xml:space="preserve"> flag builds the biological assembly from BIOMT or </w:t>
      </w:r>
      <w:r>
        <w:rPr>
          <w:rFonts w:ascii="Courier New" w:hAnsi="Courier New"/>
          <w:sz w:val="19"/>
        </w:rPr>
        <w:t>_pdbx_struct_oper_list</w:t>
      </w:r>
      <w:r>
        <w:t xml:space="preserve"> records, which is required for sites at dimer interfaces. A second command, </w:t>
      </w:r>
      <w:r>
        <w:rPr>
          <w:rFonts w:ascii="Courier New" w:hAnsi="Courier New"/>
          <w:sz w:val="19"/>
        </w:rPr>
        <w:t>lacuna dock-prep</w:t>
      </w:r>
      <w:r>
        <w:t>, regenerates docking inputs from an existing pocket report, so a run does not have to be repeated to produce them. The Python API exposes the same stages individually for users who want to substitute a component.</w:t>
      </w:r>
    </w:p>
    <w:p>
      <w:r>
        <w:t>Lacuna requires Python 3.10 or later. Optional extras (</w:t>
      </w:r>
      <w:r>
        <w:rPr>
          <w:rFonts w:ascii="Courier New" w:hAnsi="Courier New"/>
          <w:sz w:val="19"/>
        </w:rPr>
        <w:t>lacuna[openmm]</w:t>
      </w:r>
      <w:r>
        <w:t xml:space="preserve">, </w:t>
      </w:r>
      <w:r>
        <w:rPr>
          <w:rFonts w:ascii="Courier New" w:hAnsi="Courier New"/>
          <w:sz w:val="19"/>
        </w:rPr>
        <w:t>lacuna[boltz]</w:t>
      </w:r>
      <w:r>
        <w:t xml:space="preserve">, </w:t>
      </w:r>
      <w:r>
        <w:rPr>
          <w:rFonts w:ascii="Courier New" w:hAnsi="Courier New"/>
          <w:sz w:val="19"/>
        </w:rPr>
        <w:t>lacuna[plm]</w:t>
      </w:r>
      <w:r>
        <w:t xml:space="preserve">, or </w:t>
      </w:r>
      <w:r>
        <w:rPr>
          <w:rFonts w:ascii="Courier New" w:hAnsi="Courier New"/>
          <w:sz w:val="19"/>
        </w:rPr>
        <w:t>lacuna[all]</w:t>
      </w:r>
      <w:r>
        <w:t>) gate the heavier dependencies, so a base install pulls only NumPy, SciPy, BioPython and two command-line libraries, and the default pipeline runs with no GPU and no compiled extensions.</w:t>
      </w:r>
    </w:p>
    <w:p>
      <w:pPr>
        <w:pStyle w:val="Heading2"/>
      </w:pPr>
      <w:r>
        <w:t>3  Validation</w:t>
      </w:r>
    </w:p>
    <w:p>
      <w:pPr>
        <w:pStyle w:val="Heading3"/>
      </w:pPr>
      <w:r>
        <w:t>3.1  A worked example</w:t>
      </w:r>
    </w:p>
    <w:p>
      <w:r>
        <w:t>Figure 1 shows Lacuna applied to apo K-Ras (PDB 4OBE, chain A) at default settings. The switch-II pocket is returned at rank 1, with a Jaccard overlap of 0.33 against the literature-annotated site and 79% of its annotated residues recovered. The run took 3.1 seconds.</w:t>
      </w:r>
    </w:p>
    <w:p>
      <w:r>
        <w:t>The mechanism is visible in the figure rather than asserted. The switch-II cluster has zero volume in the input crystal structure and reaches 305 Å³ at its widest in the ensemble, and it is detected in 11 of 20 generated conformers. A detector restricted to column 0 has nothing to find. This example is a favourable one, chosen because it is the canonical case; the aggregate behaviour is in the next section.</w:t>
      </w:r>
    </w:p>
    <w:p>
      <w:pPr>
        <w:pStyle w:val="Heading3"/>
      </w:pPr>
      <w:r>
        <w:t>3.2  Recovery across four datasets</w:t>
      </w:r>
    </w:p>
    <w:p>
      <w:r>
        <w:t>A site counts as recovered when, among the top five ranked clusters, one reaches a Jaccard overlap of at least 0.25 with the known ligand-contact residues, or its centre lies within 4 Å of the site centroid. Jaccard is used rather than plain recall because recall is size-gameable: a sufficiently large pocket engulfs most of a small known site without being localised on it.</w:t>
      </w:r>
    </w:p>
    <w:p>
      <w:r>
        <w:t xml:space="preserve">The size of that effect is worth stating, because it determines whether the criterion is doing any work. Ordering the same candidate set by pocket volume alone, using no learned model and no other feature, recovers 77.7% of test-fold structures under a recall threshold of 0.30 but only 52.0% under Jaccard at 0.25. The learned ranker scores 77.7% under recall as well: measured that way it is indistinguishable from sorting by size, and the two separate only under Jaccard, at 55.9% against 52.0%. A metric on which a trained model cannot be told apart from a volume sort is not measuring localisation, which is why every number below uses Jaccard. These figures come from </w:t>
      </w:r>
      <w:r>
        <w:rPr>
          <w:rFonts w:ascii="Courier New" w:hAnsi="Courier New"/>
          <w:sz w:val="19"/>
        </w:rPr>
        <w:t>benchmarks/verify_recall_gaming.py</w:t>
      </w:r>
      <w:r>
        <w:t>, which recovers recall exactly from the stored Jaccard and lining size; they cover the Jaccard term of the criterion only, on the 179 test-fold structures whose annotated site size is recoverable, so they sit slightly above the headline figures that also apply the centroid clause.</w:t>
      </w:r>
    </w:p>
    <w:p>
      <w:r>
        <w:rPr>
          <w:b/>
        </w:rPr>
        <w:t>Cohort note.</w:t>
      </w:r>
      <w:r>
        <w:t xml:space="preserve"> Evaluation here uses all 180 CryptoBench test-fold structures. The companion detector-comparison study [10] uses the 178 on which all four methods it compares produced output, so that every comparison there is paired. The PLM-assisted ranker therefore scores 66.1% (119/180) in this report and 66.3% on that paired 178-structure cohort. The two are the same configuration measured on slightly different sets, not a change in the software.</w:t>
      </w:r>
    </w:p>
    <w:p>
      <w:r>
        <w:t>Figure 3 reports recovery on four datasets. On the designated CryptoBench test fold [15], the largest and most diverse cryptic-site benchmark, the default ranker recovers 55.6% and the optional PLM-assisted ranker 66.1%. Independent validation is consistent: 73% (33/45) on the PocketMiner set [7] and 45% (10/22) on a curated set of apo/holo pairs assembled from the cryptic-pocket literature [2]. The split follows CryptoBench's own homology-separated folds, and the ranker's coefficients were fitted on the training folds only; no test-fold example entered that fit. The tool as a whole has been developed over many iterations during which test-fold performance was measured, so these numbers are a designated held-out result rather than a claim of full blindness, and the companion study [10] makes the same distinction for the same reason.</w:t>
      </w:r>
    </w:p>
    <w:p>
      <w:r>
        <w:t>How much of that comes from ordering rather than detection is separable, because the ranking strategy can be changed without touching the pipeline that produces the candidates. Figure 3b holds the candidate set fixed and varies only the ordering. The analytic crypticity rule that was the default before v1.0.0 recovers 17.8% of the test fold; the fitted linear model recovers 55.6% from the same candidates, and the PLM-assisted variant 66.1%. The detector was already proposing the right pocket for most of the targets the analytic rule missed, and was burying it. This is the single largest effect measured in this report, and it required no change to sampling or detection.</w:t>
      </w:r>
    </w:p>
    <w:p>
      <w:r>
        <w:t>The most informative comparison is against MDpocket [8], which is the established route to the same goal: detect pockets on an ensemble and aggregate across it. Handing MDpocket the identical normal-mode ensemble Lacuna generates isolates the analysis pipeline from the sampler, since both then see exactly the same conformations. On that footing MDpocket recovers 43.9% of the test fold, against 55.6% for Lacuna's default ranker (+11.7%, 95% CI +3.9 to +19.4) and 66.1% with the PLM-assisted ranker (+22.2%, CI +14.4 to +30.0). MDpocket is reported at its best of ten configurations, with both isovalue and ranking rule swept in its favour; at its default isovalue it scores 40.2%. Because the sampling is held constant, the difference is attributable to the clustering and ranking stages, which is where this tool's contribution lies.</w:t>
      </w:r>
    </w:p>
    <w:p>
      <w:r>
        <w:t>The fourth dataset is a deliberate negative control. COACH420 contains holo structures whose pocket is already open, which is an easier task and not the one Lacuna is built for. Lacuna scores 86.8% there with the default ranker, but paired on the same 144 structures P2Rank scores 93.8%, a difference of −6.9% (95% CI −12.5 to −1.4) that excludes zero.</w:t>
      </w:r>
    </w:p>
    <w:p>
      <w:r>
        <w:t>On cryptic sites the ordering against P2Rank depends on configuration, and it is worth stating precisely rather than summarising. The optional PLM-assisted ranker reaches parity, nominally ahead by 2.8 points but with an interval spanning zero (CI −4.4 to +9.4), so parity is the honest word and not a win. The zero-dependency default does not reach parity: at 55.6% it trails P2Rank by 7.8 points, with an interval that excludes zero (CI −15.0 to −0.6). The higher absolute number on COACH420 reflects the easier task rather than better performance, and cross-dataset comparison of these figures is not meaningful.</w:t>
      </w:r>
    </w:p>
    <w:p>
      <w:pPr>
        <w:jc w:val="center"/>
      </w:pPr>
      <w:r>
        <w:drawing>
          <wp:inline xmlns:a="http://schemas.openxmlformats.org/drawingml/2006/main" xmlns:pic="http://schemas.openxmlformats.org/drawingml/2006/picture">
            <wp:extent cx="5943600" cy="2476395"/>
            <wp:docPr id="3" name="Picture 3"/>
            <wp:cNvGraphicFramePr>
              <a:graphicFrameLocks noChangeAspect="1"/>
            </wp:cNvGraphicFramePr>
            <a:graphic>
              <a:graphicData uri="http://schemas.openxmlformats.org/drawingml/2006/picture">
                <pic:pic>
                  <pic:nvPicPr>
                    <pic:cNvPr id="0" name="fig3_benchmarks.png"/>
                    <pic:cNvPicPr/>
                  </pic:nvPicPr>
                  <pic:blipFill>
                    <a:blip r:embed="rId11"/>
                    <a:stretch>
                      <a:fillRect/>
                    </a:stretch>
                  </pic:blipFill>
                  <pic:spPr>
                    <a:xfrm>
                      <a:off x="0" y="0"/>
                      <a:ext cx="5943600" cy="2476395"/>
                    </a:xfrm>
                    <a:prstGeom prst="rect"/>
                  </pic:spPr>
                </pic:pic>
              </a:graphicData>
            </a:graphic>
          </wp:inline>
        </w:drawing>
      </w:r>
    </w:p>
    <w:p>
      <w:r>
        <w:rPr>
          <w:b/>
        </w:rPr>
        <w:t>Figure 3: Recovery in the top five predictions, and what ordering contributes.</w:t>
      </w:r>
      <w:r>
        <w:t xml:space="preserve"> A site counts as recovered at Jaccard ≥ 0.25 against known ligand-contact residues, or a centroid within 4 Å. (a) Four datasets. </w:t>
      </w:r>
      <w:r>
        <w:rPr>
          <w:rFonts w:ascii="Courier New" w:hAnsi="Courier New"/>
          <w:sz w:val="19"/>
        </w:rPr>
        <w:t>learned</w:t>
      </w:r>
      <w:r>
        <w:t xml:space="preserve"> is the default ranker and needs only a base install; </w:t>
      </w:r>
      <w:r>
        <w:rPr>
          <w:rFonts w:ascii="Courier New" w:hAnsi="Courier New"/>
          <w:sz w:val="19"/>
        </w:rPr>
        <w:t>learned-plm</w:t>
      </w:r>
      <w:r>
        <w:t xml:space="preserve"> additionally requires a protein language model and was not measured on COACH420. COACH420 holds general, already-open binding sites rather than cryptic ones and is included as a control, not as a headline: the task is easier, and a general-purpose detector beats Lacuna on it. (b) Ranking-strategy ablation on the CryptoBench test fold, holding the candidate set fixed so that only the ordering changes. The analytic crypticity rule that served as the pre-1.0 default recovers 17.8%, the fitted linear model 55.6%, and the PLM-assisted variant 66.1%. Detection did not change between these three bars, which is the point: the candidates were already being generated and were being ordered badly.</w:t>
      </w:r>
    </w:p>
    <w:p>
      <w:pPr>
        <w:pStyle w:val="Heading3"/>
      </w:pPr>
      <w:r>
        <w:t>3.3  Runtime</w:t>
      </w:r>
    </w:p>
    <w:p>
      <w:r>
        <w:t>Figure 4 reports wall-clock time against chain length for the default backend at 20 conformers on a single core. Each structure is a single extracted chain, timed in a separate process so that interpreter warm-up cannot flatter later runs, drawn across the CryptoBench size range rather than cherry-picked.</w:t>
      </w:r>
    </w:p>
    <w:p>
      <w:r>
        <w:t>Across 30 chains spanning 57 to 676 residues, the complete pipeline, ensemble generation through ranking, takes 0.9 to 7.2 seconds, with a median of 2.6. A power-law fit gives an exponent of 0.89, so cost is essentially linear in chain length over this range. The K-Ras example in Figure 1 took 3.1 seconds.</w:t>
      </w:r>
    </w:p>
    <w:p>
      <w:r>
        <w:t>The practical consequence is that ensemble-based pocket discovery on a single protein is an interactive operation rather than a scheduled job, which is the design goal. The heavier backends are correspondingly more expensive: the molecular dynamics and Boltz-2 backends cost minutes to hours per target and are appropriate when the default's harmonic sampling is known to be insufficient.</w:t>
      </w:r>
    </w:p>
    <w:p>
      <w:pPr>
        <w:jc w:val="center"/>
      </w:pPr>
      <w:r>
        <w:drawing>
          <wp:inline xmlns:a="http://schemas.openxmlformats.org/drawingml/2006/main" xmlns:pic="http://schemas.openxmlformats.org/drawingml/2006/picture">
            <wp:extent cx="5943600" cy="4580435"/>
            <wp:docPr id="4" name="Picture 4"/>
            <wp:cNvGraphicFramePr>
              <a:graphicFrameLocks noChangeAspect="1"/>
            </wp:cNvGraphicFramePr>
            <a:graphic>
              <a:graphicData uri="http://schemas.openxmlformats.org/drawingml/2006/picture">
                <pic:pic>
                  <pic:nvPicPr>
                    <pic:cNvPr id="0" name="fig4_runtime.png"/>
                    <pic:cNvPicPr/>
                  </pic:nvPicPr>
                  <pic:blipFill>
                    <a:blip r:embed="rId12"/>
                    <a:stretch>
                      <a:fillRect/>
                    </a:stretch>
                  </pic:blipFill>
                  <pic:spPr>
                    <a:xfrm>
                      <a:off x="0" y="0"/>
                      <a:ext cx="5943600" cy="4580435"/>
                    </a:xfrm>
                    <a:prstGeom prst="rect"/>
                  </pic:spPr>
                </pic:pic>
              </a:graphicData>
            </a:graphic>
          </wp:inline>
        </w:drawing>
      </w:r>
    </w:p>
    <w:p>
      <w:r>
        <w:rPr>
          <w:b/>
        </w:rPr>
        <w:t>Figure 4: Wall clock against chain length.</w:t>
      </w:r>
      <w:r>
        <w:t xml:space="preserve"> Default normal mode backend, 20 conformers, single core, single extracted chain per structure, drawn across the CryptoBench size range rather than cherry-picked. The dashed line is a power-law fit in log-log coordinates.</w:t>
      </w:r>
    </w:p>
    <w:p>
      <w:pPr>
        <w:pStyle w:val="Heading2"/>
      </w:pPr>
      <w:r>
        <w:t>4  Conclusions</w:t>
      </w:r>
    </w:p>
    <w:p>
      <w:r>
        <w:t>Lacuna packages ensemble-based cryptic pocket discovery as a tool that installs with pip and runs in seconds, rather than as a protocol requiring a simulation budget. Its distinguishing choices are that the ensemble backend is a swappable parameter, that detections are clustered across conformers into sites carrying ensemble statistics, and that ranking those sites is a fitted problem rather than a hand-designed rule.</w:t>
      </w:r>
    </w:p>
    <w:p>
      <w:pPr>
        <w:pStyle w:val="Heading3"/>
      </w:pPr>
      <w:r>
        <w:t>4.1  Limitations</w:t>
      </w:r>
    </w:p>
    <w:p>
      <w:r>
        <w:t>Two limits are worth stating plainly.</w:t>
      </w:r>
    </w:p>
    <w:p>
      <w:r>
        <w:t>The first is ranking. Across the candidate set Lacuna generates, some cluster clears the recovery criterion for 73.7% of CryptoBench test-fold structures, against the 66.1% that reach the top five. The site is often found and then out-ranked. Several attempts to close that gap returned nothing measurable: spatial non-maximum suppression, merging adjacent sub-pockets, hard-negative mining, gradient boosting in place of the linear model, and importing P2Rank's own per-pocket confidence as a ranking feature. The last is the most informative, since if per-point scoring were the missing ingredient then handing the ranker P2Rank's opinion directly should have helped, and it did not.</w:t>
      </w:r>
    </w:p>
    <w:p>
      <w:r>
        <w:t>The second is sampling. Stratifying the test fold by how far the site moves between apo and holo, Lacuna recovers 47% of the most-mobile quartile against P2Rank's 62%. The default elastic network is harmonic and cannot generate large hinge or interface openings. Enhanced-temperature dynamics, metadynamics along an apo-derived collective variable, and scaled-water dynamics were each null against baseline at single-workstation sampling. Catching those events reliably appears to need tens to hundreds of nanoseconds across dozens of replicas per target, which is a cluster-scale cost rather than a missing algorithm. This is the gap the co-folding backend is intended to probe, since a generative model samples conformational diversity without paying for the trajectory between states.</w:t>
      </w:r>
    </w:p>
    <w:p>
      <w:pPr>
        <w:pStyle w:val="Heading2"/>
      </w:pPr>
      <w:r>
        <w:t>Data and code availability</w:t>
      </w:r>
    </w:p>
    <w:p>
      <w:r>
        <w:t xml:space="preserve">Source code is at https://github.com/mooreneural/lacuna under the MIT licence, released as v1.0.0 and installable as </w:t>
      </w:r>
      <w:r>
        <w:rPr>
          <w:rFonts w:ascii="Courier New" w:hAnsi="Courier New"/>
          <w:sz w:val="19"/>
        </w:rPr>
        <w:t>pip install lacuna-pockets</w:t>
      </w:r>
      <w:r>
        <w:t xml:space="preserve">. The exact version described here is archived on Zenodo at doi:10.5281/zenodo.21891171 [9]. All benchmark scripts, including those that produce every number in Figure 3, are in the repository's </w:t>
      </w:r>
      <w:r>
        <w:rPr>
          <w:rFonts w:ascii="Courier New" w:hAnsi="Courier New"/>
          <w:sz w:val="19"/>
        </w:rPr>
        <w:t>benchmarks/</w:t>
      </w:r>
      <w:r>
        <w:t xml:space="preserve"> directory and download their datasets automatically.</w:t>
      </w:r>
    </w:p>
    <w:p>
      <w:pPr>
        <w:pStyle w:val="Heading2"/>
      </w:pPr>
      <w:r>
        <w:t>References</w:t>
      </w:r>
    </w:p>
    <w:p>
      <w:r>
        <w:t xml:space="preserve">1. Dang CV, Reddy EP, Shokat KM, Soucek L. Drugging the 'undruggable' cancer targets. </w:t>
      </w:r>
      <w:r>
        <w:rPr>
          <w:i/>
        </w:rPr>
        <w:t>Nature Reviews Cancer</w:t>
      </w:r>
      <w:r>
        <w:t xml:space="preserve"> 2017. doi:10.1038/nrc.2017.36</w:t>
      </w:r>
    </w:p>
    <w:p>
      <w:r>
        <w:t xml:space="preserve">2. Cimermancic P, Weinkam P, Rettenmaier TJ, Bichmann L, Heffron GJ, Rakoczy S, et al. CryptoSite: expanding the druggable proteome by characterization and prediction of cryptic binding sites. </w:t>
      </w:r>
      <w:r>
        <w:rPr>
          <w:i/>
        </w:rPr>
        <w:t>Journal of Molecular Biology</w:t>
      </w:r>
      <w:r>
        <w:t xml:space="preserve"> 2016;</w:t>
      </w:r>
      <w:r>
        <w:rPr>
          <w:b/>
        </w:rPr>
        <w:t>428</w:t>
      </w:r>
      <w:r>
        <w:t>(4):709-719. doi:10.1016/j.jmb.2016.01.029</w:t>
      </w:r>
    </w:p>
    <w:p>
      <w:r>
        <w:t xml:space="preserve">3. Ostrem JM, Peters U, Sos ML, Wells JA, Shokat KM. K-Ras(G12C) inhibitors allosterically control GTP affinity and effector interactions. </w:t>
      </w:r>
      <w:r>
        <w:rPr>
          <w:i/>
        </w:rPr>
        <w:t>Nature</w:t>
      </w:r>
      <w:r>
        <w:t xml:space="preserve"> 2013;</w:t>
      </w:r>
      <w:r>
        <w:rPr>
          <w:b/>
        </w:rPr>
        <w:t>503</w:t>
      </w:r>
      <w:r>
        <w:t>:548-551. doi:10.1038/nature12796</w:t>
      </w:r>
    </w:p>
    <w:p>
      <w:r>
        <w:t xml:space="preserve">4. Le Guilloux V, Schmidtke P, Tuffery P. Fpocket: an open source platform for ligand pocket detection. </w:t>
      </w:r>
      <w:r>
        <w:rPr>
          <w:i/>
        </w:rPr>
        <w:t>BMC Bioinformatics</w:t>
      </w:r>
      <w:r>
        <w:t xml:space="preserve"> 2009;</w:t>
      </w:r>
      <w:r>
        <w:rPr>
          <w:b/>
        </w:rPr>
        <w:t>10</w:t>
      </w:r>
      <w:r>
        <w:t>:168. doi:10.1186/1471-2105-10-168</w:t>
      </w:r>
    </w:p>
    <w:p>
      <w:r>
        <w:t xml:space="preserve">5. Krivák R, Hoksza D. P2Rank: machine learning based tool for rapid and accurate prediction of ligand binding sites from protein structure. </w:t>
      </w:r>
      <w:r>
        <w:rPr>
          <w:i/>
        </w:rPr>
        <w:t>Journal of Cheminformatics</w:t>
      </w:r>
      <w:r>
        <w:t xml:space="preserve"> 2018;</w:t>
      </w:r>
      <w:r>
        <w:rPr>
          <w:b/>
        </w:rPr>
        <w:t>10</w:t>
      </w:r>
      <w:r>
        <w:t>:39. doi:10.1186/s13321-018-0285-8</w:t>
      </w:r>
    </w:p>
    <w:p>
      <w:r>
        <w:t xml:space="preserve">6. Carbery A, Buttenschoen M, Skyner R, von Delft F, Deane CM. Learnt representations of proteins can be used for accurate prediction of small molecule binding sites on experimentally determined and predicted protein structures. </w:t>
      </w:r>
      <w:r>
        <w:rPr>
          <w:i/>
        </w:rPr>
        <w:t>Journal of Cheminformatics</w:t>
      </w:r>
      <w:r>
        <w:t xml:space="preserve"> 2024;</w:t>
      </w:r>
      <w:r>
        <w:rPr>
          <w:b/>
        </w:rPr>
        <w:t>16</w:t>
      </w:r>
      <w:r>
        <w:t>:32. doi:10.1186/s13321-024-00821-4</w:t>
      </w:r>
    </w:p>
    <w:p>
      <w:r>
        <w:t xml:space="preserve">7. Meller A, Ward M, Borowsky J, Kshirsagar M, Lotthammer JM, Oviedo F, et al. Predicting locations of cryptic pockets from single protein structures using the PocketMiner graph neural network. </w:t>
      </w:r>
      <w:r>
        <w:rPr>
          <w:i/>
        </w:rPr>
        <w:t>Nature Communications</w:t>
      </w:r>
      <w:r>
        <w:t xml:space="preserve"> 2023;</w:t>
      </w:r>
      <w:r>
        <w:rPr>
          <w:b/>
        </w:rPr>
        <w:t>14</w:t>
      </w:r>
      <w:r>
        <w:t>:1177. doi:10.1038/s41467-023-36699-3</w:t>
      </w:r>
    </w:p>
    <w:p>
      <w:r>
        <w:t xml:space="preserve">8. Schmidtke P, Bidon-Chanal A, Luque FJ, Barril X. MDpocket: open-source cavity detection and characterization on molecular dynamics trajectories. </w:t>
      </w:r>
      <w:r>
        <w:rPr>
          <w:i/>
        </w:rPr>
        <w:t>Bioinformatics</w:t>
      </w:r>
      <w:r>
        <w:t xml:space="preserve"> 2011. doi:10.1093/bioinformatics/btr550</w:t>
      </w:r>
    </w:p>
    <w:p>
      <w:r>
        <w:t>9. Moore CW. Lacuna: cryptic binding pocket discovery via conformational ensemble analysis (v1.0.0). Zenodo, 2026. doi:10.5281/zenodo.21891171</w:t>
      </w:r>
    </w:p>
    <w:p>
      <w:r>
        <w:t xml:space="preserve">10. Moore CW. Cryptic binding sites are detected but not ranked: coverage, conversion, and detector consensus. </w:t>
      </w:r>
      <w:r>
        <w:rPr>
          <w:i/>
        </w:rPr>
        <w:t>Preprint</w:t>
      </w:r>
      <w:r>
        <w:t xml:space="preserve"> 2026.</w:t>
      </w:r>
    </w:p>
    <w:p>
      <w:r>
        <w:t xml:space="preserve">11. Atilgan AR, Durell SR, Jernigan RL, Demirel MC, Keskin O, Bahar I. Anisotropy of fluctuation dynamics of proteins with an elastic network model. </w:t>
      </w:r>
      <w:r>
        <w:rPr>
          <w:i/>
        </w:rPr>
        <w:t>Biophysical Journal</w:t>
      </w:r>
      <w:r>
        <w:t xml:space="preserve"> 2001. doi:10.1016/S0006-3495(01)76033-X</w:t>
      </w:r>
    </w:p>
    <w:p>
      <w:r>
        <w:t xml:space="preserve">12. Halgren TA. Identifying and characterizing binding sites and assessing druggability. </w:t>
      </w:r>
      <w:r>
        <w:rPr>
          <w:i/>
        </w:rPr>
        <w:t>Journal of Chemical Information and Modeling</w:t>
      </w:r>
      <w:r>
        <w:t xml:space="preserve"> 2009. doi:10.1021/ci800324m</w:t>
      </w:r>
    </w:p>
    <w:p>
      <w:r>
        <w:t xml:space="preserve">13. Lin Z, Akin H, Rao R, Hie B, Zhu Z, Lu W, et al. Evolutionary-scale prediction of atomic-level protein structure with a language model. </w:t>
      </w:r>
      <w:r>
        <w:rPr>
          <w:i/>
        </w:rPr>
        <w:t>Science</w:t>
      </w:r>
      <w:r>
        <w:t xml:space="preserve"> 2023;</w:t>
      </w:r>
      <w:r>
        <w:rPr>
          <w:b/>
        </w:rPr>
        <w:t>379</w:t>
      </w:r>
      <w:r>
        <w:t>(6637):1123-1130. doi:10.1126/science.ade2574</w:t>
      </w:r>
    </w:p>
    <w:p>
      <w:r>
        <w:t xml:space="preserve">14. Jumper J, Evans R, Pritzel A, Green T, Figurnov M, Ronneberger O, et al. Highly accurate protein structure prediction with AlphaFold. </w:t>
      </w:r>
      <w:r>
        <w:rPr>
          <w:i/>
        </w:rPr>
        <w:t>Nature</w:t>
      </w:r>
      <w:r>
        <w:t xml:space="preserve"> 2021. doi:10.1038/s41586-021-03819-2</w:t>
      </w:r>
    </w:p>
    <w:p>
      <w:r>
        <w:t xml:space="preserve">15. Škrhák V, Novotný M, Feidakis C, Krivák R, Hoksza D. CryptoBench: cryptic protein-ligand binding sites dataset and benchmark. </w:t>
      </w:r>
      <w:r>
        <w:rPr>
          <w:i/>
        </w:rPr>
        <w:t>Bioinformatics</w:t>
      </w:r>
      <w:r>
        <w:t xml:space="preserve"> 2025;</w:t>
      </w:r>
      <w:r>
        <w:rPr>
          <w:b/>
        </w:rPr>
        <w:t>41</w:t>
      </w:r>
      <w:r>
        <w:t>(1):btae745. doi:10.1093/bioinformatics/btae745</w:t>
      </w:r>
    </w:p>
    <w:p>
      <w:r>
        <w:t xml:space="preserve">16. Passaro S, Corso G, Wohlwend J, Reveiz M, Thaler S, Somnath VR, et al. Boltz-2: towards accurate and efficient binding affinity prediction. </w:t>
      </w:r>
      <w:r>
        <w:rPr>
          <w:i/>
        </w:rPr>
        <w:t>bioRxiv</w:t>
      </w:r>
      <w:r>
        <w:t xml:space="preserve"> 2025. doi:10.1101/2025.06.14.659707</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