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0"/>
      </w:pPr>
    </w:p>
    <w:p>
      <w:pPr>
        <w:jc w:val="center"/>
      </w:pPr>
      <w:r>
        <w:drawing>
          <wp:inline distT="0" distB="0" distL="0" distR="0">
            <wp:extent cx="1905000" cy="1905000"/>
            <wp:effectExtent t="0" r="0" b="0" l="0"/>
            <wp:docPr id="1" name="Logo" descr="Füllhorn Kreislauf-Horn Logo" title="Füllhor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00"/>
      </w:pPr>
    </w:p>
    <w:p>
      <w:pPr>
        <w:pStyle w:val="Title"/>
      </w:pPr>
      <w:r>
        <w:t xml:space="preserve">Füllhorn</w:t>
      </w:r>
    </w:p>
    <w:p>
      <w:pPr>
        <w:pStyle w:val="Subtitle"/>
      </w:pPr>
      <w:r>
        <w:t xml:space="preserve">Corporate Identity Guidelines</w:t>
      </w:r>
    </w:p>
    <w:p>
      <w:pPr>
        <w:spacing w:before="600"/>
      </w:pPr>
    </w:p>
    <w:p>
      <w:pPr>
        <w:jc w:val="center"/>
      </w:pPr>
      <w:r>
        <w:rPr>
          <w:color w:val="5C7F5C"/>
          <w:sz w:val="24"/>
          <w:szCs w:val="24"/>
        </w:rPr>
        <w:t xml:space="preserve">Solarpunk Design System</w:t>
      </w:r>
    </w:p>
    <w:p>
      <w:pPr>
        <w:spacing w:before="1500"/>
        <w:jc w:val="center"/>
      </w:pPr>
      <w:r>
        <w:rPr>
          <w:color w:val="A39E93"/>
          <w:sz w:val="20"/>
          <w:szCs w:val="20"/>
        </w:rPr>
        <w:t xml:space="preserve">Version 1.0 – November 2025</w:t>
      </w:r>
    </w:p>
    <w:p>
      <w:pPr>
        <w:sectPr>
          <w:pgSz w:w="11906" w:h="16838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</w:pPr>
      <w:r>
        <w:t xml:space="preserve">1. Markenübersicht</w:t>
      </w:r>
    </w:p>
    <w:p>
      <w:pPr>
        <w:pStyle w:val="Heading2"/>
      </w:pPr>
      <w:r>
        <w:t xml:space="preserve">Design-Philosophie</w:t>
      </w:r>
    </w:p>
    <w:p>
      <w:pPr>
        <w:spacing w:after="200"/>
      </w:pPr>
      <w:r>
        <w:t xml:space="preserve">Füllhorn folgt einer Solarpunk-Ästhetik – einer hoffnungsvollen Zukunftsvision, die Harmonie zwischen Technologie und Natur verkörpert. Die visuelle Sprache ist warm, organisch und einladend.</w:t>
      </w:r>
    </w:p>
    <w:p>
      <w:pPr>
        <w:spacing w:after="200"/>
      </w:pPr>
      <w:r>
        <w:t xml:space="preserve">Die Marke steht für bewussten Umgang mit Ressourcen, Nachhaltigkeit ohne Verzicht, und die Freude am Überfluss der Natur. Das Logo symbolisiert den Kreislauf von Wachstum, Ernte, Vorrat und Verbrauch.</w:t>
      </w:r>
    </w:p>
    <w:p>
      <w:pPr>
        <w:pStyle w:val="Heading2"/>
      </w:pPr>
      <w:r>
        <w:t xml:space="preserve">Kernwerte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Organisch: </w:t>
      </w:r>
      <w:r>
        <w:t xml:space="preserve">Geschwungene Linien, weiche Formen, natürliche Kurven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Warm: </w:t>
      </w:r>
      <w:r>
        <w:t xml:space="preserve">Erdige Grüntöne, sonniges Gold, einladende Farbwelt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Zyklisch: </w:t>
      </w:r>
      <w:r>
        <w:t xml:space="preserve">Der Kreislauf-Gedanke durchzieht das gesamte Design</w:t>
      </w:r>
    </w:p>
    <w:p>
      <w:pPr>
        <w:pStyle w:val="ListParagraph"/>
        <w:numPr>
          <w:ilvl w:val="0"/>
          <w:numId w:val="2"/>
        </w:numPr>
        <w:spacing w:after="400"/>
      </w:pPr>
      <w:r>
        <w:rPr>
          <w:b/>
          <w:bCs/>
        </w:rPr>
        <w:t xml:space="preserve">Hoffnungsvoll: </w:t>
      </w:r>
      <w:r>
        <w:t xml:space="preserve">Optimistisch, zukunftsweisend, lebensbejahend</w:t>
      </w:r>
    </w:p>
    <w:p>
      <w:r>
        <w:br w:type="page"/>
      </w:r>
    </w:p>
    <w:p>
      <w:pPr>
        <w:pStyle w:val="Heading1"/>
      </w:pPr>
      <w:r>
        <w:t xml:space="preserve">2. Logo</w:t>
      </w:r>
    </w:p>
    <w:p>
      <w:pPr>
        <w:pStyle w:val="Heading2"/>
      </w:pPr>
      <w:r>
        <w:t xml:space="preserve">Das Kreislauf-Horn</w:t>
      </w:r>
    </w:p>
    <w:p>
      <w:pPr>
        <w:spacing w:after="200"/>
      </w:pPr>
      <w:r>
        <w:t xml:space="preserve">Das Logo vereint das klassische Füllhorn-Symbol mit einem offenen Kreisbogen. Der Kreis steht für den ewigen Kreislauf von Wachstum und Ernte, das Horn für Überfluss und Nahrung.</w:t>
      </w:r>
    </w:p>
    <w:p>
      <w:pPr>
        <w:spacing w:before="300" w:after="300"/>
        <w:jc w:val="center"/>
      </w:pPr>
      <w:r>
        <w:drawing>
          <wp:inline distT="0" distB="0" distL="0" distR="0">
            <wp:extent cx="1428750" cy="1428750"/>
            <wp:effectExtent t="0" r="0" b="0" l="0"/>
            <wp:docPr id="1" name="Hauptlogo" descr="Füllhorn Hauptlogo in Vollfarbe" title="Haupt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</w:pPr>
      <w:r>
        <w:t xml:space="preserve">Symbolik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Kreisbogen (Grün): </w:t>
      </w:r>
      <w:r>
        <w:t xml:space="preserve">Der Kreislauf – Wachstum, Ernte, Vorrat, Verbrauch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Füllhorn (Gold): </w:t>
      </w:r>
      <w:r>
        <w:t xml:space="preserve">Überfluss, Ernte, Nahrung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Früchte: </w:t>
      </w:r>
      <w:r>
        <w:t xml:space="preserve">Vielfalt der Lebensmittel</w:t>
      </w:r>
    </w:p>
    <w:p>
      <w:pPr>
        <w:pStyle w:val="ListParagraph"/>
        <w:numPr>
          <w:ilvl w:val="0"/>
          <w:numId w:val="2"/>
        </w:numPr>
        <w:spacing w:after="300"/>
      </w:pPr>
      <w:r>
        <w:rPr>
          <w:b/>
          <w:bCs/>
        </w:rPr>
        <w:t xml:space="preserve">Blatt: </w:t>
      </w:r>
      <w:r>
        <w:t xml:space="preserve">Leben, Wachstum, Frische</w:t>
      </w:r>
    </w:p>
    <w:p>
      <w:pPr>
        <w:pStyle w:val="Heading2"/>
      </w:pPr>
      <w:r>
        <w:t xml:space="preserve">Logo-Varianten</w:t>
      </w:r>
    </w:p>
    <w:p>
      <w:pPr>
        <w:spacing w:after="200"/>
      </w:pPr>
      <w:r>
        <w:t xml:space="preserve">Es stehen verschiedene Varianten für unterschiedliche Anwendungsfälle zur Verfügung: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jc w:val="center"/>
            </w:pPr>
            <w:r>
              <w:drawing>
                <wp:inline distT="0" distB="0" distL="0" distR="0">
                  <wp:extent cx="762000" cy="762000"/>
                  <wp:effectExtent t="0" r="0" b="0" l="0"/>
                  <wp:docPr id="1" name="color" descr="Logo Vollfarbe" title="Vollfar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00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Vollfarbe</w:t>
            </w:r>
          </w:p>
          <w:p>
            <w:pPr>
              <w:jc w:val="center"/>
            </w:pPr>
            <w:r>
              <w:rPr>
                <w:color w:val="A39E93"/>
                <w:sz w:val="16"/>
                <w:szCs w:val="16"/>
              </w:rPr>
              <w:t xml:space="preserve">Helle Hintergründe</w:t>
            </w:r>
          </w:p>
        </w:tc>
        <w:tc>
          <w:tcPr>
            <w:tcW w:type="dxa" w:w="2340"/>
            <w:tcBorders>
              <w:top w:val="none"/>
              <w:left w:val="none"/>
              <w:bottom w:val="none"/>
              <w:right w:val="none"/>
            </w:tcBorders>
            <w:shd w:fill="2D3B2D" w:val="clear"/>
          </w:tcPr>
          <w:p>
            <w:pPr>
              <w:jc w:val="center"/>
            </w:pPr>
            <w:r>
              <w:drawing>
                <wp:inline distT="0" distB="0" distL="0" distR="0">
                  <wp:extent cx="762000" cy="762000"/>
                  <wp:effectExtent t="0" r="0" b="0" l="0"/>
                  <wp:docPr id="1" name="dark" descr="Logo Dark Mode" title="Dark M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0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Dark Mode</w:t>
            </w:r>
          </w:p>
          <w:p>
            <w:pPr>
              <w:jc w:val="center"/>
            </w:pPr>
            <w:r>
              <w:rPr>
                <w:color w:val="AAAAAA"/>
                <w:sz w:val="16"/>
                <w:szCs w:val="16"/>
              </w:rPr>
              <w:t xml:space="preserve">Dunkle Hintergründe</w:t>
            </w:r>
          </w:p>
        </w:tc>
        <w:tc>
          <w:tcPr>
            <w:tcW w:type="dxa" w:w="2340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jc w:val="center"/>
            </w:pPr>
            <w:r>
              <w:drawing>
                <wp:inline distT="0" distB="0" distL="0" distR="0">
                  <wp:extent cx="762000" cy="762000"/>
                  <wp:effectExtent t="0" r="0" b="0" l="0"/>
                  <wp:docPr id="1" name="mono" descr="Logo Monochrom" title="Monochr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00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Monochrom</w:t>
            </w:r>
          </w:p>
          <w:p>
            <w:pPr>
              <w:jc w:val="center"/>
            </w:pPr>
            <w:r>
              <w:rPr>
                <w:color w:val="A39E93"/>
                <w:sz w:val="16"/>
                <w:szCs w:val="16"/>
              </w:rPr>
              <w:t xml:space="preserve">Einfarb-Druck</w:t>
            </w:r>
          </w:p>
        </w:tc>
        <w:tc>
          <w:tcPr>
            <w:tcW w:type="dxa" w:w="2340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jc w:val="center"/>
            </w:pPr>
            <w:r>
              <w:drawing>
                <wp:inline distT="0" distB="0" distL="0" distR="0">
                  <wp:extent cx="762000" cy="762000"/>
                  <wp:effectExtent t="0" r="0" b="0" l="0"/>
                  <wp:docPr id="1" name="icon" descr="Vereinfachtes Icon" title="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00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Icon</w:t>
            </w:r>
          </w:p>
          <w:p>
            <w:pPr>
              <w:jc w:val="center"/>
            </w:pPr>
            <w:r>
              <w:rPr>
                <w:color w:val="A39E93"/>
                <w:sz w:val="16"/>
                <w:szCs w:val="16"/>
              </w:rPr>
              <w:t xml:space="preserve">App, Favicon</w:t>
            </w:r>
          </w:p>
        </w:tc>
      </w:tr>
    </w:tbl>
    <w:p>
      <w:pPr>
        <w:pStyle w:val="Heading2"/>
        <w:spacing w:before="400"/>
      </w:pPr>
      <w:r>
        <w:t xml:space="preserve">Schutzzone</w:t>
      </w:r>
    </w:p>
    <w:p>
      <w:pPr>
        <w:spacing w:after="200"/>
      </w:pPr>
      <w:r>
        <w:t xml:space="preserve">Um das Logo herum muss ein Mindestabstand von der Breite eines Früchte-Elements eingehalten werden. In diesem Bereich dürfen keine anderen Elemente platziert werden.</w:t>
      </w:r>
    </w:p>
    <w:p>
      <w:pPr>
        <w:pStyle w:val="Heading2"/>
      </w:pPr>
      <w:r>
        <w:t xml:space="preserve">Mindestgröße</w:t>
      </w:r>
    </w:p>
    <w:p>
      <w:pPr>
        <w:spacing w:after="200"/>
      </w:pPr>
      <w:r>
        <w:t xml:space="preserve">Das Hauptlogo sollte nicht kleiner als 32px dargestellt werden. Für kleinere Größen (unter 48px) die vereinfachte Icon-Variante verwenden.</w:t>
      </w:r>
    </w:p>
    <w:p>
      <w:pPr>
        <w:pStyle w:val="Heading2"/>
      </w:pPr>
      <w:r>
        <w:t xml:space="preserve">Nicht erlaubt</w:t>
      </w:r>
    </w:p>
    <w:p>
      <w:pPr>
        <w:pStyle w:val="ListParagraph"/>
        <w:numPr>
          <w:ilvl w:val="0"/>
          <w:numId w:val="2"/>
        </w:numPr>
      </w:pPr>
      <w:r>
        <w:t xml:space="preserve">Das Logo rotieren</w:t>
      </w:r>
    </w:p>
    <w:p>
      <w:pPr>
        <w:pStyle w:val="ListParagraph"/>
        <w:numPr>
          <w:ilvl w:val="0"/>
          <w:numId w:val="2"/>
        </w:numPr>
      </w:pPr>
      <w:r>
        <w:t xml:space="preserve">Das Logo spiegeln oder verzerren</w:t>
      </w:r>
    </w:p>
    <w:p>
      <w:pPr>
        <w:pStyle w:val="ListParagraph"/>
        <w:numPr>
          <w:ilvl w:val="0"/>
          <w:numId w:val="2"/>
        </w:numPr>
      </w:pPr>
      <w:r>
        <w:t xml:space="preserve">Andere als die definierten Farben verwenden</w:t>
      </w:r>
    </w:p>
    <w:p>
      <w:pPr>
        <w:pStyle w:val="ListParagraph"/>
        <w:numPr>
          <w:ilvl w:val="0"/>
          <w:numId w:val="2"/>
        </w:numPr>
      </w:pPr>
      <w:r>
        <w:t xml:space="preserve">Das Horn in Grün darstellen</w:t>
      </w:r>
    </w:p>
    <w:p>
      <w:pPr>
        <w:pStyle w:val="ListParagraph"/>
        <w:numPr>
          <w:ilvl w:val="0"/>
          <w:numId w:val="2"/>
        </w:numPr>
      </w:pPr>
      <w:r>
        <w:t xml:space="preserve">Elemente hinzufügen oder entfernen</w:t>
      </w:r>
    </w:p>
    <w:p>
      <w:pPr>
        <w:pStyle w:val="ListParagraph"/>
        <w:numPr>
          <w:ilvl w:val="0"/>
          <w:numId w:val="2"/>
        </w:numPr>
        <w:spacing w:after="400"/>
      </w:pPr>
      <w:r>
        <w:t xml:space="preserve">Auf unruhigen Hintergründen ohne ausreichenden Kontrast platzieren</w:t>
      </w:r>
    </w:p>
    <w:p>
      <w:r>
        <w:br w:type="page"/>
      </w:r>
    </w:p>
    <w:p>
      <w:pPr>
        <w:pStyle w:val="Heading1"/>
      </w:pPr>
      <w:r>
        <w:t xml:space="preserve">3. Farbpalette</w:t>
      </w:r>
    </w:p>
    <w:p>
      <w:pPr>
        <w:spacing w:after="300"/>
      </w:pPr>
      <w:r>
        <w:t xml:space="preserve">Die Farbpalette ist von der Natur inspiriert – warme Grüntöne, sonniges Gold und erdige Akzente. Die Farben harmonieren miteinander wie in der Natur.</w:t>
      </w:r>
    </w:p>
    <w:p>
      <w:pPr>
        <w:pStyle w:val="Heading2"/>
      </w:pPr>
      <w:r>
        <w:t xml:space="preserve">Primärfarben – Grün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500"/>
        <w:gridCol w:w="2500"/>
        <w:gridCol w:w="2560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Farbe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Name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Hex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Verwendung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4A7C59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Fern Green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#4A7C59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Hauptfarbe, Logo, Headlines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5C7F5C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Moss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#5C7F5C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Sekundär, Subheadlines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7CB342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Leaf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#7CB342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Akzent, Status 'voll'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9CAF88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Sage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#9CAF88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Borders, dezente Elemente</w:t>
            </w:r>
          </w:p>
        </w:tc>
      </w:tr>
    </w:tbl>
    <w:p>
      <w:pPr>
        <w:pStyle w:val="Heading2"/>
        <w:spacing w:before="400"/>
      </w:pPr>
      <w:r>
        <w:t xml:space="preserve">Sekundärfarben – Erde &amp; Gold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500"/>
        <w:gridCol w:w="2500"/>
        <w:gridCol w:w="2560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Farbe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Name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Hex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Verwendung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A832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Amber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#E6A832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Füllhorn, Akzente, CTA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AA520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Honey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#DAA520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Gold, Premium-Elemente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C17F59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Terracotta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#C17F59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Warme Akzente</w:t>
            </w:r>
          </w:p>
        </w:tc>
      </w:tr>
    </w:tbl>
    <w:p>
      <w:pPr>
        <w:pStyle w:val="Heading2"/>
        <w:spacing w:before="400"/>
      </w:pPr>
      <w:r>
        <w:t xml:space="preserve">Neutrale Farben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500"/>
        <w:gridCol w:w="2500"/>
        <w:gridCol w:w="2560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Farbe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Name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Hex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Verwendung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AF7F0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Cream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#FAF7F0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Haupthintergrund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0E6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Oat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#F5F0E6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Karten-Hintergrund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8DB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Parchment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#EDE8DB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Sekundärer Hintergrund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A39E93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Stone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#A39E93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Muted Text, Platzhalter</w:t>
            </w:r>
          </w:p>
        </w:tc>
      </w:tr>
    </w:tbl>
    <w:p>
      <w:pPr>
        <w:pStyle w:val="Heading2"/>
        <w:spacing w:before="400"/>
      </w:pPr>
      <w:r>
        <w:t xml:space="preserve">Status-Farben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500"/>
        <w:gridCol w:w="2500"/>
        <w:gridCol w:w="2560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Farbe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Name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Hex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Verwendung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7A5F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Coral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#E07A5F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Warnung, niedrig, Fehler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87CEEB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Sky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#87CEEB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Info, Links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5BA3C6" w:val="clear"/>
          </w:tcPr>
          <w:p>
            <w:pPr>
              <w:spacing w:before="400" w:after="400"/>
              <w:jc w:val="center"/>
            </w:pP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Water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#5BA3C6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Aktiv, Selected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4. Typografie</w:t>
      </w:r>
    </w:p>
    <w:p>
      <w:pPr>
        <w:pStyle w:val="Heading2"/>
      </w:pPr>
      <w:r>
        <w:t xml:space="preserve">Schriftarten</w:t>
      </w:r>
    </w:p>
    <w:p>
      <w:pPr>
        <w:spacing w:after="200"/>
      </w:pPr>
      <w:r>
        <w:t xml:space="preserve">Die Typografie kombiniert eine elegante Serifenschrift für Headlines mit einer klaren Sans-Serif für den Fließtext.</w:t>
      </w:r>
    </w:p>
    <w:p>
      <w:pPr>
        <w:pStyle w:val="Heading3"/>
      </w:pPr>
      <w:r>
        <w:t xml:space="preserve">Headlines: Cormorant Garamond</w:t>
      </w:r>
    </w:p>
    <w:p>
      <w:pPr>
        <w:spacing w:after="100"/>
      </w:pPr>
      <w:r>
        <w:rPr>
          <w:rFonts w:ascii="Georgia" w:cs="Georgia" w:eastAsia="Georgia" w:hAnsi="Georgia"/>
          <w:color w:val="4A7C59"/>
          <w:sz w:val="48"/>
          <w:szCs w:val="48"/>
        </w:rPr>
        <w:t xml:space="preserve">Füllhorn</w:t>
      </w:r>
    </w:p>
    <w:p>
      <w:pPr>
        <w:spacing w:after="200"/>
      </w:pPr>
      <w:r>
        <w:rPr>
          <w:color w:val="A39E93"/>
          <w:sz w:val="20"/>
          <w:szCs w:val="20"/>
        </w:rPr>
        <w:t xml:space="preserve">Elegant, organisch, mit Art-Nouveau-Anklängen. Verwendet für Überschriften, Logo-Wortmarke und wichtige Titel. (Fallback: Georgia)</w:t>
      </w:r>
    </w:p>
    <w:p>
      <w:pPr>
        <w:pStyle w:val="Heading3"/>
      </w:pPr>
      <w:r>
        <w:t xml:space="preserve">Body: Nunito</w:t>
      </w:r>
    </w:p>
    <w:p>
      <w:pPr>
        <w:spacing w:after="100"/>
      </w:pPr>
      <w:r>
        <w:rPr>
          <w:rFonts w:ascii="Arial" w:cs="Arial" w:eastAsia="Arial" w:hAnsi="Arial"/>
          <w:sz w:val="24"/>
          <w:szCs w:val="24"/>
        </w:rPr>
        <w:t xml:space="preserve">Dein Vorrat im Blick – bewusst vorrätig.</w:t>
      </w:r>
    </w:p>
    <w:p>
      <w:pPr>
        <w:spacing w:after="300"/>
      </w:pPr>
      <w:r>
        <w:rPr>
          <w:color w:val="A39E93"/>
          <w:sz w:val="20"/>
          <w:szCs w:val="20"/>
        </w:rPr>
        <w:t xml:space="preserve">Eine freundliche Sans-Serif mit weichen, abgerundeten Ecken. Gut lesbar auf allen Bildschirmgrößen. (Fallback: Arial)</w:t>
      </w:r>
    </w:p>
    <w:p>
      <w:pPr>
        <w:pStyle w:val="Heading2"/>
      </w:pPr>
      <w:r>
        <w:t xml:space="preserve">Schriftgrößen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2000"/>
        <w:gridCol w:w="424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Element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Größe</w:t>
            </w:r>
          </w:p>
        </w:tc>
        <w:tc>
          <w:tcPr>
            <w:tcW w:type="dxa" w:w="4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/>
                <w:bCs/>
                <w:sz w:val="20"/>
                <w:szCs w:val="20"/>
              </w:rPr>
              <w:t xml:space="preserve">Hinweise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H1 – Seitentitel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28–36px</w:t>
            </w:r>
          </w:p>
        </w:tc>
        <w:tc>
          <w:tcPr>
            <w:tcW w:type="dxa" w:w="4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Cormorant Garamond, Bold, Fern Green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H2 – Abschnitt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22–28px</w:t>
            </w:r>
          </w:p>
        </w:tc>
        <w:tc>
          <w:tcPr>
            <w:tcW w:type="dxa" w:w="4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Cormorant Garamond, Bold, Moss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H3 – Unterabschnitt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18–22px</w:t>
            </w:r>
          </w:p>
        </w:tc>
        <w:tc>
          <w:tcPr>
            <w:tcW w:type="dxa" w:w="4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Nunito, Semibold, Fern Green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Body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14–16px</w:t>
            </w:r>
          </w:p>
        </w:tc>
        <w:tc>
          <w:tcPr>
            <w:tcW w:type="dxa" w:w="4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Nunito, Regular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Small / Caption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12–14px</w:t>
            </w:r>
          </w:p>
        </w:tc>
        <w:tc>
          <w:tcPr>
            <w:tcW w:type="dxa" w:w="4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80" w:after="80"/>
            </w:pPr>
            <w:r>
              <w:rPr>
                <w:b w:val="false"/>
                <w:bCs w:val="false"/>
                <w:sz w:val="20"/>
                <w:szCs w:val="20"/>
              </w:rPr>
              <w:t xml:space="preserve">Nunito, Regular, Stone (für Metadaten)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5. UI-Grundsätze</w:t>
      </w:r>
    </w:p>
    <w:p>
      <w:pPr>
        <w:pStyle w:val="Heading2"/>
      </w:pPr>
      <w:r>
        <w:t xml:space="preserve">Allgemeine Prinzipien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Warme Hintergründe: </w:t>
      </w:r>
      <w:r>
        <w:t xml:space="preserve">Cream (#FAF7F0) statt kaltem Weiß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Weiche Schatten: </w:t>
      </w:r>
      <w:r>
        <w:t xml:space="preserve">Sanfte Schatten mit geringer Opazität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Abgerundete Ecken: </w:t>
      </w:r>
      <w:r>
        <w:t xml:space="preserve">12–16px für Karten, 20px für Chips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Status über Farbe: </w:t>
      </w:r>
      <w:r>
        <w:t xml:space="preserve">Border-Akzente statt greller Badges</w:t>
      </w:r>
    </w:p>
    <w:p>
      <w:pPr>
        <w:pStyle w:val="ListParagraph"/>
        <w:numPr>
          <w:ilvl w:val="0"/>
          <w:numId w:val="2"/>
        </w:numPr>
        <w:spacing w:after="300"/>
      </w:pPr>
      <w:r>
        <w:rPr>
          <w:b/>
          <w:bCs/>
        </w:rPr>
        <w:t xml:space="preserve">Organische Akzente: </w:t>
      </w:r>
      <w:r>
        <w:t xml:space="preserve">Dezente botanische Elemente wo passend</w:t>
      </w:r>
    </w:p>
    <w:p>
      <w:pPr>
        <w:pStyle w:val="Heading2"/>
      </w:pPr>
      <w:r>
        <w:t xml:space="preserve">Buttons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Primär: </w:t>
      </w:r>
      <w:r>
        <w:t xml:space="preserve">Fern Green Hintergrund, weiße Schrift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Sekundär: </w:t>
      </w:r>
      <w:r>
        <w:t xml:space="preserve">Transparenter Hintergrund, Fern Green Border und Text</w:t>
      </w:r>
    </w:p>
    <w:p>
      <w:pPr>
        <w:pStyle w:val="ListParagraph"/>
        <w:numPr>
          <w:ilvl w:val="0"/>
          <w:numId w:val="2"/>
        </w:numPr>
        <w:spacing w:after="300"/>
      </w:pPr>
      <w:r>
        <w:rPr>
          <w:b/>
          <w:bCs/>
        </w:rPr>
        <w:t xml:space="preserve">Akzent/CTA: </w:t>
      </w:r>
      <w:r>
        <w:t xml:space="preserve">Amber Hintergrund für besondere Aktionen</w:t>
      </w:r>
    </w:p>
    <w:p>
      <w:pPr>
        <w:pStyle w:val="Heading2"/>
      </w:pPr>
      <w:r>
        <w:t xml:space="preserve">Chips &amp; Tags</w:t>
      </w:r>
    </w:p>
    <w:p>
      <w:pPr>
        <w:pStyle w:val="ListParagraph"/>
        <w:numPr>
          <w:ilvl w:val="0"/>
          <w:numId w:val="2"/>
        </w:numPr>
      </w:pPr>
      <w:r>
        <w:t xml:space="preserve">Weißer Hintergrund mit Sage Border (inaktiv)</w:t>
      </w:r>
    </w:p>
    <w:p>
      <w:pPr>
        <w:pStyle w:val="ListParagraph"/>
        <w:numPr>
          <w:ilvl w:val="0"/>
          <w:numId w:val="2"/>
        </w:numPr>
      </w:pPr>
      <w:r>
        <w:t xml:space="preserve">Fern Green Hintergrund, weiße Schrift (aktiv)</w:t>
      </w:r>
    </w:p>
    <w:p>
      <w:pPr>
        <w:pStyle w:val="ListParagraph"/>
        <w:numPr>
          <w:ilvl w:val="0"/>
          <w:numId w:val="2"/>
        </w:numPr>
        <w:spacing w:after="300"/>
      </w:pPr>
      <w:r>
        <w:t xml:space="preserve">Abgerundete Form (border-radius: 20px)</w:t>
      </w:r>
    </w:p>
    <w:p>
      <w:pPr>
        <w:pStyle w:val="Heading2"/>
      </w:pPr>
      <w:r>
        <w:t xml:space="preserve">Listen-Items</w:t>
      </w:r>
    </w:p>
    <w:p>
      <w:pPr>
        <w:pStyle w:val="ListParagraph"/>
        <w:numPr>
          <w:ilvl w:val="0"/>
          <w:numId w:val="2"/>
        </w:numPr>
      </w:pPr>
      <w:r>
        <w:t xml:space="preserve">Weißer Hintergrund auf Cream</w:t>
      </w:r>
    </w:p>
    <w:p>
      <w:pPr>
        <w:pStyle w:val="ListParagraph"/>
        <w:numPr>
          <w:ilvl w:val="0"/>
          <w:numId w:val="2"/>
        </w:numPr>
      </w:pPr>
      <w:r>
        <w:t xml:space="preserve">Linker Border-Akzent für Status (Leaf = voll, Coral = niedrig)</w:t>
      </w:r>
    </w:p>
    <w:p>
      <w:pPr>
        <w:pStyle w:val="ListParagraph"/>
        <w:numPr>
          <w:ilvl w:val="0"/>
          <w:numId w:val="2"/>
        </w:numPr>
        <w:spacing w:after="300"/>
      </w:pPr>
      <w:r>
        <w:t xml:space="preserve">Sanfter Schatten für Tiefe</w:t>
      </w:r>
    </w:p>
    <w:p>
      <w:pPr>
        <w:pStyle w:val="Heading2"/>
      </w:pPr>
      <w:r>
        <w:t xml:space="preserve">Inputs</w:t>
      </w:r>
    </w:p>
    <w:p>
      <w:pPr>
        <w:pStyle w:val="ListParagraph"/>
        <w:numPr>
          <w:ilvl w:val="0"/>
          <w:numId w:val="2"/>
        </w:numPr>
      </w:pPr>
      <w:r>
        <w:t xml:space="preserve">Weißer Hintergrund mit Sage Border</w:t>
      </w:r>
    </w:p>
    <w:p>
      <w:pPr>
        <w:pStyle w:val="ListParagraph"/>
        <w:numPr>
          <w:ilvl w:val="0"/>
          <w:numId w:val="2"/>
        </w:numPr>
      </w:pPr>
      <w:r>
        <w:t xml:space="preserve">Fern Green Border bei Fokus</w:t>
      </w:r>
    </w:p>
    <w:p>
      <w:pPr>
        <w:pStyle w:val="ListParagraph"/>
        <w:numPr>
          <w:ilvl w:val="0"/>
          <w:numId w:val="2"/>
        </w:numPr>
        <w:spacing w:after="400"/>
      </w:pPr>
      <w:r>
        <w:t xml:space="preserve">Stone-farbener Placeholder-Text</w:t>
      </w:r>
    </w:p>
    <w:p>
      <w:pPr>
        <w:pStyle w:val="Heading1"/>
      </w:pPr>
      <w:r>
        <w:t xml:space="preserve">6. Dateien</w:t>
      </w:r>
    </w:p>
    <w:p>
      <w:pPr>
        <w:pStyle w:val="Heading2"/>
      </w:pPr>
      <w:r>
        <w:t xml:space="preserve">Logo-Dateien</w:t>
      </w:r>
    </w:p>
    <w:p>
      <w:pPr>
        <w:spacing w:after="100"/>
      </w:pPr>
      <w:r>
        <w:rPr>
          <w:b/>
          <w:bCs/>
        </w:rPr>
        <w:t xml:space="preserve">SVG (Vektoren):</w:t>
      </w:r>
    </w:p>
    <w:p>
      <w:pPr>
        <w:pStyle w:val="ListParagraph"/>
        <w:numPr>
          <w:ilvl w:val="0"/>
          <w:numId w:val="2"/>
        </w:numPr>
      </w:pPr>
      <w:r>
        <w:t xml:space="preserve">fuellhorn-logo-color.svg – Hauptlogo, Vollfarbe</w:t>
      </w:r>
    </w:p>
    <w:p>
      <w:pPr>
        <w:pStyle w:val="ListParagraph"/>
        <w:numPr>
          <w:ilvl w:val="0"/>
          <w:numId w:val="2"/>
        </w:numPr>
      </w:pPr>
      <w:r>
        <w:t xml:space="preserve">fuellhorn-logo-dark.svg – Für dunkle Hintergründe</w:t>
      </w:r>
    </w:p>
    <w:p>
      <w:pPr>
        <w:pStyle w:val="ListParagraph"/>
        <w:numPr>
          <w:ilvl w:val="0"/>
          <w:numId w:val="2"/>
        </w:numPr>
      </w:pPr>
      <w:r>
        <w:t xml:space="preserve">fuellhorn-logo-mono-green.svg – Monochrom Grün</w:t>
      </w:r>
    </w:p>
    <w:p>
      <w:pPr>
        <w:pStyle w:val="ListParagraph"/>
        <w:numPr>
          <w:ilvl w:val="0"/>
          <w:numId w:val="2"/>
        </w:numPr>
      </w:pPr>
      <w:r>
        <w:t xml:space="preserve">fuellhorn-logo-mono-white.svg – Monochrom Weiß</w:t>
      </w:r>
    </w:p>
    <w:p>
      <w:pPr>
        <w:pStyle w:val="ListParagraph"/>
        <w:numPr>
          <w:ilvl w:val="0"/>
          <w:numId w:val="2"/>
        </w:numPr>
        <w:spacing w:after="200"/>
      </w:pPr>
      <w:r>
        <w:t xml:space="preserve">fuellhorn-icon-simple.svg – Vereinfachtes Icon</w:t>
      </w:r>
    </w:p>
    <w:p>
      <w:pPr>
        <w:spacing w:after="100"/>
      </w:pPr>
      <w:r>
        <w:rPr>
          <w:b/>
          <w:bCs/>
        </w:rPr>
        <w:t xml:space="preserve">PNG (Raster):</w:t>
      </w:r>
    </w:p>
    <w:p>
      <w:pPr>
        <w:pStyle w:val="ListParagraph"/>
        <w:numPr>
          <w:ilvl w:val="0"/>
          <w:numId w:val="2"/>
        </w:numPr>
      </w:pPr>
      <w:r>
        <w:t xml:space="preserve">Hauptlogo in 16, 32, 48, 64, 128, 256, 512px</w:t>
      </w:r>
    </w:p>
    <w:p>
      <w:pPr>
        <w:pStyle w:val="ListParagraph"/>
        <w:numPr>
          <w:ilvl w:val="0"/>
          <w:numId w:val="2"/>
        </w:numPr>
      </w:pPr>
      <w:r>
        <w:t xml:space="preserve">App-Icons in 180, 192, 512px</w:t>
      </w:r>
    </w:p>
    <w:p>
      <w:pPr>
        <w:pStyle w:val="ListParagraph"/>
        <w:numPr>
          <w:ilvl w:val="0"/>
          <w:numId w:val="2"/>
        </w:numPr>
      </w:pPr>
      <w:r>
        <w:t xml:space="preserve">Favicons in 16, 32, 48px</w:t>
      </w:r>
    </w:p>
    <w:p>
      <w:pPr>
        <w:pStyle w:val="ListParagraph"/>
        <w:numPr>
          <w:ilvl w:val="0"/>
          <w:numId w:val="2"/>
        </w:numPr>
        <w:spacing w:after="300"/>
      </w:pPr>
      <w:r>
        <w:t xml:space="preserve">Varianten (Dark, Mono) in 512px</w:t>
      </w:r>
    </w:p>
    <w:p>
      <w:pPr>
        <w:pStyle w:val="Heading2"/>
      </w:pPr>
      <w:r>
        <w:t xml:space="preserve">Schriftarten</w:t>
      </w:r>
    </w:p>
    <w:p>
      <w:pPr>
        <w:pStyle w:val="ListParagraph"/>
        <w:numPr>
          <w:ilvl w:val="0"/>
          <w:numId w:val="2"/>
        </w:numPr>
      </w:pPr>
      <w:r>
        <w:t xml:space="preserve">Cormorant Garamond: fonts.google.com/specimen/Cormorant+Garamond</w:t>
      </w:r>
    </w:p>
    <w:p>
      <w:pPr>
        <w:pStyle w:val="ListParagraph"/>
        <w:numPr>
          <w:ilvl w:val="0"/>
          <w:numId w:val="2"/>
        </w:numPr>
        <w:spacing w:after="400"/>
      </w:pPr>
      <w:r>
        <w:t xml:space="preserve">Nunito: fonts.google.com/specimen/Nunito</w:t>
      </w:r>
    </w:p>
    <w:p>
      <w:pPr>
        <w:spacing w:before="800"/>
      </w:pPr>
    </w:p>
    <w:p>
      <w:pPr>
        <w:jc w:val="center"/>
      </w:pPr>
      <w:r>
        <w:rPr>
          <w:color w:val="9CAF88"/>
          <w:sz w:val="28"/>
          <w:szCs w:val="28"/>
        </w:rPr>
        <w:t xml:space="preserve">—</w:t>
      </w:r>
    </w:p>
    <w:p>
      <w:pPr>
        <w:spacing w:before="200"/>
        <w:jc w:val="center"/>
      </w:pPr>
      <w:r>
        <w:rPr>
          <w:color w:val="A39E93"/>
          <w:sz w:val="20"/>
          <w:szCs w:val="20"/>
        </w:rPr>
        <w:t xml:space="preserve">Füllhorn CI Guidelines v1.0</w:t>
      </w:r>
    </w:p>
    <w:p>
      <w:pPr>
        <w:jc w:val="center"/>
      </w:pPr>
      <w:r>
        <w:rPr>
          <w:color w:val="A39E93"/>
          <w:sz w:val="18"/>
          <w:szCs w:val="18"/>
        </w:rPr>
        <w:t xml:space="preserve">Bei Fragen zur Anwendung dieser Guidelines bitte Rücksprache halten.</w:t>
      </w:r>
    </w:p>
    <w:sectPr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A39E93"/>
        <w:sz w:val="18"/>
        <w:szCs w:val="18"/>
      </w:rPr>
      <w:t xml:space="preserve">Seite </w:t>
    </w:r>
    <w:r>
      <w:rPr>
        <w:color w:val="A39E93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A39E93"/>
        <w:sz w:val="18"/>
        <w:szCs w:val="18"/>
      </w:rPr>
      <w:t xml:space="preserve"> von </w:t>
    </w:r>
    <w:r>
      <w:rPr>
        <w:color w:val="A39E93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A39E93"/>
        <w:sz w:val="18"/>
        <w:szCs w:val="18"/>
      </w:rPr>
      <w:t xml:space="preserve">Füllhorn CI Guidelines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✗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pPr>
      <w:spacing w:before="0" w:after="200"/>
      <w:jc w:val="center"/>
    </w:pPr>
    <w:rPr>
      <w:rFonts w:ascii="Georgia" w:cs="Georgia" w:eastAsia="Georgia" w:hAnsi="Georgia"/>
      <w:b/>
      <w:bCs/>
      <w:color w:val="4A7C59"/>
      <w:sz w:val="72"/>
      <w:szCs w:val="72"/>
    </w:rPr>
  </w:style>
  <w:style w:type="paragraph" w:styleId="Heading1">
    <w:name w:val="Heading 1"/>
    <w:basedOn w:val="Normal"/>
    <w:next w:val="Normal"/>
    <w:qFormat/>
    <w:pPr>
      <w:spacing w:before="400" w:after="200"/>
      <w:outlineLvl w:val="0"/>
    </w:pPr>
    <w:rPr>
      <w:rFonts w:ascii="Georgia" w:cs="Georgia" w:eastAsia="Georgia" w:hAnsi="Georgia"/>
      <w:b/>
      <w:bCs/>
      <w:color w:val="4A7C59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300" w:after="150"/>
      <w:outlineLvl w:val="1"/>
    </w:pPr>
    <w:rPr>
      <w:rFonts w:ascii="Georgia" w:cs="Georgia" w:eastAsia="Georgia" w:hAnsi="Georgia"/>
      <w:b/>
      <w:bCs/>
      <w:color w:val="5C7F5C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100"/>
      <w:outlineLvl w:val="2"/>
    </w:pPr>
    <w:rPr>
      <w:rFonts w:ascii="Arial" w:cs="Arial" w:eastAsia="Arial" w:hAnsi="Arial"/>
      <w:b/>
      <w:bCs/>
      <w:color w:val="4A7C59"/>
      <w:sz w:val="24"/>
      <w:szCs w:val="24"/>
    </w:rPr>
  </w:style>
  <w:style w:type="paragraph" w:styleId="Subtitle">
    <w:name w:val="Subtitle"/>
    <w:basedOn w:val="Normal"/>
    <w:pPr>
      <w:spacing w:before="100" w:after="400"/>
      <w:jc w:val="center"/>
    </w:pPr>
    <w:rPr>
      <w:rFonts w:ascii="Arial" w:cs="Arial" w:eastAsia="Arial" w:hAnsi="Arial"/>
      <w:color w:val="A39E93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image" Target="media/31e7e5570d5bf4435bc9d668dc2ed080badf05ec.png"/><Relationship Id="rId9" Type="http://schemas.openxmlformats.org/officeDocument/2006/relationships/image" Target="media/dd9c5d089dc9daf077fddc9dc0b0a3f1ed7ec457.png"/><Relationship Id="rId10" Type="http://schemas.openxmlformats.org/officeDocument/2006/relationships/image" Target="media/290ccce583fff7d493085245fa35a72039cc280d.png"/><Relationship Id="rId11" Type="http://schemas.openxmlformats.org/officeDocument/2006/relationships/image" Target="media/1bbff0b32dcc79e11ca6138e352d71f117bc6c12.png"/><Relationship Id="rId12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2025-11-30T22:34:49.372Z</dcterms:created>
  <dcterms:modified xsi:type="dcterms:W3CDTF">2025-11-30T22:34:49.373Z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