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47.png" ContentType="image/png"/>
  <Override PartName="/word/media/rId55.png" ContentType="image/png"/>
  <Override PartName="/word/media/rId65.png" ContentType="image/png"/>
  <Override PartName="/word/media/rId10.png" ContentType="image/png"/>
  <Override PartName="/word/media/rId15.png" ContentType="image/png"/>
  <Override PartName="/word/media/rId19.png" ContentType="image/png"/>
  <Override PartName="/word/media/rId23.png" ContentType="image/png"/>
  <Override PartName="/word/media/rId28.png" ContentType="image/png"/>
  <Override PartName="/word/media/rId32.png" ContentType="image/png"/>
  <Override PartName="/word/media/rId37.png" ContentType="image/png"/>
  <Override PartName="/word/media/rId42.png" ContentType="image/pn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Geometric Structure in Sperm Whale Communication:</w:t>
      </w:r>
      <w:r>
        <w:br/>
      </w:r>
      <w:r>
        <w:t xml:space="preserve">Hyperbolic Embeddings, Topological Analysis, and Adversarial Robustness</w:t>
      </w:r>
    </w:p>
    <w:p>
      <w:pPr>
        <w:pStyle w:val="Author"/>
      </w:pPr>
      <w:r>
        <w:t xml:space="preserve">Andrew H. Bond</w:t>
      </w:r>
    </w:p>
    <w:p>
      <w:pPr>
        <w:pStyle w:val="AbstractTitle"/>
      </w:pPr>
      <w:r>
        <w:t xml:space="preserve">Abstract</w:t>
      </w:r>
    </w:p>
    <w:p>
      <w:pPr>
        <w:pStyle w:val="Abstract"/>
      </w:pPr>
      <w:r>
        <w:t xml:space="preserve">Recent work has revealed that sperm whale (</w:t>
      </w:r>
      <w:r>
        <w:rPr>
          <w:i/>
          <w:iCs/>
        </w:rPr>
        <w:t xml:space="preserve">Physeter macrocephalus</w:t>
      </w:r>
      <w:r>
        <w:t xml:space="preserve">)</w:t>
      </w:r>
      <w:r>
        <w:t xml:space="preserve"> </w:t>
      </w:r>
      <w:r>
        <w:t xml:space="preserve">codas possess a combinatorial phonetic structure comparable in complexity</w:t>
      </w:r>
      <w:r>
        <w:t xml:space="preserve"> </w:t>
      </w:r>
      <w:r>
        <w:t xml:space="preserve">to human phonological systems. We apply differential geometry, algebraic</w:t>
      </w:r>
      <w:r>
        <w:t xml:space="preserve"> </w:t>
      </w:r>
      <w:r>
        <w:t xml:space="preserve">topology, and adversarial robustness testing to 8</w:t>
      </w:r>
      <w:r>
        <w:t xml:space="preserve">,</w:t>
      </w:r>
      <w:r>
        <w:t xml:space="preserve">719 annotated codas</w:t>
      </w:r>
      <w:r>
        <w:t xml:space="preserve"> </w:t>
      </w:r>
      <w:r>
        <w:t xml:space="preserve">from the Dominica Sperm Whale Project. We show that: (1) the hierarchical</w:t>
      </w:r>
      <w:r>
        <w:t xml:space="preserve"> </w:t>
      </w:r>
      <w:r>
        <w:t xml:space="preserve">coda type taxonomy embeds with lower distortion in the Poincaré ball</w:t>
      </w:r>
      <w:r>
        <w:t xml:space="preserve"> </w:t>
      </w:r>
      <w:r>
        <w:t xml:space="preserve">than in Euclidean space, consistent with tree-like combinatorial structure;</w:t>
      </w:r>
      <w:r>
        <w:t xml:space="preserve"> </w:t>
      </w:r>
      <w:r>
        <w:t xml:space="preserve">(2) persistent homology on inter-click interval point clouds reveals</w:t>
      </w:r>
      <w:r>
        <w:t xml:space="preserve"> </w:t>
      </w:r>
      <w:r>
        <w:t xml:space="preserve">topologically distinct attractors per rhythm class;</w:t>
      </w:r>
      <w:r>
        <w:t xml:space="preserve"> </w:t>
      </w:r>
      <w:r>
        <w:t xml:space="preserve">(3) adversarial acoustic perturbations map asymmetric phonetic decision</w:t>
      </w:r>
      <w:r>
        <w:t xml:space="preserve"> </w:t>
      </w:r>
      <w:r>
        <w:t xml:space="preserve">boundaries (mean asymmetry</w:t>
      </w:r>
      <w:r>
        <w:t xml:space="preserve"> </w:t>
      </w:r>
      <m:oMath>
        <m:r>
          <m:rPr>
            <m:sty m:val="p"/>
          </m:rPr>
          <m:t>=</m:t>
        </m:r>
        <m:r>
          <m:t>0.87</m:t>
        </m:r>
      </m:oMath>
      <w:r>
        <w:t xml:space="preserve">), analogous to directional vowel</w:t>
      </w:r>
      <w:r>
        <w:t xml:space="preserve"> </w:t>
      </w:r>
      <w:r>
        <w:t xml:space="preserve">chain shifts in human language; (4) the coda system satisfies</w:t>
      </w:r>
      <w:r>
        <w:t xml:space="preserve"> </w:t>
      </w:r>
      <w:r>
        <w:t xml:space="preserve">Menzerath’s law (</w:t>
      </w:r>
      <m:oMath>
        <m:r>
          <m:t>r</m:t>
        </m:r>
        <m:r>
          <m:rPr>
            <m:sty m:val="p"/>
          </m:rPr>
          <m:t>=</m:t>
        </m:r>
        <m:r>
          <m:rPr>
            <m:sty m:val="p"/>
          </m:rPr>
          <m:t>−</m:t>
        </m:r>
        <m:r>
          <m:t>0.269</m:t>
        </m:r>
      </m:oMath>
      <w:r>
        <w:t xml:space="preserve">,</w:t>
      </w:r>
      <w:r>
        <w:t xml:space="preserve"> </w:t>
      </w:r>
      <m:oMath>
        <m:r>
          <m:t>p</m:t>
        </m:r>
        <m:r>
          <m:rPr>
            <m:sty m:val="p"/>
          </m:rPr>
          <m:t>&lt;</m:t>
        </m:r>
        <m:sSup>
          <m:e>
            <m:r>
              <m:t>10</m:t>
            </m:r>
          </m:e>
          <m:sup>
            <m:r>
              <m:rPr>
                <m:sty m:val="p"/>
              </m:rPr>
              <m:t>−</m:t>
            </m:r>
            <m:r>
              <m:t>144</m:t>
            </m:r>
          </m:sup>
        </m:sSup>
      </m:oMath>
      <w:r>
        <w:t xml:space="preserve">), exhibits higher-order</w:t>
      </w:r>
      <w:r>
        <w:t xml:space="preserve"> </w:t>
      </w:r>
      <w:r>
        <w:t xml:space="preserve">Markov sequential structure, and supports active turn-taking with</w:t>
      </w:r>
      <w:r>
        <w:t xml:space="preserve"> </w:t>
      </w:r>
      <w:r>
        <w:t xml:space="preserve">cross-whale response latency approximately half that of same-whale</w:t>
      </w:r>
      <w:r>
        <w:t xml:space="preserve"> </w:t>
      </w:r>
      <w:r>
        <w:t xml:space="preserve">continuation; and (5) individual whales produce the same coda type with</w:t>
      </w:r>
      <w:r>
        <w:t xml:space="preserve"> </w:t>
      </w:r>
      <w:r>
        <w:t xml:space="preserve">statistically distinguishable inter-click interval patterns</w:t>
      </w:r>
      <w:r>
        <w:t xml:space="preserve"> </w:t>
      </w:r>
      <w:r>
        <w:t xml:space="preserve">(Kolmogorov–Smirnov</w:t>
      </w:r>
      <w:r>
        <w:t xml:space="preserve"> </w:t>
      </w:r>
      <m:oMath>
        <m:r>
          <m:t>p</m:t>
        </m:r>
        <m:r>
          <m:rPr>
            <m:sty m:val="p"/>
          </m:rPr>
          <m:t>&lt;</m:t>
        </m:r>
        <m:r>
          <m:t>0.001</m:t>
        </m:r>
      </m:oMath>
      <w:r>
        <w:t xml:space="preserve"> </w:t>
      </w:r>
      <w:r>
        <w:t xml:space="preserve">for all tested pairs), confirming</w:t>
      </w:r>
      <w:r>
        <w:t xml:space="preserve"> </w:t>
      </w:r>
      <w:r>
        <w:t xml:space="preserve">individual identity encoding. We introduce the Decoder Robustness Index</w:t>
      </w:r>
      <w:r>
        <w:t xml:space="preserve"> </w:t>
      </w:r>
      <w:r>
        <w:t xml:space="preserve">(DRI), the first adversarial robustness benchmark for cetacean</w:t>
      </w:r>
      <w:r>
        <w:t xml:space="preserve"> </w:t>
      </w:r>
      <w:r>
        <w:t xml:space="preserve">communication decoders, and demonstrate that adversarial perturbation</w:t>
      </w:r>
      <w:r>
        <w:t xml:space="preserve"> </w:t>
      </w:r>
      <w:r>
        <w:t xml:space="preserve">serves as a phonetic boundary discovery tool. All methods are released</w:t>
      </w:r>
      <w:r>
        <w:t xml:space="preserve"> </w:t>
      </w:r>
      <w:r>
        <w:t xml:space="preserve">as the open-source</w:t>
      </w:r>
      <w:r>
        <w:t xml:space="preserve"> </w:t>
      </w:r>
      <w:r>
        <w:rPr>
          <w:rStyle w:val="VerbatimChar"/>
        </w:rPr>
        <w:t xml:space="preserve">eris-ketos</w:t>
      </w:r>
      <w:r>
        <w:t xml:space="preserve"> </w:t>
      </w:r>
      <w:r>
        <w:t xml:space="preserve">toolkit.</w:t>
      </w:r>
    </w:p>
    <w:p>
      <w:pPr>
        <w:pStyle w:val="FirstParagraph"/>
      </w:pPr>
      <w:r>
        <w:rPr>
          <w:b/>
          <w:bCs/>
        </w:rPr>
        <w:t xml:space="preserve">Keywords:</w:t>
      </w:r>
      <w:r>
        <w:t xml:space="preserve"> </w:t>
      </w:r>
      <w:r>
        <w:t xml:space="preserve">sperm whale communication, hyperbolic</w:t>
      </w:r>
      <w:r>
        <w:t xml:space="preserve"> </w:t>
      </w:r>
      <w:r>
        <w:t xml:space="preserve">embeddings, topological data analysis, adversarial robustness,</w:t>
      </w:r>
      <w:r>
        <w:t xml:space="preserve"> </w:t>
      </w:r>
      <w:r>
        <w:t xml:space="preserve">computational bioacoustics, linguistic universals</w:t>
      </w:r>
    </w:p>
    <w:bookmarkStart w:id="9" w:name="introduction"/>
    <w:p>
      <w:pPr>
        <w:pStyle w:val="Heading1"/>
      </w:pPr>
      <w:r>
        <w:t xml:space="preserve">Introduction</w:t>
      </w:r>
    </w:p>
    <w:p>
      <w:pPr>
        <w:pStyle w:val="FirstParagraph"/>
      </w:pPr>
      <w:r>
        <w:t xml:space="preserve">Sperm whales produce stereotyped sequences of broadband clicks known as</w:t>
      </w:r>
      <w:r>
        <w:t xml:space="preserve"> </w:t>
      </w:r>
      <w:r>
        <w:t xml:space="preserve">codas, which serve as communicative signals mediating social identity and</w:t>
      </w:r>
      <w:r>
        <w:t xml:space="preserve"> </w:t>
      </w:r>
      <w:r>
        <w:t xml:space="preserve">group cohesion </w:t>
      </w:r>
      <w:r>
        <w:t xml:space="preserve">. Individual codas</w:t>
      </w:r>
      <w:r>
        <w:t xml:space="preserve"> </w:t>
      </w:r>
      <w:r>
        <w:t xml:space="preserve">consist of 3–12 clicks with characteristic inter-click intervals (ICIs)</w:t>
      </w:r>
      <w:r>
        <w:t xml:space="preserve"> </w:t>
      </w:r>
      <w:r>
        <w:t xml:space="preserve">that encode coda type. Social units within vocal clans share coda</w:t>
      </w:r>
      <w:r>
        <w:t xml:space="preserve"> </w:t>
      </w:r>
      <w:r>
        <w:t xml:space="preserve">repertoires but exhibit unit-level and individual-level variation in</w:t>
      </w:r>
      <w:r>
        <w:t xml:space="preserve"> </w:t>
      </w:r>
      <w:r>
        <w:t xml:space="preserve">production </w:t>
      </w:r>
      <w:r>
        <w:t xml:space="preserve">.</w:t>
      </w:r>
    </w:p>
    <w:p>
      <w:pPr>
        <w:pStyle w:val="BodyText"/>
      </w:pPr>
      <w:r>
        <w:t xml:space="preserve">A landmark study by</w:t>
      </w:r>
      <w:r>
        <w:t xml:space="preserve"> </w:t>
      </w:r>
      <w:r>
        <w:t xml:space="preserve"> </w:t>
      </w:r>
      <w:r>
        <w:t xml:space="preserve">demonstrated that sperm whale</w:t>
      </w:r>
      <w:r>
        <w:t xml:space="preserve"> </w:t>
      </w:r>
      <w:r>
        <w:t xml:space="preserve">codas possess a combinatorial phonetic structure decomposable into four</w:t>
      </w:r>
      <w:r>
        <w:t xml:space="preserve"> </w:t>
      </w:r>
      <w:r>
        <w:t xml:space="preserve">independently controlled features: rhythm (18 types), tempo (5 types),</w:t>
      </w:r>
      <w:r>
        <w:t xml:space="preserve"> </w:t>
      </w:r>
      <w:r>
        <w:t xml:space="preserve">rubato (3 types), and ornamentation (2 types), yielding a combinatorial</w:t>
      </w:r>
      <w:r>
        <w:t xml:space="preserve"> </w:t>
      </w:r>
      <w:r>
        <w:t xml:space="preserve">space of up to 540 configurations. Subsequent work identified</w:t>
      </w:r>
      <w:r>
        <w:t xml:space="preserve"> </w:t>
      </w:r>
      <w:r>
        <w:t xml:space="preserve">vowel-like spectral patterns within individual clicks, adding a fifth</w:t>
      </w:r>
      <w:r>
        <w:t xml:space="preserve"> </w:t>
      </w:r>
      <w:r>
        <w:t xml:space="preserve">phonetic dimension </w:t>
      </w:r>
      <w:r>
        <w:t xml:space="preserve">. These findings elevate the</w:t>
      </w:r>
      <w:r>
        <w:t xml:space="preserve"> </w:t>
      </w:r>
      <w:r>
        <w:t xml:space="preserve">complexity of cetacean communication systems to a level that invites</w:t>
      </w:r>
      <w:r>
        <w:t xml:space="preserve"> </w:t>
      </w:r>
      <w:r>
        <w:t xml:space="preserve">methods from differential geometry, algebraic topology, and adversarial</w:t>
      </w:r>
      <w:r>
        <w:t xml:space="preserve"> </w:t>
      </w:r>
      <w:r>
        <w:t xml:space="preserve">machine learning—tools that have proven effective for analysing</w:t>
      </w:r>
      <w:r>
        <w:t xml:space="preserve"> </w:t>
      </w:r>
      <w:r>
        <w:t xml:space="preserve">hierarchical, manifold-valued, and combinatorial structure in other</w:t>
      </w:r>
      <w:r>
        <w:t xml:space="preserve"> </w:t>
      </w:r>
      <w:r>
        <w:t xml:space="preserve">domains but have not previously been applied to animal communication.</w:t>
      </w:r>
    </w:p>
    <w:p>
      <w:pPr>
        <w:pStyle w:val="BodyText"/>
      </w:pPr>
      <w:r>
        <w:t xml:space="preserve">Three specific properties of the coda system motivate geometric</w:t>
      </w:r>
      <w:r>
        <w:t xml:space="preserve"> </w:t>
      </w:r>
      <w:r>
        <w:t xml:space="preserve">methods. First, the combinatorial taxonomy of coda types is inherently</w:t>
      </w:r>
      <w:r>
        <w:t xml:space="preserve"> </w:t>
      </w:r>
      <w:r>
        <w:t xml:space="preserve">tree-like (rhythm class</w:t>
      </w:r>
      <w:r>
        <w:t xml:space="preserve"> </w:t>
      </w:r>
      <m:oMath>
        <m:r>
          <m:rPr>
            <m:sty m:val="p"/>
          </m:rPr>
          <m:t>→</m:t>
        </m:r>
      </m:oMath>
      <w:r>
        <w:t xml:space="preserve"> </w:t>
      </w:r>
      <w:r>
        <w:t xml:space="preserve">click count</w:t>
      </w:r>
      <w:r>
        <w:t xml:space="preserve"> </w:t>
      </w:r>
      <m:oMath>
        <m:r>
          <m:rPr>
            <m:sty m:val="p"/>
          </m:rPr>
          <m:t>→</m:t>
        </m:r>
      </m:oMath>
      <w:r>
        <w:t xml:space="preserve"> </w:t>
      </w:r>
      <w:r>
        <w:t xml:space="preserve">variant), and tree-like</w:t>
      </w:r>
      <w:r>
        <w:t xml:space="preserve"> </w:t>
      </w:r>
      <w:r>
        <w:t xml:space="preserve">structures embed with</w:t>
      </w:r>
      <w:r>
        <w:t xml:space="preserve"> </w:t>
      </w:r>
      <m:oMath>
        <m:r>
          <m:t>O</m:t>
        </m:r>
        <m:r>
          <m:rPr>
            <m:sty m:val="p"/>
          </m:rPr>
          <m:t>(</m:t>
        </m:r>
        <m:r>
          <m:rPr>
            <m:sty m:val="p"/>
          </m:rPr>
          <m:t>log</m:t>
        </m:r>
        <m:r>
          <m:t>n</m:t>
        </m:r>
        <m:r>
          <m:rPr>
            <m:sty m:val="p"/>
          </m:rPr>
          <m:t>)</m:t>
        </m:r>
      </m:oMath>
      <w:r>
        <w:t xml:space="preserve"> </w:t>
      </w:r>
      <w:r>
        <w:t xml:space="preserve">distortion in hyperbolic space versus</w:t>
      </w:r>
      <w:r>
        <w:t xml:space="preserve"> </w:t>
      </w:r>
      <m:oMath>
        <m:r>
          <m:t>O</m:t>
        </m:r>
        <m:r>
          <m:rPr>
            <m:sty m:val="p"/>
          </m:rPr>
          <m:t>(</m:t>
        </m:r>
        <m:r>
          <m:t>n</m:t>
        </m:r>
        <m:r>
          <m:rPr>
            <m:sty m:val="p"/>
          </m:rPr>
          <m:t>)</m:t>
        </m:r>
      </m:oMath>
      <w:r>
        <w:t xml:space="preserve"> </w:t>
      </w:r>
      <w:r>
        <w:t xml:space="preserve">in Euclidean space </w:t>
      </w:r>
      <w:r>
        <w:t xml:space="preserve">. The Poincaré ball</w:t>
      </w:r>
      <w:r>
        <w:t xml:space="preserve"> </w:t>
      </w:r>
      <w:r>
        <w:t xml:space="preserve">model </w:t>
      </w:r>
      <w:r>
        <w:t xml:space="preserve"> </w:t>
      </w:r>
      <w:r>
        <w:t xml:space="preserve">is therefore a natural representation for the</w:t>
      </w:r>
      <w:r>
        <w:t xml:space="preserve"> </w:t>
      </w:r>
      <w:r>
        <w:t xml:space="preserve">coda type hierarchy. Second, inter-click interval patterns within each</w:t>
      </w:r>
      <w:r>
        <w:t xml:space="preserve"> </w:t>
      </w:r>
      <w:r>
        <w:t xml:space="preserve">coda type form point clouds in</w:t>
      </w:r>
      <w:r>
        <w:t xml:space="preserve"> </w:t>
      </w:r>
      <m:oMath>
        <m:sSup>
          <m:e>
            <m:r>
              <m:rPr>
                <m:scr m:val="double-struck"/>
                <m:sty m:val="p"/>
              </m:rPr>
              <m:t>R</m:t>
            </m:r>
          </m:e>
          <m:sup>
            <m:r>
              <m:t>k</m:t>
            </m:r>
          </m:sup>
        </m:sSup>
      </m:oMath>
      <w:r>
        <w:t xml:space="preserve"> </w:t>
      </w:r>
      <w:r>
        <w:t xml:space="preserve">whose topology—connected</w:t>
      </w:r>
      <w:r>
        <w:t xml:space="preserve"> </w:t>
      </w:r>
      <w:r>
        <w:t xml:space="preserve">components, loops, voids—may encode structural properties of the</w:t>
      </w:r>
      <w:r>
        <w:t xml:space="preserve"> </w:t>
      </w:r>
      <w:r>
        <w:t xml:space="preserve">communication system that summary statistics miss. Persistent</w:t>
      </w:r>
      <w:r>
        <w:t xml:space="preserve"> </w:t>
      </w:r>
      <w:r>
        <w:t xml:space="preserve">homology </w:t>
      </w:r>
      <w:r>
        <w:t xml:space="preserve"> </w:t>
      </w:r>
      <w:r>
        <w:t xml:space="preserve">provides a principled framework</w:t>
      </w:r>
      <w:r>
        <w:t xml:space="preserve"> </w:t>
      </w:r>
      <w:r>
        <w:t xml:space="preserve">for extracting such topological features. Third, the robustness of coda</w:t>
      </w:r>
      <w:r>
        <w:t xml:space="preserve"> </w:t>
      </w:r>
      <w:r>
        <w:t xml:space="preserve">classification to acoustic perturbation is an open question with</w:t>
      </w:r>
      <w:r>
        <w:t xml:space="preserve"> </w:t>
      </w:r>
      <w:r>
        <w:t xml:space="preserve">implications for both decoder design and communication theory: if small</w:t>
      </w:r>
      <w:r>
        <w:t xml:space="preserve"> </w:t>
      </w:r>
      <w:r>
        <w:t xml:space="preserve">perturbations flip classification, the system has low redundancy and</w:t>
      </w:r>
      <w:r>
        <w:t xml:space="preserve"> </w:t>
      </w:r>
      <w:r>
        <w:t xml:space="preserve">high information density.</w:t>
      </w:r>
    </w:p>
    <w:p>
      <w:pPr>
        <w:pStyle w:val="BodyText"/>
      </w:pPr>
      <w:r>
        <w:t xml:space="preserve">In this work, we present five contributions:</w:t>
      </w:r>
    </w:p>
    <w:p>
      <w:pPr>
        <w:numPr>
          <w:ilvl w:val="0"/>
          <w:numId w:val="1001"/>
        </w:numPr>
      </w:pPr>
      <w:r>
        <w:rPr>
          <w:b/>
          <w:bCs/>
        </w:rPr>
        <w:t xml:space="preserve">Poincaré ball embedding</w:t>
      </w:r>
      <w:r>
        <w:t xml:space="preserve"> </w:t>
      </w:r>
      <w:r>
        <w:t xml:space="preserve">of the coda type hierarchy,</w:t>
      </w:r>
      <w:r>
        <w:t xml:space="preserve"> </w:t>
      </w:r>
      <w:r>
        <w:t xml:space="preserve">with quantitative distortion comparison against Euclidean baselines</w:t>
      </w:r>
      <w:r>
        <w:t xml:space="preserve"> </w:t>
      </w:r>
      <w:r>
        <w:t xml:space="preserve">(Section </w:t>
      </w:r>
      <w:hyperlink w:anchor="sec:poincare">
        <w:r>
          <w:rPr>
            <w:rStyle w:val="Hyperlink"/>
          </w:rPr>
          <w:t xml:space="preserve">2.2</w:t>
        </w:r>
      </w:hyperlink>
      <w:r>
        <w:t xml:space="preserve">).</w:t>
      </w:r>
    </w:p>
    <w:p>
      <w:pPr>
        <w:numPr>
          <w:ilvl w:val="0"/>
          <w:numId w:val="1001"/>
        </w:numPr>
      </w:pPr>
      <w:r>
        <w:rPr>
          <w:b/>
          <w:bCs/>
        </w:rPr>
        <w:t xml:space="preserve">Persistent homology</w:t>
      </w:r>
      <w:r>
        <w:t xml:space="preserve"> </w:t>
      </w:r>
      <w:r>
        <w:t xml:space="preserve">on ICI point clouds, revealing</w:t>
      </w:r>
      <w:r>
        <w:t xml:space="preserve"> </w:t>
      </w:r>
      <w:r>
        <w:t xml:space="preserve">topologically distinct attractors per rhythm class</w:t>
      </w:r>
      <w:r>
        <w:t xml:space="preserve"> </w:t>
      </w:r>
      <w:r>
        <w:t xml:space="preserve">(Section </w:t>
      </w:r>
      <w:hyperlink w:anchor="sec:tda">
        <w:r>
          <w:rPr>
            <w:rStyle w:val="Hyperlink"/>
          </w:rPr>
          <w:t xml:space="preserve">2.3</w:t>
        </w:r>
      </w:hyperlink>
      <w:r>
        <w:t xml:space="preserve">).</w:t>
      </w:r>
    </w:p>
    <w:p>
      <w:pPr>
        <w:numPr>
          <w:ilvl w:val="0"/>
          <w:numId w:val="1001"/>
        </w:numPr>
      </w:pPr>
      <w:r>
        <w:rPr>
          <w:b/>
          <w:bCs/>
        </w:rPr>
        <w:t xml:space="preserve">Decoder Robustness Index (DRI)</w:t>
      </w:r>
      <w:r>
        <w:t xml:space="preserve">, the first adversarial</w:t>
      </w:r>
      <w:r>
        <w:t xml:space="preserve"> </w:t>
      </w:r>
      <w:r>
        <w:t xml:space="preserve">robustness benchmark for cetacean communication decoders</w:t>
      </w:r>
      <w:r>
        <w:t xml:space="preserve"> </w:t>
      </w:r>
      <w:r>
        <w:t xml:space="preserve">(Section </w:t>
      </w:r>
      <w:hyperlink w:anchor="sec:dri">
        <w:r>
          <w:rPr>
            <w:rStyle w:val="Hyperlink"/>
          </w:rPr>
          <w:t xml:space="preserve">2.5</w:t>
        </w:r>
      </w:hyperlink>
      <w:r>
        <w:t xml:space="preserve">).</w:t>
      </w:r>
    </w:p>
    <w:p>
      <w:pPr>
        <w:numPr>
          <w:ilvl w:val="0"/>
          <w:numId w:val="1001"/>
        </w:numPr>
      </w:pPr>
      <w:r>
        <w:rPr>
          <w:b/>
          <w:bCs/>
        </w:rPr>
        <w:t xml:space="preserve">Adversarial perturbation as a discovery tool</w:t>
      </w:r>
      <w:r>
        <w:t xml:space="preserve">,</w:t>
      </w:r>
      <w:r>
        <w:t xml:space="preserve"> </w:t>
      </w:r>
      <w:r>
        <w:t xml:space="preserve">revealing asymmetric phonetic boundaries and empirically estimating</w:t>
      </w:r>
      <w:r>
        <w:t xml:space="preserve"> </w:t>
      </w:r>
      <w:r>
        <w:t xml:space="preserve">channel capacity at approximately 3.0 bits per coda</w:t>
      </w:r>
      <w:r>
        <w:t xml:space="preserve"> </w:t>
      </w:r>
      <w:r>
        <w:t xml:space="preserve">(Section </w:t>
      </w:r>
      <w:hyperlink w:anchor="sec:fuzz">
        <w:r>
          <w:rPr>
            <w:rStyle w:val="Hyperlink"/>
          </w:rPr>
          <w:t xml:space="preserve">2.7</w:t>
        </w:r>
      </w:hyperlink>
      <w:r>
        <w:t xml:space="preserve">).</w:t>
      </w:r>
    </w:p>
    <w:p>
      <w:pPr>
        <w:numPr>
          <w:ilvl w:val="0"/>
          <w:numId w:val="1001"/>
        </w:numPr>
      </w:pPr>
      <w:r>
        <w:rPr>
          <w:b/>
          <w:bCs/>
        </w:rPr>
        <w:t xml:space="preserve">Linguistic universals</w:t>
      </w:r>
      <w:r>
        <w:t xml:space="preserve">, confirming Menzerath’s law,</w:t>
      </w:r>
      <w:r>
        <w:t xml:space="preserve"> </w:t>
      </w:r>
      <w:r>
        <w:t xml:space="preserve">higher-order Markov structure, individual accents, and active</w:t>
      </w:r>
      <w:r>
        <w:t xml:space="preserve"> </w:t>
      </w:r>
      <w:r>
        <w:t xml:space="preserve">turn-taking in coda exchanges (Section </w:t>
      </w:r>
      <w:hyperlink w:anchor="sec:linguistic">
        <w:r>
          <w:rPr>
            <w:rStyle w:val="Hyperlink"/>
          </w:rPr>
          <w:t xml:space="preserve">2.8</w:t>
        </w:r>
      </w:hyperlink>
      <w:r>
        <w:t xml:space="preserve">).</w:t>
      </w:r>
    </w:p>
    <w:p>
      <w:pPr>
        <w:pStyle w:val="FirstParagraph"/>
      </w:pPr>
      <w:r>
        <w:t xml:space="preserve">All methods are implemented in the open-source</w:t>
      </w:r>
      <w:r>
        <w:t xml:space="preserve"> </w:t>
      </w:r>
      <w:r>
        <w:rPr>
          <w:rStyle w:val="VerbatimChar"/>
        </w:rPr>
        <w:t xml:space="preserve">eris-ketos</w:t>
      </w:r>
      <w:r>
        <w:t xml:space="preserve"> </w:t>
      </w:r>
      <w:r>
        <w:t xml:space="preserve">Python package (</w:t>
      </w:r>
      <w:r>
        <w:rPr>
          <w:rStyle w:val="VerbatimChar"/>
        </w:rPr>
        <w:t xml:space="preserve">pip install eris-ketos</w:t>
      </w:r>
      <w:r>
        <w:t xml:space="preserve">) and demonstrated on the</w:t>
      </w:r>
      <w:r>
        <w:t xml:space="preserve"> </w:t>
      </w:r>
      <w:r>
        <w:t xml:space="preserve">full Dominica Sperm Whale Project (DSWP)</w:t>
      </w:r>
      <w:r>
        <w:t xml:space="preserve"> </w:t>
      </w:r>
      <w:r>
        <w:t xml:space="preserve">dataset </w:t>
      </w:r>
      <w:r>
        <w:t xml:space="preserve">.</w:t>
      </w:r>
    </w:p>
    <w:bookmarkEnd w:id="9"/>
    <w:bookmarkStart w:id="71" w:name="results"/>
    <w:p>
      <w:pPr>
        <w:pStyle w:val="Heading1"/>
      </w:pPr>
      <w:r>
        <w:t xml:space="preserve">Results</w:t>
      </w:r>
    </w:p>
    <w:bookmarkStart w:id="14" w:name="dataset-overview"/>
    <w:p>
      <w:pPr>
        <w:pStyle w:val="Heading2"/>
      </w:pPr>
      <w:r>
        <w:t xml:space="preserve">Dataset overview</w:t>
      </w:r>
    </w:p>
    <w:p>
      <w:pPr>
        <w:pStyle w:val="FirstParagraph"/>
      </w:pPr>
      <w:r>
        <w:t xml:space="preserve">The DSWP dataset comprises 8</w:t>
      </w:r>
      <w:r>
        <w:t xml:space="preserve">,</w:t>
      </w:r>
      <w:r>
        <w:t xml:space="preserve">719 annotated codas spanning 28 coda</w:t>
      </w:r>
      <w:r>
        <w:t xml:space="preserve"> </w:t>
      </w:r>
      <w:r>
        <w:t xml:space="preserve">types, with click counts ranging from 3 to 10 (figure </w:t>
      </w:r>
      <w:hyperlink w:anchor="fig:overview">
        <w:r>
          <w:rPr>
            <w:rStyle w:val="Hyperlink"/>
          </w:rPr>
          <w:t xml:space="preserve">1</w:t>
        </w:r>
      </w:hyperlink>
      <w:r>
        <w:t xml:space="preserve">).</w:t>
      </w:r>
      <w:r>
        <w:t xml:space="preserve"> </w:t>
      </w:r>
      <w:r>
        <w:t xml:space="preserve">The three most frequent types—1+1+3, 5R1, and 5R3—account for</w:t>
      </w:r>
      <w:r>
        <w:t xml:space="preserve"> </w:t>
      </w:r>
      <w:r>
        <w:t xml:space="preserve">approximately 50% of all codas. Coda types decompose into four rhythm</w:t>
      </w:r>
      <w:r>
        <w:t xml:space="preserve"> </w:t>
      </w:r>
      <w:r>
        <w:t xml:space="preserve">classes: regular (xR), deceleration (xD), irregular (xi), and compound</w:t>
      </w:r>
      <w:r>
        <w:t xml:space="preserve"> </w:t>
      </w:r>
      <w:r>
        <w:t xml:space="preserve">(x+y). The exchange-level dialogues dataset provides 3</w:t>
      </w:r>
      <w:r>
        <w:t xml:space="preserve">,</w:t>
      </w:r>
      <w:r>
        <w:t xml:space="preserve">840 sequentially</w:t>
      </w:r>
      <w:r>
        <w:t xml:space="preserve"> </w:t>
      </w:r>
      <w:r>
        <w:t xml:space="preserve">ordered entries across 11 identified whales.</w:t>
      </w:r>
    </w:p>
    <w:bookmarkStart w:id="13" w:name="fig:overview"/>
    <w:p>
      <w:pPr>
        <w:pStyle w:val="CaptionedFigure"/>
      </w:pPr>
      <w:r>
        <w:drawing>
          <wp:inline>
            <wp:extent cx="5334000" cy="1974476"/>
            <wp:effectExtent b="0" l="0" r="0" t="0"/>
            <wp:docPr descr="" title="" id="11" name="Picture"/>
            <a:graphic>
              <a:graphicData uri="http://schemas.openxmlformats.org/drawingml/2006/picture">
                <pic:pic>
                  <pic:nvPicPr>
                    <pic:cNvPr descr="fig1_data_overview.png" id="12" name="Picture"/>
                    <pic:cNvPicPr>
                      <a:picLocks noChangeArrowheads="1" noChangeAspect="1"/>
                    </pic:cNvPicPr>
                  </pic:nvPicPr>
                  <pic:blipFill>
                    <a:blip r:embed="rId10"/>
                    <a:stretch>
                      <a:fillRect/>
                    </a:stretch>
                  </pic:blipFill>
                  <pic:spPr bwMode="auto">
                    <a:xfrm>
                      <a:off x="0" y="0"/>
                      <a:ext cx="5334000" cy="1974476"/>
                    </a:xfrm>
                    <a:prstGeom prst="rect">
                      <a:avLst/>
                    </a:prstGeom>
                    <a:noFill/>
                    <a:ln w="9525">
                      <a:noFill/>
                      <a:headEnd/>
                      <a:tailEnd/>
                    </a:ln>
                  </pic:spPr>
                </pic:pic>
              </a:graphicData>
            </a:graphic>
          </wp:inline>
        </w:drawing>
      </w:r>
    </w:p>
    <w:p>
      <w:pPr>
        <w:pStyle w:val="ImageCaption"/>
      </w:pPr>
      <w:r>
        <w:t xml:space="preserve"> </w:t>
      </w:r>
      <w:r>
        <w:rPr>
          <w:b/>
          <w:bCs/>
        </w:rPr>
        <w:t xml:space="preserve">Dataset overview.</w:t>
      </w:r>
      <w:r>
        <w:t xml:space="preserve"> </w:t>
      </w:r>
      <w:r>
        <w:t xml:space="preserve">(</w:t>
      </w:r>
      <w:r>
        <w:rPr>
          <w:i/>
          <w:iCs/>
        </w:rPr>
        <w:t xml:space="preserve">Left</w:t>
      </w:r>
      <w:r>
        <w:t xml:space="preserve">) Distribution of the 20 most frequent coda types in the</w:t>
      </w:r>
      <w:r>
        <w:t xml:space="preserve"> </w:t>
      </w:r>
      <w:r>
        <w:t xml:space="preserve">DSWP dataset. The compound type 1+1+3 and regular types 5R1, 5R3</w:t>
      </w:r>
      <w:r>
        <w:t xml:space="preserve"> </w:t>
      </w:r>
      <w:r>
        <w:t xml:space="preserve">dominate. (</w:t>
      </w:r>
      <w:r>
        <w:rPr>
          <w:i/>
          <w:iCs/>
        </w:rPr>
        <w:t xml:space="preserve">Right</w:t>
      </w:r>
      <w:r>
        <w:t xml:space="preserve">) Click count histogram; the majority of</w:t>
      </w:r>
      <w:r>
        <w:t xml:space="preserve"> </w:t>
      </w:r>
      <w:r>
        <w:t xml:space="preserve">codas contain 4–6 clicks.</w:t>
      </w:r>
      <w:r>
        <w:t xml:space="preserve"> </w:t>
      </w:r>
    </w:p>
    <w:bookmarkEnd w:id="13"/>
    <w:bookmarkEnd w:id="14"/>
    <w:bookmarkStart w:id="27" w:name="sec:poincare"/>
    <w:p>
      <w:pPr>
        <w:pStyle w:val="Heading2"/>
      </w:pPr>
      <w:r>
        <w:t xml:space="preserve">Poincaré ball embedding captures hierarchical structure</w:t>
      </w:r>
    </w:p>
    <w:p>
      <w:pPr>
        <w:pStyle w:val="FirstParagraph"/>
      </w:pPr>
      <w:r>
        <w:t xml:space="preserve">We parsed the 28 coda types into a three-level taxonomy (rhythm</w:t>
      </w:r>
      <w:r>
        <w:t xml:space="preserve"> </w:t>
      </w:r>
      <w:r>
        <w:t xml:space="preserve">class</w:t>
      </w:r>
      <w:r>
        <w:t xml:space="preserve"> </w:t>
      </w:r>
      <m:oMath>
        <m:r>
          <m:rPr>
            <m:sty m:val="p"/>
          </m:rPr>
          <m:t>→</m:t>
        </m:r>
      </m:oMath>
      <w:r>
        <w:t xml:space="preserve"> </w:t>
      </w:r>
      <w:r>
        <w:t xml:space="preserve">click count</w:t>
      </w:r>
      <w:r>
        <w:t xml:space="preserve"> </w:t>
      </w:r>
      <m:oMath>
        <m:r>
          <m:rPr>
            <m:sty m:val="p"/>
          </m:rPr>
          <m:t>→</m:t>
        </m:r>
      </m:oMath>
      <w:r>
        <w:t xml:space="preserve"> </w:t>
      </w:r>
      <w:r>
        <w:t xml:space="preserve">variant) and constructed a taxonomic</w:t>
      </w:r>
      <w:r>
        <w:t xml:space="preserve"> </w:t>
      </w:r>
      <w:r>
        <w:t xml:space="preserve">distance matrix (see Methods). Coda types were embedded into a</w:t>
      </w:r>
      <w:r>
        <w:t xml:space="preserve"> </w:t>
      </w:r>
      <m:oMath>
        <m:r>
          <m:t>d</m:t>
        </m:r>
      </m:oMath>
      <w:r>
        <w:t xml:space="preserve">-dimensional Poincaré ball (</w:t>
      </w:r>
      <m:oMath>
        <m:r>
          <m:t>d</m:t>
        </m:r>
        <m:r>
          <m:rPr>
            <m:sty m:val="p"/>
          </m:rPr>
          <m:t>=</m:t>
        </m:r>
        <m:r>
          <m:rPr>
            <m:sty m:val="p"/>
          </m:rPr>
          <m:t>min</m:t>
        </m:r>
        <m:r>
          <m:rPr>
            <m:sty m:val="p"/>
          </m:rPr>
          <m:t>(</m:t>
        </m:r>
        <m:r>
          <m:t>16</m:t>
        </m:r>
        <m:r>
          <m:rPr>
            <m:sty m:val="p"/>
          </m:rPr>
          <m:t>,</m:t>
        </m:r>
        <m:sSub>
          <m:e>
            <m:r>
              <m:t>n</m:t>
            </m:r>
          </m:e>
          <m:sub>
            <m:r>
              <m:rPr>
                <m:sty m:val="p"/>
              </m:rPr>
              <m:t>t</m:t>
            </m:r>
            <m:r>
              <m:rPr>
                <m:sty m:val="p"/>
              </m:rPr>
              <m:t>y</m:t>
            </m:r>
            <m:r>
              <m:rPr>
                <m:sty m:val="p"/>
              </m:rPr>
              <m:t>p</m:t>
            </m:r>
            <m:r>
              <m:rPr>
                <m:sty m:val="p"/>
              </m:rPr>
              <m:t>e</m:t>
            </m:r>
            <m:r>
              <m:rPr>
                <m:sty m:val="p"/>
              </m:rPr>
              <m:t>s</m:t>
            </m:r>
          </m:sub>
        </m:sSub>
        <m:r>
          <m:rPr>
            <m:sty m:val="p"/>
          </m:rPr>
          <m:t>)</m:t>
        </m:r>
      </m:oMath>
      <w:r>
        <w:t xml:space="preserve">) via</w:t>
      </w:r>
      <w:r>
        <w:t xml:space="preserve"> </w:t>
      </w:r>
      <w:r>
        <w:t xml:space="preserve">gradient descent on a distortion loss, and compared against Euclidean</w:t>
      </w:r>
      <w:r>
        <w:t xml:space="preserve"> </w:t>
      </w:r>
      <w:r>
        <w:t xml:space="preserve">embedding via PCA on the same distance matrix (figure </w:t>
      </w:r>
      <w:hyperlink w:anchor="fig:poincare">
        <w:r>
          <w:rPr>
            <w:rStyle w:val="Hyperlink"/>
          </w:rPr>
          <w:t xml:space="preserve">2</w:t>
        </w:r>
      </w:hyperlink>
      <w:r>
        <w:t xml:space="preserve">).</w:t>
      </w:r>
    </w:p>
    <w:p>
      <w:pPr>
        <w:pStyle w:val="BodyText"/>
      </w:pPr>
      <w:r>
        <w:t xml:space="preserve">The Poincaré embedding achieved higher Spearman rank correlation</w:t>
      </w:r>
      <w:r>
        <w:t xml:space="preserve"> </w:t>
      </w:r>
      <w:r>
        <w:t xml:space="preserve">(</w:t>
      </w:r>
      <m:oMath>
        <m:r>
          <m:t>ρ</m:t>
        </m:r>
      </m:oMath>
      <w:r>
        <w:t xml:space="preserve">) between embedded pairwise distances and true taxonomic</w:t>
      </w:r>
      <w:r>
        <w:t xml:space="preserve"> </w:t>
      </w:r>
      <w:r>
        <w:t xml:space="preserve">distances than the Euclidean baseline (figure </w:t>
      </w:r>
      <w:hyperlink w:anchor="fig:distortion">
        <w:r>
          <w:rPr>
            <w:rStyle w:val="Hyperlink"/>
          </w:rPr>
          <w:t xml:space="preserve">3</w:t>
        </w:r>
      </w:hyperlink>
      <w:r>
        <w:t xml:space="preserve">),</w:t>
      </w:r>
      <w:r>
        <w:t xml:space="preserve"> </w:t>
      </w:r>
      <w:r>
        <w:t xml:space="preserve">consistent with the theoretical advantage of hyperbolic geometry for</w:t>
      </w:r>
      <w:r>
        <w:t xml:space="preserve"> </w:t>
      </w:r>
      <w:r>
        <w:t xml:space="preserve">tree-like structures.</w:t>
      </w:r>
    </w:p>
    <w:bookmarkStart w:id="18" w:name="fig:poincare"/>
    <w:p>
      <w:pPr>
        <w:pStyle w:val="CaptionedFigure"/>
      </w:pPr>
      <w:r>
        <w:drawing>
          <wp:inline>
            <wp:extent cx="5334000" cy="2617435"/>
            <wp:effectExtent b="0" l="0" r="0" t="0"/>
            <wp:docPr descr="" title="" id="16" name="Picture"/>
            <a:graphic>
              <a:graphicData uri="http://schemas.openxmlformats.org/drawingml/2006/picture">
                <pic:pic>
                  <pic:nvPicPr>
                    <pic:cNvPr descr="fig2_poincare_vs_euclidean.png" id="17" name="Picture"/>
                    <pic:cNvPicPr>
                      <a:picLocks noChangeArrowheads="1" noChangeAspect="1"/>
                    </pic:cNvPicPr>
                  </pic:nvPicPr>
                  <pic:blipFill>
                    <a:blip r:embed="rId15"/>
                    <a:stretch>
                      <a:fillRect/>
                    </a:stretch>
                  </pic:blipFill>
                  <pic:spPr bwMode="auto">
                    <a:xfrm>
                      <a:off x="0" y="0"/>
                      <a:ext cx="5334000" cy="2617435"/>
                    </a:xfrm>
                    <a:prstGeom prst="rect">
                      <a:avLst/>
                    </a:prstGeom>
                    <a:noFill/>
                    <a:ln w="9525">
                      <a:noFill/>
                      <a:headEnd/>
                      <a:tailEnd/>
                    </a:ln>
                  </pic:spPr>
                </pic:pic>
              </a:graphicData>
            </a:graphic>
          </wp:inline>
        </w:drawing>
      </w:r>
    </w:p>
    <w:p>
      <w:pPr>
        <w:pStyle w:val="ImageCaption"/>
      </w:pPr>
      <w:r>
        <w:t xml:space="preserve"> </w:t>
      </w:r>
      <w:r>
        <w:rPr>
          <w:b/>
          <w:bCs/>
        </w:rPr>
        <w:t xml:space="preserve">Poincaré ball versus Euclidean embedding of coda type</w:t>
      </w:r>
      <w:r>
        <w:rPr>
          <w:b/>
          <w:bCs/>
        </w:rPr>
        <w:t xml:space="preserve"> </w:t>
      </w:r>
      <w:r>
        <w:rPr>
          <w:b/>
          <w:bCs/>
        </w:rPr>
        <w:t xml:space="preserve">hierarchy.</w:t>
      </w:r>
      <w:r>
        <w:t xml:space="preserve"> </w:t>
      </w:r>
      <w:r>
        <w:t xml:space="preserve">(</w:t>
      </w:r>
      <w:r>
        <w:rPr>
          <w:i/>
          <w:iCs/>
        </w:rPr>
        <w:t xml:space="preserve">Left</w:t>
      </w:r>
      <w:r>
        <w:t xml:space="preserve">) Poincaré ball embedding: the unit disk boundary</w:t>
      </w:r>
      <w:r>
        <w:t xml:space="preserve"> </w:t>
      </w:r>
      <w:r>
        <w:t xml:space="preserve">represents the ideal boundary of hyperbolic space. Coda types are</w:t>
      </w:r>
      <w:r>
        <w:t xml:space="preserve"> </w:t>
      </w:r>
      <w:r>
        <w:t xml:space="preserve">coloured by rhythm class. Note that hierarchically related types</w:t>
      </w:r>
      <w:r>
        <w:t xml:space="preserve"> </w:t>
      </w:r>
      <w:r>
        <w:t xml:space="preserve">(e.g., 5R1, 5R2, 5R3) cluster at similar radii while distinct</w:t>
      </w:r>
      <w:r>
        <w:t xml:space="preserve"> </w:t>
      </w:r>
      <w:r>
        <w:t xml:space="preserve">rhythm classes separate angularly.</w:t>
      </w:r>
      <w:r>
        <w:t xml:space="preserve"> </w:t>
      </w:r>
      <w:r>
        <w:t xml:space="preserve">(</w:t>
      </w:r>
      <w:r>
        <w:rPr>
          <w:i/>
          <w:iCs/>
        </w:rPr>
        <w:t xml:space="preserve">Right</w:t>
      </w:r>
      <w:r>
        <w:t xml:space="preserve">) Euclidean PCA embedding of the same distance</w:t>
      </w:r>
      <w:r>
        <w:t xml:space="preserve"> </w:t>
      </w:r>
      <w:r>
        <w:t xml:space="preserve">matrix for comparison.</w:t>
      </w:r>
      <w:r>
        <w:t xml:space="preserve"> </w:t>
      </w:r>
    </w:p>
    <w:bookmarkEnd w:id="18"/>
    <w:bookmarkStart w:id="22" w:name="fig:distortion"/>
    <w:p>
      <w:pPr>
        <w:pStyle w:val="CaptionedFigure"/>
      </w:pPr>
      <w:r>
        <w:drawing>
          <wp:inline>
            <wp:extent cx="5334000" cy="1874593"/>
            <wp:effectExtent b="0" l="0" r="0" t="0"/>
            <wp:docPr descr="" title="" id="20" name="Picture"/>
            <a:graphic>
              <a:graphicData uri="http://schemas.openxmlformats.org/drawingml/2006/picture">
                <pic:pic>
                  <pic:nvPicPr>
                    <pic:cNvPr descr="fig3_distortion_comparison.png" id="21" name="Picture"/>
                    <pic:cNvPicPr>
                      <a:picLocks noChangeArrowheads="1" noChangeAspect="1"/>
                    </pic:cNvPicPr>
                  </pic:nvPicPr>
                  <pic:blipFill>
                    <a:blip r:embed="rId19"/>
                    <a:stretch>
                      <a:fillRect/>
                    </a:stretch>
                  </pic:blipFill>
                  <pic:spPr bwMode="auto">
                    <a:xfrm>
                      <a:off x="0" y="0"/>
                      <a:ext cx="5334000" cy="1874593"/>
                    </a:xfrm>
                    <a:prstGeom prst="rect">
                      <a:avLst/>
                    </a:prstGeom>
                    <a:noFill/>
                    <a:ln w="9525">
                      <a:noFill/>
                      <a:headEnd/>
                      <a:tailEnd/>
                    </a:ln>
                  </pic:spPr>
                </pic:pic>
              </a:graphicData>
            </a:graphic>
          </wp:inline>
        </w:drawing>
      </w:r>
    </w:p>
    <w:p>
      <w:pPr>
        <w:pStyle w:val="ImageCaption"/>
      </w:pPr>
      <w:r>
        <w:t xml:space="preserve"> </w:t>
      </w:r>
      <w:r>
        <w:rPr>
          <w:b/>
          <w:bCs/>
        </w:rPr>
        <w:t xml:space="preserve">Distortion analysis.</w:t>
      </w:r>
      <w:r>
        <w:t xml:space="preserve"> </w:t>
      </w:r>
      <w:r>
        <w:t xml:space="preserve">Embedded pairwise distances versus true taxonomic distances for</w:t>
      </w:r>
      <w:r>
        <w:t xml:space="preserve"> </w:t>
      </w:r>
      <w:r>
        <w:t xml:space="preserve">(</w:t>
      </w:r>
      <w:r>
        <w:rPr>
          <w:i/>
          <w:iCs/>
        </w:rPr>
        <w:t xml:space="preserve">left</w:t>
      </w:r>
      <w:r>
        <w:t xml:space="preserve">) Poincaré ball and (</w:t>
      </w:r>
      <w:r>
        <w:rPr>
          <w:i/>
          <w:iCs/>
        </w:rPr>
        <w:t xml:space="preserve">right</w:t>
      </w:r>
      <w:r>
        <w:t xml:space="preserve">) Euclidean PCA.</w:t>
      </w:r>
      <w:r>
        <w:t xml:space="preserve"> </w:t>
      </w:r>
      <w:r>
        <w:t xml:space="preserve">Spearman rank correlations are reported in each panel. Higher</w:t>
      </w:r>
      <w:r>
        <w:t xml:space="preserve"> </w:t>
      </w:r>
      <m:oMath>
        <m:r>
          <m:t>ρ</m:t>
        </m:r>
      </m:oMath>
      <w:r>
        <w:t xml:space="preserve"> </w:t>
      </w:r>
      <w:r>
        <w:t xml:space="preserve">indicates better preservation of the taxonomic hierarchy.</w:t>
      </w:r>
      <w:r>
        <w:t xml:space="preserve"> </w:t>
      </w:r>
    </w:p>
    <w:bookmarkEnd w:id="22"/>
    <w:p>
      <w:pPr>
        <w:pStyle w:val="BodyText"/>
      </w:pPr>
      <w:r>
        <w:t xml:space="preserve">A Hyperbolic Multinomial Logistic Regression (HyperbolicMLR) classifier</w:t>
      </w:r>
      <w:r>
        <w:t xml:space="preserve"> </w:t>
      </w:r>
      <w:r>
        <w:t xml:space="preserve">trained on individual coda feature vectors (9 normalised ICI features,</w:t>
      </w:r>
      <w:r>
        <w:t xml:space="preserve"> </w:t>
      </w:r>
      <w:r>
        <w:t xml:space="preserve">log-duration, click count) achieved competitive classification accuracy</w:t>
      </w:r>
      <w:r>
        <w:t xml:space="preserve"> </w:t>
      </w:r>
      <w:r>
        <w:t xml:space="preserve">against Euclidean baselines (logistic regression,</w:t>
      </w:r>
      <w:r>
        <w:t xml:space="preserve"> </w:t>
      </w:r>
      <m:oMath>
        <m:r>
          <m:t>k</m:t>
        </m:r>
      </m:oMath>
      <w:r>
        <w:t xml:space="preserve">-nearest neighbours,</w:t>
      </w:r>
      <w:r>
        <w:t xml:space="preserve"> </w:t>
      </w:r>
      <w:r>
        <w:t xml:space="preserve">random forest), with class prototypes initialised from the taxonomic</w:t>
      </w:r>
      <w:r>
        <w:t xml:space="preserve"> </w:t>
      </w:r>
      <w:r>
        <w:t xml:space="preserve">Poincaré embeddings (figure </w:t>
      </w:r>
      <w:hyperlink w:anchor="fig:classification">
        <w:r>
          <w:rPr>
            <w:rStyle w:val="Hyperlink"/>
          </w:rPr>
          <w:t xml:space="preserve">4</w:t>
        </w:r>
      </w:hyperlink>
      <w:r>
        <w:t xml:space="preserve">).</w:t>
      </w:r>
    </w:p>
    <w:bookmarkStart w:id="26" w:name="fig:classification"/>
    <w:p>
      <w:pPr>
        <w:pStyle w:val="CaptionedFigure"/>
      </w:pPr>
      <w:r>
        <w:drawing>
          <wp:inline>
            <wp:extent cx="5334000" cy="1611085"/>
            <wp:effectExtent b="0" l="0" r="0" t="0"/>
            <wp:docPr descr="" title="" id="24" name="Picture"/>
            <a:graphic>
              <a:graphicData uri="http://schemas.openxmlformats.org/drawingml/2006/picture">
                <pic:pic>
                  <pic:nvPicPr>
                    <pic:cNvPr descr="fig4_classification.png" id="25" name="Picture"/>
                    <pic:cNvPicPr>
                      <a:picLocks noChangeArrowheads="1" noChangeAspect="1"/>
                    </pic:cNvPicPr>
                  </pic:nvPicPr>
                  <pic:blipFill>
                    <a:blip r:embed="rId23"/>
                    <a:stretch>
                      <a:fillRect/>
                    </a:stretch>
                  </pic:blipFill>
                  <pic:spPr bwMode="auto">
                    <a:xfrm>
                      <a:off x="0" y="0"/>
                      <a:ext cx="5334000" cy="1611085"/>
                    </a:xfrm>
                    <a:prstGeom prst="rect">
                      <a:avLst/>
                    </a:prstGeom>
                    <a:noFill/>
                    <a:ln w="9525">
                      <a:noFill/>
                      <a:headEnd/>
                      <a:tailEnd/>
                    </a:ln>
                  </pic:spPr>
                </pic:pic>
              </a:graphicData>
            </a:graphic>
          </wp:inline>
        </w:drawing>
      </w:r>
    </w:p>
    <w:p>
      <w:pPr>
        <w:pStyle w:val="ImageCaption"/>
      </w:pPr>
      <w:r>
        <w:t xml:space="preserve"> </w:t>
      </w:r>
      <w:r>
        <w:rPr>
          <w:b/>
          <w:bCs/>
        </w:rPr>
        <w:t xml:space="preserve">Classification results.</w:t>
      </w:r>
      <w:r>
        <w:t xml:space="preserve"> </w:t>
      </w:r>
      <w:r>
        <w:t xml:space="preserve">(</w:t>
      </w:r>
      <w:r>
        <w:rPr>
          <w:i/>
          <w:iCs/>
        </w:rPr>
        <w:t xml:space="preserve">Left</w:t>
      </w:r>
      <w:r>
        <w:t xml:space="preserve">) Confusion matrix for the HyperbolicMLR classifier.</w:t>
      </w:r>
      <w:r>
        <w:t xml:space="preserve"> </w:t>
      </w:r>
      <w:r>
        <w:t xml:space="preserve">(</w:t>
      </w:r>
      <w:r>
        <w:rPr>
          <w:i/>
          <w:iCs/>
        </w:rPr>
        <w:t xml:space="preserve">Right</w:t>
      </w:r>
      <w:r>
        <w:t xml:space="preserve">) Comparison of classification accuracy across</w:t>
      </w:r>
      <w:r>
        <w:t xml:space="preserve"> </w:t>
      </w:r>
      <w:r>
        <w:t xml:space="preserve">methods. All classifiers use the same 11-dimensional feature</w:t>
      </w:r>
      <w:r>
        <w:t xml:space="preserve"> </w:t>
      </w:r>
      <w:r>
        <w:t xml:space="preserve">representation (9 duration-normalised ICIs, log-duration,</w:t>
      </w:r>
      <w:r>
        <w:t xml:space="preserve"> </w:t>
      </w:r>
      <w:r>
        <w:t xml:space="preserve">normalised click count) with 80/20 train/test split.</w:t>
      </w:r>
      <w:r>
        <w:t xml:space="preserve"> </w:t>
      </w:r>
    </w:p>
    <w:bookmarkEnd w:id="26"/>
    <w:bookmarkEnd w:id="27"/>
    <w:bookmarkStart w:id="36" w:name="sec:tda"/>
    <w:p>
      <w:pPr>
        <w:pStyle w:val="Heading2"/>
      </w:pPr>
      <w:r>
        <w:t xml:space="preserve">Topological data analysis reveals distinct rhythm attractors</w:t>
      </w:r>
    </w:p>
    <w:p>
      <w:pPr>
        <w:pStyle w:val="FirstParagraph"/>
      </w:pPr>
      <w:r>
        <w:t xml:space="preserve">For each coda type with</w:t>
      </w:r>
      <w:r>
        <w:t xml:space="preserve"> </w:t>
      </w:r>
      <m:oMath>
        <m:r>
          <m:rPr>
            <m:sty m:val="p"/>
          </m:rPr>
          <m:t>≥</m:t>
        </m:r>
        <m:r>
          <m:t>40</m:t>
        </m:r>
      </m:oMath>
      <w:r>
        <w:t xml:space="preserve"> </w:t>
      </w:r>
      <w:r>
        <w:t xml:space="preserve">samples, we constructed an ICI point</w:t>
      </w:r>
      <w:r>
        <w:t xml:space="preserve"> </w:t>
      </w:r>
      <w:r>
        <w:t xml:space="preserve">cloud in</w:t>
      </w:r>
      <w:r>
        <w:t xml:space="preserve"> </w:t>
      </w:r>
      <m:oMath>
        <m:sSup>
          <m:e>
            <m:r>
              <m:rPr>
                <m:scr m:val="double-struck"/>
                <m:sty m:val="p"/>
              </m:rPr>
              <m:t>R</m:t>
            </m:r>
          </m:e>
          <m:sup>
            <m:r>
              <m:t>9</m:t>
            </m:r>
          </m:sup>
        </m:sSup>
      </m:oMath>
      <w:r>
        <w:t xml:space="preserve"> </w:t>
      </w:r>
      <w:r>
        <w:t xml:space="preserve">and computed Vietoris–Rips persistent homology</w:t>
      </w:r>
      <w:r>
        <w:t xml:space="preserve"> </w:t>
      </w:r>
      <w:r>
        <w:t xml:space="preserve">up to dimension 1 using Ripser </w:t>
      </w:r>
      <w:r>
        <w:t xml:space="preserve">. The</w:t>
      </w:r>
      <w:r>
        <w:t xml:space="preserve"> </w:t>
      </w:r>
      <w:r>
        <w:t xml:space="preserve">resulting persistence diagrams (figure </w:t>
      </w:r>
      <w:hyperlink w:anchor="fig:persistence">
        <w:r>
          <w:rPr>
            <w:rStyle w:val="Hyperlink"/>
          </w:rPr>
          <w:t xml:space="preserve">5</w:t>
        </w:r>
      </w:hyperlink>
      <w:r>
        <w:t xml:space="preserve">) revealed</w:t>
      </w:r>
      <w:r>
        <w:t xml:space="preserve"> </w:t>
      </w:r>
      <w:r>
        <w:t xml:space="preserve">systematic differences across rhythm classes:</w:t>
      </w:r>
    </w:p>
    <w:p>
      <w:pPr>
        <w:numPr>
          <w:ilvl w:val="0"/>
          <w:numId w:val="1002"/>
        </w:numPr>
      </w:pPr>
      <w:r>
        <w:rPr>
          <w:b/>
          <w:bCs/>
        </w:rPr>
        <w:t xml:space="preserve">Regular codas</w:t>
      </w:r>
      <w:r>
        <w:t xml:space="preserve"> </w:t>
      </w:r>
      <w:r>
        <w:t xml:space="preserve">(xR) exhibited tight clusters with low</w:t>
      </w:r>
      <w:r>
        <w:t xml:space="preserve"> </w:t>
      </w:r>
      <m:oMath>
        <m:sSub>
          <m:e>
            <m:r>
              <m:t>H</m:t>
            </m:r>
          </m:e>
          <m:sub>
            <m:r>
              <m:t>1</m:t>
            </m:r>
          </m:sub>
        </m:sSub>
      </m:oMath>
      <w:r>
        <w:t xml:space="preserve"> </w:t>
      </w:r>
      <w:r>
        <w:t xml:space="preserve">persistence, reflecting their temporally uniform ICI patterns.</w:t>
      </w:r>
    </w:p>
    <w:p>
      <w:pPr>
        <w:numPr>
          <w:ilvl w:val="0"/>
          <w:numId w:val="1002"/>
        </w:numPr>
      </w:pPr>
      <w:r>
        <w:rPr>
          <w:b/>
          <w:bCs/>
        </w:rPr>
        <w:t xml:space="preserve">Irregular codas</w:t>
      </w:r>
      <w:r>
        <w:t xml:space="preserve"> </w:t>
      </w:r>
      <w:r>
        <w:t xml:space="preserve">(xi) produced higher</w:t>
      </w:r>
      <w:r>
        <w:t xml:space="preserve"> </w:t>
      </w:r>
      <m:oMath>
        <m:sSub>
          <m:e>
            <m:r>
              <m:t>H</m:t>
            </m:r>
          </m:e>
          <m:sub>
            <m:r>
              <m:t>1</m:t>
            </m:r>
          </m:sub>
        </m:sSub>
      </m:oMath>
      <w:r>
        <w:t xml:space="preserve"> </w:t>
      </w:r>
      <w:r>
        <w:t xml:space="preserve">persistence, indicating topological loops in the ICI space consistent</w:t>
      </w:r>
      <w:r>
        <w:t xml:space="preserve"> </w:t>
      </w:r>
      <w:r>
        <w:t xml:space="preserve">with greater timing variability.</w:t>
      </w:r>
    </w:p>
    <w:p>
      <w:pPr>
        <w:numPr>
          <w:ilvl w:val="0"/>
          <w:numId w:val="1002"/>
        </w:numPr>
      </w:pPr>
      <w:r>
        <w:rPr>
          <w:b/>
          <w:bCs/>
        </w:rPr>
        <w:t xml:space="preserve">Compound codas</w:t>
      </w:r>
      <w:r>
        <w:t xml:space="preserve"> </w:t>
      </w:r>
      <w:r>
        <w:t xml:space="preserve">(x+y) showed elevated</w:t>
      </w:r>
      <w:r>
        <w:t xml:space="preserve"> </w:t>
      </w:r>
      <m:oMath>
        <m:sSub>
          <m:e>
            <m:r>
              <m:t>H</m:t>
            </m:r>
          </m:e>
          <m:sub>
            <m:r>
              <m:t>0</m:t>
            </m:r>
          </m:sub>
        </m:sSub>
      </m:oMath>
      <w:r>
        <w:t xml:space="preserve"> </w:t>
      </w:r>
      <w:r>
        <w:t xml:space="preserve">persistence, reflecting multi-component structure in the point cloud.</w:t>
      </w:r>
    </w:p>
    <w:p>
      <w:pPr>
        <w:pStyle w:val="FirstParagraph"/>
      </w:pPr>
      <w:r>
        <w:t xml:space="preserve">These topological signatures are invariant to monotone transformations of</w:t>
      </w:r>
      <w:r>
        <w:t xml:space="preserve"> </w:t>
      </w:r>
      <w:r>
        <w:t xml:space="preserve">the distance metric and thus capture structural properties that</w:t>
      </w:r>
      <w:r>
        <w:t xml:space="preserve"> </w:t>
      </w:r>
      <w:r>
        <w:t xml:space="preserve">Euclidean summary statistics cannot.</w:t>
      </w:r>
    </w:p>
    <w:bookmarkStart w:id="31" w:name="fig:persistence"/>
    <w:p>
      <w:pPr>
        <w:pStyle w:val="CaptionedFigure"/>
      </w:pPr>
      <w:r>
        <w:drawing>
          <wp:inline>
            <wp:extent cx="5334000" cy="3230254"/>
            <wp:effectExtent b="0" l="0" r="0" t="0"/>
            <wp:docPr descr="" title="" id="29" name="Picture"/>
            <a:graphic>
              <a:graphicData uri="http://schemas.openxmlformats.org/drawingml/2006/picture">
                <pic:pic>
                  <pic:nvPicPr>
                    <pic:cNvPr descr="fig5_persistence_diagrams.png" id="30" name="Picture"/>
                    <pic:cNvPicPr>
                      <a:picLocks noChangeArrowheads="1" noChangeAspect="1"/>
                    </pic:cNvPicPr>
                  </pic:nvPicPr>
                  <pic:blipFill>
                    <a:blip r:embed="rId28"/>
                    <a:stretch>
                      <a:fillRect/>
                    </a:stretch>
                  </pic:blipFill>
                  <pic:spPr bwMode="auto">
                    <a:xfrm>
                      <a:off x="0" y="0"/>
                      <a:ext cx="5334000" cy="3230254"/>
                    </a:xfrm>
                    <a:prstGeom prst="rect">
                      <a:avLst/>
                    </a:prstGeom>
                    <a:noFill/>
                    <a:ln w="9525">
                      <a:noFill/>
                      <a:headEnd/>
                      <a:tailEnd/>
                    </a:ln>
                  </pic:spPr>
                </pic:pic>
              </a:graphicData>
            </a:graphic>
          </wp:inline>
        </w:drawing>
      </w:r>
    </w:p>
    <w:p>
      <w:pPr>
        <w:pStyle w:val="ImageCaption"/>
      </w:pPr>
      <w:r>
        <w:t xml:space="preserve"> </w:t>
      </w:r>
      <w:r>
        <w:rPr>
          <w:b/>
          <w:bCs/>
        </w:rPr>
        <w:t xml:space="preserve">Persistence diagrams by coda type.</w:t>
      </w:r>
      <w:r>
        <w:t xml:space="preserve"> </w:t>
      </w:r>
      <w:r>
        <w:t xml:space="preserve">Each panel shows the</w:t>
      </w:r>
      <w:r>
        <w:t xml:space="preserve"> </w:t>
      </w:r>
      <m:oMath>
        <m:sSub>
          <m:e>
            <m:r>
              <m:t>H</m:t>
            </m:r>
          </m:e>
          <m:sub>
            <m:r>
              <m:t>0</m:t>
            </m:r>
          </m:sub>
        </m:sSub>
      </m:oMath>
      <w:r>
        <w:t xml:space="preserve"> </w:t>
      </w:r>
      <w:r>
        <w:t xml:space="preserve">(connected components, blue) and</w:t>
      </w:r>
      <w:r>
        <w:t xml:space="preserve"> </w:t>
      </w:r>
      <m:oMath>
        <m:sSub>
          <m:e>
            <m:r>
              <m:t>H</m:t>
            </m:r>
          </m:e>
          <m:sub>
            <m:r>
              <m:t>1</m:t>
            </m:r>
          </m:sub>
        </m:sSub>
      </m:oMath>
      <w:r>
        <w:t xml:space="preserve"> </w:t>
      </w:r>
      <w:r>
        <w:t xml:space="preserve">(loops, orange) persistence diagrams for one coda type. Points</w:t>
      </w:r>
      <w:r>
        <w:t xml:space="preserve"> </w:t>
      </w:r>
      <w:r>
        <w:t xml:space="preserve">far from the diagonal indicate long-lived topological features.</w:t>
      </w:r>
      <w:r>
        <w:t xml:space="preserve"> </w:t>
      </w:r>
      <w:r>
        <w:t xml:space="preserve">Rhythm classes exhibit systematically different topological</w:t>
      </w:r>
      <w:r>
        <w:t xml:space="preserve"> </w:t>
      </w:r>
      <w:r>
        <w:t xml:space="preserve">complexity.</w:t>
      </w:r>
      <w:r>
        <w:t xml:space="preserve"> </w:t>
      </w:r>
    </w:p>
    <w:bookmarkEnd w:id="31"/>
    <w:bookmarkStart w:id="35" w:name="fig:tda_features"/>
    <w:p>
      <w:pPr>
        <w:pStyle w:val="CaptionedFigure"/>
      </w:pPr>
      <w:r>
        <w:drawing>
          <wp:inline>
            <wp:extent cx="5334000" cy="1874593"/>
            <wp:effectExtent b="0" l="0" r="0" t="0"/>
            <wp:docPr descr="" title="" id="33" name="Picture"/>
            <a:graphic>
              <a:graphicData uri="http://schemas.openxmlformats.org/drawingml/2006/picture">
                <pic:pic>
                  <pic:nvPicPr>
                    <pic:cNvPr descr="fig6_tda_features.png" id="34" name="Picture"/>
                    <pic:cNvPicPr>
                      <a:picLocks noChangeArrowheads="1" noChangeAspect="1"/>
                    </pic:cNvPicPr>
                  </pic:nvPicPr>
                  <pic:blipFill>
                    <a:blip r:embed="rId32"/>
                    <a:stretch>
                      <a:fillRect/>
                    </a:stretch>
                  </pic:blipFill>
                  <pic:spPr bwMode="auto">
                    <a:xfrm>
                      <a:off x="0" y="0"/>
                      <a:ext cx="5334000" cy="1874593"/>
                    </a:xfrm>
                    <a:prstGeom prst="rect">
                      <a:avLst/>
                    </a:prstGeom>
                    <a:noFill/>
                    <a:ln w="9525">
                      <a:noFill/>
                      <a:headEnd/>
                      <a:tailEnd/>
                    </a:ln>
                  </pic:spPr>
                </pic:pic>
              </a:graphicData>
            </a:graphic>
          </wp:inline>
        </w:drawing>
      </w:r>
    </w:p>
    <w:p>
      <w:pPr>
        <w:pStyle w:val="ImageCaption"/>
      </w:pPr>
      <w:r>
        <w:t xml:space="preserve"> </w:t>
      </w:r>
      <w:r>
        <w:rPr>
          <w:b/>
          <w:bCs/>
        </w:rPr>
        <w:t xml:space="preserve">Topological feature summary.</w:t>
      </w:r>
      <w:r>
        <w:t xml:space="preserve"> </w:t>
      </w:r>
      <w:r>
        <w:t xml:space="preserve">(</w:t>
      </w:r>
      <w:r>
        <w:rPr>
          <w:i/>
          <w:iCs/>
        </w:rPr>
        <w:t xml:space="preserve">Left</w:t>
      </w:r>
      <w:r>
        <w:t xml:space="preserve">)</w:t>
      </w:r>
      <w:r>
        <w:t xml:space="preserve"> </w:t>
      </w:r>
      <m:oMath>
        <m:sSub>
          <m:e>
            <m:r>
              <m:t>H</m:t>
            </m:r>
          </m:e>
          <m:sub>
            <m:r>
              <m:t>1</m:t>
            </m:r>
          </m:sub>
        </m:sSub>
      </m:oMath>
      <w:r>
        <w:t xml:space="preserve"> </w:t>
      </w:r>
      <w:r>
        <w:t xml:space="preserve">loop count versus maximum</w:t>
      </w:r>
      <w:r>
        <w:t xml:space="preserve"> </w:t>
      </w:r>
      <m:oMath>
        <m:sSub>
          <m:e>
            <m:r>
              <m:t>H</m:t>
            </m:r>
          </m:e>
          <m:sub>
            <m:r>
              <m:t>1</m:t>
            </m:r>
          </m:sub>
        </m:sSub>
      </m:oMath>
      <w:r>
        <w:t xml:space="preserve"> </w:t>
      </w:r>
      <w:r>
        <w:t xml:space="preserve">lifetime</w:t>
      </w:r>
      <w:r>
        <w:t xml:space="preserve"> </w:t>
      </w:r>
      <w:r>
        <w:t xml:space="preserve">for each coda type, coloured by rhythm class.</w:t>
      </w:r>
      <w:r>
        <w:t xml:space="preserve"> </w:t>
      </w:r>
      <w:r>
        <w:t xml:space="preserve">(</w:t>
      </w:r>
      <w:r>
        <w:rPr>
          <w:i/>
          <w:iCs/>
        </w:rPr>
        <w:t xml:space="preserve">Right</w:t>
      </w:r>
      <w:r>
        <w:t xml:space="preserve">) Total</w:t>
      </w:r>
      <w:r>
        <w:t xml:space="preserve"> </w:t>
      </w:r>
      <m:oMath>
        <m:sSub>
          <m:e>
            <m:r>
              <m:t>H</m:t>
            </m:r>
          </m:e>
          <m:sub>
            <m:r>
              <m:t>1</m:t>
            </m:r>
          </m:sub>
        </m:sSub>
      </m:oMath>
      <w:r>
        <w:t xml:space="preserve"> </w:t>
      </w:r>
      <w:r>
        <w:t xml:space="preserve">persistence ranked by coda type.</w:t>
      </w:r>
      <w:r>
        <w:t xml:space="preserve"> </w:t>
      </w:r>
      <w:r>
        <w:t xml:space="preserve">Irregular and compound types show higher topological complexity.</w:t>
      </w:r>
      <w:r>
        <w:t xml:space="preserve"> </w:t>
      </w:r>
    </w:p>
    <w:bookmarkEnd w:id="35"/>
    <w:bookmarkEnd w:id="36"/>
    <w:bookmarkStart w:id="41" w:name="Xb5f260d5fee8b077bc539d096cac252e0afbdab"/>
    <w:p>
      <w:pPr>
        <w:pStyle w:val="Heading2"/>
      </w:pPr>
      <w:r>
        <w:t xml:space="preserve">SPD manifold analysis of spectral structure</w:t>
      </w:r>
    </w:p>
    <w:p>
      <w:pPr>
        <w:pStyle w:val="FirstParagraph"/>
      </w:pPr>
      <w:r>
        <w:t xml:space="preserve">Frequency-band covariance matrices computed from mel spectrograms of</w:t>
      </w:r>
      <w:r>
        <w:t xml:space="preserve"> </w:t>
      </w:r>
      <w:r>
        <w:t xml:space="preserve">synthesised coda signals are symmetric positive definite (SPD) and</w:t>
      </w:r>
      <w:r>
        <w:t xml:space="preserve"> </w:t>
      </w:r>
      <w:r>
        <w:t xml:space="preserve">reside on a Riemannian manifold. Using the log-Euclidean metric, we</w:t>
      </w:r>
      <w:r>
        <w:t xml:space="preserve"> </w:t>
      </w:r>
      <w:r>
        <w:t xml:space="preserve">extracted SPD features that capture inter-band harmonic correlations</w:t>
      </w:r>
      <w:r>
        <w:t xml:space="preserve"> </w:t>
      </w:r>
      <w:r>
        <w:t xml:space="preserve">(figure </w:t>
      </w:r>
      <w:hyperlink w:anchor="fig:spd">
        <w:r>
          <w:rPr>
            <w:rStyle w:val="Hyperlink"/>
          </w:rPr>
          <w:t xml:space="preserve">7</w:t>
        </w:r>
      </w:hyperlink>
      <w:r>
        <w:t xml:space="preserve">). PCA on SPD features separated coda types with</w:t>
      </w:r>
      <w:r>
        <w:t xml:space="preserve"> </w:t>
      </w:r>
      <w:r>
        <w:t xml:space="preserve">different spectral profiles, and the inter-type SPD distance matrix</w:t>
      </w:r>
      <w:r>
        <w:t xml:space="preserve"> </w:t>
      </w:r>
      <w:r>
        <w:t xml:space="preserve">showed clear cluster structure aligned with the rhythm class taxonomy.</w:t>
      </w:r>
    </w:p>
    <w:bookmarkStart w:id="40" w:name="fig:spd"/>
    <w:p>
      <w:pPr>
        <w:pStyle w:val="CaptionedFigure"/>
      </w:pPr>
      <w:r>
        <w:drawing>
          <wp:inline>
            <wp:extent cx="5334000" cy="2057598"/>
            <wp:effectExtent b="0" l="0" r="0" t="0"/>
            <wp:docPr descr="" title="" id="38" name="Picture"/>
            <a:graphic>
              <a:graphicData uri="http://schemas.openxmlformats.org/drawingml/2006/picture">
                <pic:pic>
                  <pic:nvPicPr>
                    <pic:cNvPr descr="fig7_spd_analysis.png" id="39" name="Picture"/>
                    <pic:cNvPicPr>
                      <a:picLocks noChangeArrowheads="1" noChangeAspect="1"/>
                    </pic:cNvPicPr>
                  </pic:nvPicPr>
                  <pic:blipFill>
                    <a:blip r:embed="rId37"/>
                    <a:stretch>
                      <a:fillRect/>
                    </a:stretch>
                  </pic:blipFill>
                  <pic:spPr bwMode="auto">
                    <a:xfrm>
                      <a:off x="0" y="0"/>
                      <a:ext cx="5334000" cy="2057598"/>
                    </a:xfrm>
                    <a:prstGeom prst="rect">
                      <a:avLst/>
                    </a:prstGeom>
                    <a:noFill/>
                    <a:ln w="9525">
                      <a:noFill/>
                      <a:headEnd/>
                      <a:tailEnd/>
                    </a:ln>
                  </pic:spPr>
                </pic:pic>
              </a:graphicData>
            </a:graphic>
          </wp:inline>
        </w:drawing>
      </w:r>
    </w:p>
    <w:p>
      <w:pPr>
        <w:pStyle w:val="ImageCaption"/>
      </w:pPr>
      <w:r>
        <w:t xml:space="preserve"> </w:t>
      </w:r>
      <w:r>
        <w:rPr>
          <w:b/>
          <w:bCs/>
        </w:rPr>
        <w:t xml:space="preserve">SPD manifold analysis.</w:t>
      </w:r>
      <w:r>
        <w:t xml:space="preserve"> </w:t>
      </w:r>
      <w:r>
        <w:t xml:space="preserve">(</w:t>
      </w:r>
      <w:r>
        <w:rPr>
          <w:i/>
          <w:iCs/>
        </w:rPr>
        <w:t xml:space="preserve">Left</w:t>
      </w:r>
      <w:r>
        <w:t xml:space="preserve">) PCA projection of log-Euclidean SPD covariance</w:t>
      </w:r>
      <w:r>
        <w:t xml:space="preserve"> </w:t>
      </w:r>
      <w:r>
        <w:t xml:space="preserve">features, coloured by coda type. Separation reflects differences</w:t>
      </w:r>
      <w:r>
        <w:t xml:space="preserve"> </w:t>
      </w:r>
      <w:r>
        <w:t xml:space="preserve">in harmonic structure across coda types.</w:t>
      </w:r>
      <w:r>
        <w:t xml:space="preserve"> </w:t>
      </w:r>
      <w:r>
        <w:t xml:space="preserve">(</w:t>
      </w:r>
      <w:r>
        <w:rPr>
          <w:i/>
          <w:iCs/>
        </w:rPr>
        <w:t xml:space="preserve">Right</w:t>
      </w:r>
      <w:r>
        <w:t xml:space="preserve">) Pairwise SPD feature distance between coda types.</w:t>
      </w:r>
      <w:r>
        <w:t xml:space="preserve"> </w:t>
      </w:r>
    </w:p>
    <w:bookmarkEnd w:id="40"/>
    <w:bookmarkEnd w:id="41"/>
    <w:bookmarkStart w:id="46" w:name="sec:dri"/>
    <w:p>
      <w:pPr>
        <w:pStyle w:val="Heading2"/>
      </w:pPr>
      <w:r>
        <w:t xml:space="preserve">Decoder Robustness Index</w:t>
      </w:r>
    </w:p>
    <w:p>
      <w:pPr>
        <w:pStyle w:val="FirstParagraph"/>
      </w:pPr>
      <w:r>
        <w:t xml:space="preserve">The Decoder Robustness Index (DRI) adapts the Bond Index adversarial</w:t>
      </w:r>
      <w:r>
        <w:t xml:space="preserve"> </w:t>
      </w:r>
      <w:r>
        <w:t xml:space="preserve">fuzzing framework to cetacean communication decoders. A simple</w:t>
      </w:r>
      <w:r>
        <w:t xml:space="preserve"> </w:t>
      </w:r>
      <w:r>
        <w:t xml:space="preserve">nearest-centroid ICI decoder was tested against nine parametric acoustic</w:t>
      </w:r>
      <w:r>
        <w:t xml:space="preserve"> </w:t>
      </w:r>
      <w:r>
        <w:t xml:space="preserve">transforms at three intensity levels, plus 15 compositional transform</w:t>
      </w:r>
      <w:r>
        <w:t xml:space="preserve"> </w:t>
      </w:r>
      <w:r>
        <w:t xml:space="preserve">chains (figure </w:t>
      </w:r>
      <w:hyperlink w:anchor="fig:dri">
        <w:r>
          <w:rPr>
            <w:rStyle w:val="Hyperlink"/>
          </w:rPr>
          <w:t xml:space="preserve">8</w:t>
        </w:r>
      </w:hyperlink>
      <w:r>
        <w:t xml:space="preserve">).</w:t>
      </w:r>
    </w:p>
    <w:p>
      <w:pPr>
        <w:pStyle w:val="BodyText"/>
      </w:pPr>
      <w:r>
        <w:t xml:space="preserve">The overall DRI quantifies decoder reliability on a 0–1 scale (lower</w:t>
      </w:r>
      <w:r>
        <w:t xml:space="preserve"> </w:t>
      </w:r>
      <m:oMath>
        <m:r>
          <m:rPr>
            <m:sty m:val="p"/>
          </m:rPr>
          <m:t>=</m:t>
        </m:r>
      </m:oMath>
      <w:r>
        <w:t xml:space="preserve"> </w:t>
      </w:r>
      <w:r>
        <w:t xml:space="preserve">more robust), decomposed into invariant transforms (where a correct</w:t>
      </w:r>
      <w:r>
        <w:t xml:space="preserve"> </w:t>
      </w:r>
      <w:r>
        <w:t xml:space="preserve">decoder should be unaffected) and stress transforms (which may</w:t>
      </w:r>
      <w:r>
        <w:t xml:space="preserve"> </w:t>
      </w:r>
      <w:r>
        <w:t xml:space="preserve">legitimately alter classification). Per-transform sensitivity profiles</w:t>
      </w:r>
      <w:r>
        <w:t xml:space="preserve"> </w:t>
      </w:r>
      <w:r>
        <w:t xml:space="preserve">and adversarial flip thresholds identify specific failure modes.</w:t>
      </w:r>
    </w:p>
    <w:bookmarkStart w:id="45" w:name="fig:dri"/>
    <w:p>
      <w:pPr>
        <w:pStyle w:val="CaptionedFigure"/>
      </w:pPr>
      <w:r>
        <w:drawing>
          <wp:inline>
            <wp:extent cx="5334000" cy="1589993"/>
            <wp:effectExtent b="0" l="0" r="0" t="0"/>
            <wp:docPr descr="" title="" id="43" name="Picture"/>
            <a:graphic>
              <a:graphicData uri="http://schemas.openxmlformats.org/drawingml/2006/picture">
                <pic:pic>
                  <pic:nvPicPr>
                    <pic:cNvPr descr="fig8_dri_results.png" id="44" name="Picture"/>
                    <pic:cNvPicPr>
                      <a:picLocks noChangeArrowheads="1" noChangeAspect="1"/>
                    </pic:cNvPicPr>
                  </pic:nvPicPr>
                  <pic:blipFill>
                    <a:blip r:embed="rId42"/>
                    <a:stretch>
                      <a:fillRect/>
                    </a:stretch>
                  </pic:blipFill>
                  <pic:spPr bwMode="auto">
                    <a:xfrm>
                      <a:off x="0" y="0"/>
                      <a:ext cx="5334000" cy="1589993"/>
                    </a:xfrm>
                    <a:prstGeom prst="rect">
                      <a:avLst/>
                    </a:prstGeom>
                    <a:noFill/>
                    <a:ln w="9525">
                      <a:noFill/>
                      <a:headEnd/>
                      <a:tailEnd/>
                    </a:ln>
                  </pic:spPr>
                </pic:pic>
              </a:graphicData>
            </a:graphic>
          </wp:inline>
        </w:drawing>
      </w:r>
    </w:p>
    <w:p>
      <w:pPr>
        <w:pStyle w:val="ImageCaption"/>
      </w:pPr>
      <w:r>
        <w:t xml:space="preserve"> </w:t>
      </w:r>
      <w:r>
        <w:rPr>
          <w:b/>
          <w:bCs/>
        </w:rPr>
        <w:t xml:space="preserve">Decoder Robustness Index results.</w:t>
      </w:r>
      <w:r>
        <w:t xml:space="preserve"> </w:t>
      </w:r>
      <w:r>
        <w:t xml:space="preserve">(</w:t>
      </w:r>
      <w:r>
        <w:rPr>
          <w:i/>
          <w:iCs/>
        </w:rPr>
        <w:t xml:space="preserve">Left</w:t>
      </w:r>
      <w:r>
        <w:t xml:space="preserve">) Per-transform sensitivity profile: mean omega</w:t>
      </w:r>
      <w:r>
        <w:t xml:space="preserve"> </w:t>
      </w:r>
      <w:r>
        <w:t xml:space="preserve">(semantic distance between baseline and perturbed classifications)</w:t>
      </w:r>
      <w:r>
        <w:t xml:space="preserve"> </w:t>
      </w:r>
      <w:r>
        <w:t xml:space="preserve">at full intensity. Red bars indicate high vulnerability.</w:t>
      </w:r>
      <w:r>
        <w:t xml:space="preserve"> </w:t>
      </w:r>
      <w:r>
        <w:t xml:space="preserve">(</w:t>
      </w:r>
      <w:r>
        <w:rPr>
          <w:i/>
          <w:iCs/>
        </w:rPr>
        <w:t xml:space="preserve">Centre</w:t>
      </w:r>
      <w:r>
        <w:t xml:space="preserve">) Adversarial flip thresholds: the minimal</w:t>
      </w:r>
      <w:r>
        <w:t xml:space="preserve"> </w:t>
      </w:r>
      <w:r>
        <w:t xml:space="preserve">intensity at which each transform causes a classification change.</w:t>
      </w:r>
      <w:r>
        <w:t xml:space="preserve"> </w:t>
      </w:r>
      <w:r>
        <w:t xml:space="preserve">Lower thresholds indicate greater vulnerability.</w:t>
      </w:r>
      <w:r>
        <w:t xml:space="preserve"> </w:t>
      </w:r>
      <w:r>
        <w:t xml:space="preserve">(</w:t>
      </w:r>
      <w:r>
        <w:rPr>
          <w:i/>
          <w:iCs/>
        </w:rPr>
        <w:t xml:space="preserve">Right</w:t>
      </w:r>
      <w:r>
        <w:t xml:space="preserve">) DRI gauge showing the overall decoder robustness</w:t>
      </w:r>
      <w:r>
        <w:t xml:space="preserve"> </w:t>
      </w:r>
      <w:r>
        <w:t xml:space="preserve">score.</w:t>
      </w:r>
      <w:r>
        <w:t xml:space="preserve"> </w:t>
      </w:r>
    </w:p>
    <w:bookmarkEnd w:id="45"/>
    <w:bookmarkEnd w:id="46"/>
    <w:bookmarkStart w:id="51" w:name="social-unit-dialect-structure"/>
    <w:p>
      <w:pPr>
        <w:pStyle w:val="Heading2"/>
      </w:pPr>
      <w:r>
        <w:t xml:space="preserve">Social unit dialect structure</w:t>
      </w:r>
    </w:p>
    <w:p>
      <w:pPr>
        <w:pStyle w:val="FirstParagraph"/>
      </w:pPr>
      <w:r>
        <w:t xml:space="preserve">To test whether the Poincaré embedding captures dialect-level</w:t>
      </w:r>
      <w:r>
        <w:t xml:space="preserve"> </w:t>
      </w:r>
      <w:r>
        <w:t xml:space="preserve">structure, we embedded individual codas into the ball and coloured</w:t>
      </w:r>
      <w:r>
        <w:t xml:space="preserve"> </w:t>
      </w:r>
      <w:r>
        <w:t xml:space="preserve">them by social unit (figure </w:t>
      </w:r>
      <w:hyperlink w:anchor="fig:dialects">
        <w:r>
          <w:rPr>
            <w:rStyle w:val="Hyperlink"/>
          </w:rPr>
          <w:t xml:space="preserve">9</w:t>
        </w:r>
      </w:hyperlink>
      <w:r>
        <w:t xml:space="preserve">). Silhouette scores</w:t>
      </w:r>
      <w:r>
        <w:t xml:space="preserve"> </w:t>
      </w:r>
      <w:r>
        <w:t xml:space="preserve">quantified within-unit versus between-unit clustering in both the</w:t>
      </w:r>
      <w:r>
        <w:t xml:space="preserve"> </w:t>
      </w:r>
      <w:r>
        <w:t xml:space="preserve">Poincaré and Euclidean feature spaces. Codas from the same social</w:t>
      </w:r>
      <w:r>
        <w:t xml:space="preserve"> </w:t>
      </w:r>
      <w:r>
        <w:t xml:space="preserve">unit formed tighter clusters on the Poincaré ball, consistent with</w:t>
      </w:r>
      <w:r>
        <w:t xml:space="preserve"> </w:t>
      </w:r>
      <w:r>
        <w:t xml:space="preserve">the hypothesis that hyperbolic geometry captures hierarchical dialect</w:t>
      </w:r>
      <w:r>
        <w:t xml:space="preserve"> </w:t>
      </w:r>
      <w:r>
        <w:t xml:space="preserve">structure that Euclidean representations attenuate.</w:t>
      </w:r>
    </w:p>
    <w:bookmarkStart w:id="50" w:name="fig:dialects"/>
    <w:p>
      <w:pPr>
        <w:pStyle w:val="CaptionedFigure"/>
      </w:pPr>
      <w:r>
        <w:drawing>
          <wp:inline>
            <wp:extent cx="5334000" cy="2319617"/>
            <wp:effectExtent b="0" l="0" r="0" t="0"/>
            <wp:docPr descr="" title="" id="48" name="Picture"/>
            <a:graphic>
              <a:graphicData uri="http://schemas.openxmlformats.org/drawingml/2006/picture">
                <pic:pic>
                  <pic:nvPicPr>
                    <pic:cNvPr descr="fig10_social_units.png" id="49" name="Picture"/>
                    <pic:cNvPicPr>
                      <a:picLocks noChangeArrowheads="1" noChangeAspect="1"/>
                    </pic:cNvPicPr>
                  </pic:nvPicPr>
                  <pic:blipFill>
                    <a:blip r:embed="rId47"/>
                    <a:stretch>
                      <a:fillRect/>
                    </a:stretch>
                  </pic:blipFill>
                  <pic:spPr bwMode="auto">
                    <a:xfrm>
                      <a:off x="0" y="0"/>
                      <a:ext cx="5334000" cy="2319617"/>
                    </a:xfrm>
                    <a:prstGeom prst="rect">
                      <a:avLst/>
                    </a:prstGeom>
                    <a:noFill/>
                    <a:ln w="9525">
                      <a:noFill/>
                      <a:headEnd/>
                      <a:tailEnd/>
                    </a:ln>
                  </pic:spPr>
                </pic:pic>
              </a:graphicData>
            </a:graphic>
          </wp:inline>
        </w:drawing>
      </w:r>
    </w:p>
    <w:p>
      <w:pPr>
        <w:pStyle w:val="ImageCaption"/>
      </w:pPr>
      <w:r>
        <w:t xml:space="preserve"> </w:t>
      </w:r>
      <w:r>
        <w:rPr>
          <w:b/>
          <w:bCs/>
        </w:rPr>
        <w:t xml:space="preserve">Social unit dialect structure on the Poincaré ball.</w:t>
      </w:r>
      <w:r>
        <w:t xml:space="preserve"> </w:t>
      </w:r>
      <w:r>
        <w:t xml:space="preserve">(</w:t>
      </w:r>
      <w:r>
        <w:rPr>
          <w:i/>
          <w:iCs/>
        </w:rPr>
        <w:t xml:space="preserve">Left</w:t>
      </w:r>
      <w:r>
        <w:t xml:space="preserve">) Individual codas coloured by coda type.</w:t>
      </w:r>
      <w:r>
        <w:t xml:space="preserve"> </w:t>
      </w:r>
      <w:r>
        <w:t xml:space="preserve">(</w:t>
      </w:r>
      <w:r>
        <w:rPr>
          <w:i/>
          <w:iCs/>
        </w:rPr>
        <w:t xml:space="preserve">Right</w:t>
      </w:r>
      <w:r>
        <w:t xml:space="preserve">) The same embeddings coloured by social unit.</w:t>
      </w:r>
      <w:r>
        <w:t xml:space="preserve"> </w:t>
      </w:r>
      <w:r>
        <w:t xml:space="preserve">Silhouette scores quantify clustering quality in each</w:t>
      </w:r>
      <w:r>
        <w:t xml:space="preserve"> </w:t>
      </w:r>
      <w:r>
        <w:t xml:space="preserve">representation.</w:t>
      </w:r>
      <w:r>
        <w:t xml:space="preserve"> </w:t>
      </w:r>
    </w:p>
    <w:bookmarkEnd w:id="50"/>
    <w:bookmarkEnd w:id="51"/>
    <w:bookmarkStart w:id="60" w:name="sec:fuzz"/>
    <w:p>
      <w:pPr>
        <w:pStyle w:val="Heading2"/>
      </w:pPr>
      <w:r>
        <w:t xml:space="preserve">Adversarial perturbation as a phonetic boundary discovery tool</w:t>
      </w:r>
    </w:p>
    <w:p>
      <w:pPr>
        <w:pStyle w:val="FirstParagraph"/>
      </w:pPr>
      <w:r>
        <w:t xml:space="preserve">Beyond robustness evaluation, we used parametric perturbation as an</w:t>
      </w:r>
      <w:r>
        <w:t xml:space="preserve"> </w:t>
      </w:r>
      <w:r>
        <w:t xml:space="preserve">instrument for</w:t>
      </w:r>
      <w:r>
        <w:t xml:space="preserve"> </w:t>
      </w:r>
      <w:r>
        <w:rPr>
          <w:i/>
          <w:iCs/>
        </w:rPr>
        <w:t xml:space="preserve">discovering</w:t>
      </w:r>
      <w:r>
        <w:t xml:space="preserve"> </w:t>
      </w:r>
      <w:r>
        <w:t xml:space="preserve">phonetic structure. By applying all</w:t>
      </w:r>
      <w:r>
        <w:t xml:space="preserve"> </w:t>
      </w:r>
      <w:r>
        <w:t xml:space="preserve">nine acoustic transforms at 11 graduated intensity levels to</w:t>
      </w:r>
      <w:r>
        <w:t xml:space="preserve"> </w:t>
      </w:r>
      <w:r>
        <w:t xml:space="preserve">synthesised coda signals and recording which perturbations caused</w:t>
      </w:r>
      <w:r>
        <w:t xml:space="preserve"> </w:t>
      </w:r>
      <w:r>
        <w:t xml:space="preserve">classification boundary crossings, we mapped the phonetic decision</w:t>
      </w:r>
      <w:r>
        <w:t xml:space="preserve"> </w:t>
      </w:r>
      <w:r>
        <w:t xml:space="preserve">boundaries of the coda system (figure </w:t>
      </w:r>
      <w:hyperlink w:anchor="fig:fuzz">
        <w:r>
          <w:rPr>
            <w:rStyle w:val="Hyperlink"/>
          </w:rPr>
          <w:t xml:space="preserve">10</w:t>
        </w:r>
      </w:hyperlink>
      <w:r>
        <w:t xml:space="preserve">).</w:t>
      </w:r>
    </w:p>
    <w:bookmarkStart w:id="52" w:name="transform-sensitivity-spectrum"/>
    <w:p>
      <w:pPr>
        <w:pStyle w:val="Heading3"/>
      </w:pPr>
      <w:r>
        <w:t xml:space="preserve">Transform sensitivity spectrum</w:t>
      </w:r>
    </w:p>
    <w:p>
      <w:pPr>
        <w:pStyle w:val="FirstParagraph"/>
      </w:pPr>
      <w:r>
        <w:t xml:space="preserve">Click dropout caused the highest boundary crossing rate (50% at full</w:t>
      </w:r>
      <w:r>
        <w:t xml:space="preserve"> </w:t>
      </w:r>
      <w:r>
        <w:t xml:space="preserve">intensity), confirming that individual clicks are the primary</w:t>
      </w:r>
      <w:r>
        <w:t xml:space="preserve"> </w:t>
      </w:r>
      <w:r>
        <w:t xml:space="preserve">information-carrying elements. Time shift, despite being theoretically</w:t>
      </w:r>
      <w:r>
        <w:t xml:space="preserve"> </w:t>
      </w:r>
      <w:r>
        <w:t xml:space="preserve">invariant for a correct decoder, caused 40% crossings, exposing decoder</w:t>
      </w:r>
      <w:r>
        <w:t xml:space="preserve"> </w:t>
      </w:r>
      <w:r>
        <w:t xml:space="preserve">vulnerability. Multipath echo and spectral mask caused</w:t>
      </w:r>
      <w:r>
        <w:t xml:space="preserve"> </w:t>
      </w:r>
      <m:oMath>
        <m:r>
          <m:rPr>
            <m:sty m:val="p"/>
          </m:rPr>
          <m:t>&lt;</m:t>
        </m:r>
        <m:r>
          <m:t>2</m:t>
        </m:r>
        <m:r>
          <m:rPr>
            <m:sty m:val="p"/>
          </m:rPr>
          <m:t>%</m:t>
        </m:r>
      </m:oMath>
      <w:r>
        <w:t xml:space="preserve"> </w:t>
      </w:r>
      <w:r>
        <w:t xml:space="preserve">crossings,</w:t>
      </w:r>
      <w:r>
        <w:t xml:space="preserve"> </w:t>
      </w:r>
      <w:r>
        <w:t xml:space="preserve">suggesting these acoustic dimensions carry minimal semantic content in</w:t>
      </w:r>
      <w:r>
        <w:t xml:space="preserve"> </w:t>
      </w:r>
      <w:r>
        <w:t xml:space="preserve">the ICI-based representation.</w:t>
      </w:r>
    </w:p>
    <w:bookmarkEnd w:id="52"/>
    <w:bookmarkStart w:id="53" w:name="phonetic-boundary-asymmetry"/>
    <w:p>
      <w:pPr>
        <w:pStyle w:val="Heading3"/>
      </w:pPr>
      <w:r>
        <w:t xml:space="preserve">Phonetic boundary asymmetry</w:t>
      </w:r>
    </w:p>
    <w:p>
      <w:pPr>
        <w:pStyle w:val="FirstParagraph"/>
      </w:pPr>
      <w:r>
        <w:t xml:space="preserve">The phonetic neighbourhood map revealed a mean boundary asymmetry of</w:t>
      </w:r>
      <w:r>
        <w:t xml:space="preserve"> </w:t>
      </w:r>
      <w:r>
        <w:t xml:space="preserve">0.87 (on a 0–1 scale where 0 indicates symmetric and 1 indicates</w:t>
      </w:r>
      <w:r>
        <w:t xml:space="preserve"> </w:t>
      </w:r>
      <w:r>
        <w:t xml:space="preserve">unidirectional transitions). For example, 5R3</w:t>
      </w:r>
      <w:r>
        <w:t xml:space="preserve"> </w:t>
      </w:r>
      <m:oMath>
        <m:r>
          <m:rPr>
            <m:sty m:val="p"/>
          </m:rPr>
          <m:t>→</m:t>
        </m:r>
      </m:oMath>
      <w:r>
        <w:t xml:space="preserve"> </w:t>
      </w:r>
      <w:r>
        <w:t xml:space="preserve">4R2 exhibited 223</w:t>
      </w:r>
      <w:r>
        <w:t xml:space="preserve"> </w:t>
      </w:r>
      <w:r>
        <w:t xml:space="preserve">crossings while 4R2</w:t>
      </w:r>
      <w:r>
        <w:t xml:space="preserve"> </w:t>
      </w:r>
      <m:oMath>
        <m:r>
          <m:rPr>
            <m:sty m:val="p"/>
          </m:rPr>
          <m:t>→</m:t>
        </m:r>
      </m:oMath>
      <w:r>
        <w:t xml:space="preserve"> </w:t>
      </w:r>
      <w:r>
        <w:t xml:space="preserve">5R3 exhibited 0. This asymmetry is</w:t>
      </w:r>
      <w:r>
        <w:t xml:space="preserve"> </w:t>
      </w:r>
      <w:r>
        <w:t xml:space="preserve">reminiscent of directional vowel chain shifts in human phonology, where</w:t>
      </w:r>
      <w:r>
        <w:t xml:space="preserve"> </w:t>
      </w:r>
      <w:r>
        <w:t xml:space="preserve">perturbation-induced transitions favour specific directions.</w:t>
      </w:r>
    </w:p>
    <w:bookmarkEnd w:id="53"/>
    <w:bookmarkStart w:id="54" w:name="per-type-robustness"/>
    <w:p>
      <w:pPr>
        <w:pStyle w:val="Heading3"/>
      </w:pPr>
      <w:r>
        <w:t xml:space="preserve">Per-type robustness</w:t>
      </w:r>
    </w:p>
    <w:p>
      <w:pPr>
        <w:pStyle w:val="FirstParagraph"/>
      </w:pPr>
      <w:r>
        <w:t xml:space="preserve">Irregular codas exhibited the highest mean activation threshold (0.944),</w:t>
      </w:r>
      <w:r>
        <w:t xml:space="preserve"> </w:t>
      </w:r>
      <w:r>
        <w:t xml:space="preserve">while compound codas were least robust (0.800). This ordering suggests</w:t>
      </w:r>
      <w:r>
        <w:t xml:space="preserve"> </w:t>
      </w:r>
      <w:r>
        <w:t xml:space="preserve">that temporal irregularity occupies a wider phonetic territory in</w:t>
      </w:r>
      <w:r>
        <w:t xml:space="preserve"> </w:t>
      </w:r>
      <w:r>
        <w:t xml:space="preserve">acoustic space.</w:t>
      </w:r>
    </w:p>
    <w:bookmarkEnd w:id="54"/>
    <w:bookmarkStart w:id="59" w:name="channel-capacity-estimate"/>
    <w:p>
      <w:pPr>
        <w:pStyle w:val="Heading3"/>
      </w:pPr>
      <w:r>
        <w:t xml:space="preserve">Channel capacity estimate</w:t>
      </w:r>
    </w:p>
    <w:p>
      <w:pPr>
        <w:pStyle w:val="FirstParagraph"/>
      </w:pPr>
      <w:r>
        <w:t xml:space="preserve">All eight tested coda types remained well-separated under perturbation</w:t>
      </w:r>
      <w:r>
        <w:t xml:space="preserve"> </w:t>
      </w:r>
      <w:r>
        <w:t xml:space="preserve">(activation threshold</w:t>
      </w:r>
      <w:r>
        <w:t xml:space="preserve"> </w:t>
      </w:r>
      <m:oMath>
        <m:r>
          <m:rPr>
            <m:sty m:val="p"/>
          </m:rPr>
          <m:t>&gt;</m:t>
        </m:r>
        <m:r>
          <m:t>0.5</m:t>
        </m:r>
      </m:oMath>
      <w:r>
        <w:t xml:space="preserve">), yielding an empirical channel capacity</w:t>
      </w:r>
      <w:r>
        <w:t xml:space="preserve"> </w:t>
      </w:r>
      <w:r>
        <w:t xml:space="preserve">estimate of</w:t>
      </w:r>
      <w:r>
        <w:t xml:space="preserve"> </w:t>
      </w:r>
      <m:oMath>
        <m:sSub>
          <m:e>
            <m:r>
              <m:rPr>
                <m:sty m:val="p"/>
              </m:rPr>
              <m:t>log</m:t>
            </m:r>
          </m:e>
          <m:sub>
            <m:r>
              <m:t>2</m:t>
            </m:r>
          </m:sub>
        </m:sSub>
        <m:r>
          <m:rPr>
            <m:sty m:val="p"/>
          </m:rPr>
          <m:t>(</m:t>
        </m:r>
        <m:r>
          <m:t>8</m:t>
        </m:r>
        <m:r>
          <m:rPr>
            <m:sty m:val="p"/>
          </m:rPr>
          <m:t>)</m:t>
        </m:r>
        <m:r>
          <m:rPr>
            <m:sty m:val="p"/>
          </m:rPr>
          <m:t>=</m:t>
        </m:r>
        <m:r>
          <m:t>3.0</m:t>
        </m:r>
      </m:oMath>
      <w:r>
        <w:t xml:space="preserve"> </w:t>
      </w:r>
      <w:r>
        <w:t xml:space="preserve">bits per coda. This exceeds the unigram</w:t>
      </w:r>
      <w:r>
        <w:t xml:space="preserve"> </w:t>
      </w:r>
      <w:r>
        <w:t xml:space="preserve">entropy of the rhythm distribution alone (</w:t>
      </w:r>
      <m:oMath>
        <m:r>
          <m:t>H</m:t>
        </m:r>
        <m:r>
          <m:rPr>
            <m:sty m:val="p"/>
          </m:rPr>
          <m:t>(</m:t>
        </m:r>
        <m:r>
          <m:t>R</m:t>
        </m:r>
        <m:r>
          <m:rPr>
            <m:sty m:val="p"/>
          </m:rPr>
          <m:t>)</m:t>
        </m:r>
        <m:r>
          <m:rPr>
            <m:sty m:val="p"/>
          </m:rPr>
          <m:t>=</m:t>
        </m:r>
        <m:r>
          <m:t>2.1</m:t>
        </m:r>
      </m:oMath>
      <w:r>
        <w:t xml:space="preserve"> </w:t>
      </w:r>
      <w:r>
        <w:t xml:space="preserve">bits), consistent</w:t>
      </w:r>
      <w:r>
        <w:t xml:space="preserve"> </w:t>
      </w:r>
      <w:r>
        <w:t xml:space="preserve">with multi-feature information encoding across the combinatorial</w:t>
      </w:r>
      <w:r>
        <w:t xml:space="preserve"> </w:t>
      </w:r>
      <w:r>
        <w:t xml:space="preserve">space identified by</w:t>
      </w:r>
      <w:r>
        <w:t xml:space="preserve"> </w:t>
      </w:r>
      <w:r>
        <w:t xml:space="preserve">.</w:t>
      </w:r>
    </w:p>
    <w:bookmarkStart w:id="58" w:name="fig:fuzz"/>
    <w:p>
      <w:pPr>
        <w:pStyle w:val="CaptionedFigure"/>
      </w:pPr>
      <w:r>
        <w:drawing>
          <wp:inline>
            <wp:extent cx="5334000" cy="4109509"/>
            <wp:effectExtent b="0" l="0" r="0" t="0"/>
            <wp:docPr descr="" title="" id="56" name="Picture"/>
            <a:graphic>
              <a:graphicData uri="http://schemas.openxmlformats.org/drawingml/2006/picture">
                <pic:pic>
                  <pic:nvPicPr>
                    <pic:cNvPr descr="fig11_fuzz_discovery.png" id="57" name="Picture"/>
                    <pic:cNvPicPr>
                      <a:picLocks noChangeArrowheads="1" noChangeAspect="1"/>
                    </pic:cNvPicPr>
                  </pic:nvPicPr>
                  <pic:blipFill>
                    <a:blip r:embed="rId55"/>
                    <a:stretch>
                      <a:fillRect/>
                    </a:stretch>
                  </pic:blipFill>
                  <pic:spPr bwMode="auto">
                    <a:xfrm>
                      <a:off x="0" y="0"/>
                      <a:ext cx="5334000" cy="4109509"/>
                    </a:xfrm>
                    <a:prstGeom prst="rect">
                      <a:avLst/>
                    </a:prstGeom>
                    <a:noFill/>
                    <a:ln w="9525">
                      <a:noFill/>
                      <a:headEnd/>
                      <a:tailEnd/>
                    </a:ln>
                  </pic:spPr>
                </pic:pic>
              </a:graphicData>
            </a:graphic>
          </wp:inline>
        </w:drawing>
      </w:r>
    </w:p>
    <w:p>
      <w:pPr>
        <w:pStyle w:val="ImageCaption"/>
      </w:pPr>
      <w:r>
        <w:t xml:space="preserve"> </w:t>
      </w:r>
      <w:r>
        <w:rPr>
          <w:b/>
          <w:bCs/>
        </w:rPr>
        <w:t xml:space="preserve">Adversarial perturbation as phonetic boundary discovery.</w:t>
      </w:r>
      <w:r>
        <w:t xml:space="preserve"> </w:t>
      </w:r>
      <w:r>
        <w:t xml:space="preserve">(</w:t>
      </w:r>
      <w:r>
        <w:rPr>
          <w:i/>
          <w:iCs/>
        </w:rPr>
        <w:t xml:space="preserve">A</w:t>
      </w:r>
      <w:r>
        <w:t xml:space="preserve">) Transform sensitivity spectrum: boundary crossing</w:t>
      </w:r>
      <w:r>
        <w:t xml:space="preserve"> </w:t>
      </w:r>
      <w:r>
        <w:t xml:space="preserve">rate at full intensity for each acoustic transform. Blue bars</w:t>
      </w:r>
      <w:r>
        <w:t xml:space="preserve"> </w:t>
      </w:r>
      <w:r>
        <w:t xml:space="preserve">denote transforms under which a correct decoder should be</w:t>
      </w:r>
      <w:r>
        <w:t xml:space="preserve"> </w:t>
      </w:r>
      <w:r>
        <w:t xml:space="preserve">invariant; coral bars denote stress transforms.</w:t>
      </w:r>
      <w:r>
        <w:t xml:space="preserve"> </w:t>
      </w:r>
      <w:r>
        <w:t xml:space="preserve">(</w:t>
      </w:r>
      <w:r>
        <w:rPr>
          <w:i/>
          <w:iCs/>
        </w:rPr>
        <w:t xml:space="preserve">B</w:t>
      </w:r>
      <w:r>
        <w:t xml:space="preserve">) Phonetic neighbourhood map: when perturbation causes</w:t>
      </w:r>
      <w:r>
        <w:t xml:space="preserve"> </w:t>
      </w:r>
      <w:r>
        <w:t xml:space="preserve">misclassification, the cell indicates the probability of</w:t>
      </w:r>
      <w:r>
        <w:t xml:space="preserve"> </w:t>
      </w:r>
      <w:r>
        <w:t xml:space="preserve">transitioning to each target type. Note the strong asymmetry.</w:t>
      </w:r>
      <w:r>
        <w:t xml:space="preserve"> </w:t>
      </w:r>
      <w:r>
        <w:t xml:space="preserve">(</w:t>
      </w:r>
      <w:r>
        <w:rPr>
          <w:i/>
          <w:iCs/>
        </w:rPr>
        <w:t xml:space="preserve">C</w:t>
      </w:r>
      <w:r>
        <w:t xml:space="preserve">) Phonetic territory width by coda type: higher</w:t>
      </w:r>
      <w:r>
        <w:t xml:space="preserve"> </w:t>
      </w:r>
      <w:r>
        <w:t xml:space="preserve">activation threshold indicates greater acoustic distinctiveness.</w:t>
      </w:r>
      <w:r>
        <w:t xml:space="preserve"> </w:t>
      </w:r>
      <w:r>
        <w:t xml:space="preserve">(</w:t>
      </w:r>
      <w:r>
        <w:rPr>
          <w:i/>
          <w:iCs/>
        </w:rPr>
        <w:t xml:space="preserve">D</w:t>
      </w:r>
      <w:r>
        <w:t xml:space="preserve">) Feature drift curves for the three most disruptive</w:t>
      </w:r>
      <w:r>
        <w:t xml:space="preserve"> </w:t>
      </w:r>
      <w:r>
        <w:t xml:space="preserve">transforms.</w:t>
      </w:r>
      <w:r>
        <w:t xml:space="preserve"> </w:t>
      </w:r>
    </w:p>
    <w:bookmarkEnd w:id="58"/>
    <w:bookmarkEnd w:id="59"/>
    <w:bookmarkEnd w:id="60"/>
    <w:bookmarkStart w:id="70" w:name="sec:linguistic"/>
    <w:p>
      <w:pPr>
        <w:pStyle w:val="Heading2"/>
      </w:pPr>
      <w:r>
        <w:t xml:space="preserve">Linguistic universals in coda communication</w:t>
      </w:r>
    </w:p>
    <w:p>
      <w:pPr>
        <w:pStyle w:val="FirstParagraph"/>
      </w:pPr>
      <w:r>
        <w:t xml:space="preserve">Analysis of the full DSWP dataset and the associated exchange-level</w:t>
      </w:r>
      <w:r>
        <w:t xml:space="preserve"> </w:t>
      </w:r>
      <w:r>
        <w:t xml:space="preserve">dialogues data revealed multiple statistical universals of natural</w:t>
      </w:r>
      <w:r>
        <w:t xml:space="preserve"> </w:t>
      </w:r>
      <w:r>
        <w:t xml:space="preserve">language (figure </w:t>
      </w:r>
      <w:hyperlink w:anchor="fig:linguistic">
        <w:r>
          <w:rPr>
            <w:rStyle w:val="Hyperlink"/>
          </w:rPr>
          <w:t xml:space="preserve">11</w:t>
        </w:r>
      </w:hyperlink>
      <w:r>
        <w:t xml:space="preserve">).</w:t>
      </w:r>
    </w:p>
    <w:bookmarkStart w:id="61" w:name="menzeraths-law"/>
    <w:p>
      <w:pPr>
        <w:pStyle w:val="Heading3"/>
      </w:pPr>
      <w:r>
        <w:t xml:space="preserve">Menzerath’s law</w:t>
      </w:r>
    </w:p>
    <w:p>
      <w:pPr>
        <w:pStyle w:val="FirstParagraph"/>
      </w:pPr>
      <w:r>
        <w:t xml:space="preserve">Longer codas (more clicks) had shorter mean ICIs (Spearman</w:t>
      </w:r>
      <w:r>
        <w:t xml:space="preserve"> </w:t>
      </w:r>
      <m:oMath>
        <m:r>
          <m:t>r</m:t>
        </m:r>
        <m:r>
          <m:rPr>
            <m:sty m:val="p"/>
          </m:rPr>
          <m:t>=</m:t>
        </m:r>
        <m:r>
          <m:rPr>
            <m:sty m:val="p"/>
          </m:rPr>
          <m:t>−</m:t>
        </m:r>
        <m:r>
          <m:t>0.269</m:t>
        </m:r>
      </m:oMath>
      <w:r>
        <w:t xml:space="preserve">,</w:t>
      </w:r>
      <w:r>
        <w:t xml:space="preserve"> </w:t>
      </w:r>
      <m:oMath>
        <m:r>
          <m:t>p</m:t>
        </m:r>
        <m:r>
          <m:rPr>
            <m:sty m:val="p"/>
          </m:rPr>
          <m:t>&lt;</m:t>
        </m:r>
        <m:sSup>
          <m:e>
            <m:r>
              <m:t>10</m:t>
            </m:r>
          </m:e>
          <m:sup>
            <m:r>
              <m:rPr>
                <m:sty m:val="p"/>
              </m:rPr>
              <m:t>−</m:t>
            </m:r>
            <m:r>
              <m:t>144</m:t>
            </m:r>
          </m:sup>
        </m:sSup>
      </m:oMath>
      <w:r>
        <w:t xml:space="preserve">,</w:t>
      </w:r>
      <w:r>
        <w:t xml:space="preserve"> </w:t>
      </w:r>
      <m:oMath>
        <m:r>
          <m:t>n</m:t>
        </m:r>
        <m:r>
          <m:rPr>
            <m:sty m:val="p"/>
          </m:rPr>
          <m:t>=</m:t>
        </m:r>
        <m:r>
          <m:t>8</m:t>
        </m:r>
        <m:r>
          <m:rPr>
            <m:sty m:val="p"/>
          </m:rPr>
          <m:t>,</m:t>
        </m:r>
        <m:r>
          <m:t>719</m:t>
        </m:r>
      </m:oMath>
      <w:r>
        <w:t xml:space="preserve">), confirming the linguistic universal</w:t>
      </w:r>
      <w:r>
        <w:t xml:space="preserve"> </w:t>
      </w:r>
      <w:r>
        <w:t xml:space="preserve">that longer constructs are composed of shorter constituents. This result</w:t>
      </w:r>
      <w:r>
        <w:t xml:space="preserve"> </w:t>
      </w:r>
      <w:r>
        <w:t xml:space="preserve">is consistent with the cross-species meta-analysis</w:t>
      </w:r>
      <w:r>
        <w:t xml:space="preserve"> </w:t>
      </w:r>
      <w:r>
        <w:t xml:space="preserve">of </w:t>
      </w:r>
      <w:r>
        <w:t xml:space="preserve">.</w:t>
      </w:r>
    </w:p>
    <w:bookmarkEnd w:id="61"/>
    <w:bookmarkStart w:id="62" w:name="zipfs-law"/>
    <w:p>
      <w:pPr>
        <w:pStyle w:val="Heading3"/>
      </w:pPr>
      <w:r>
        <w:t xml:space="preserve">Zipf’s law</w:t>
      </w:r>
    </w:p>
    <w:p>
      <w:pPr>
        <w:pStyle w:val="FirstParagraph"/>
      </w:pPr>
      <w:r>
        <w:t xml:space="preserve">The rank-frequency distribution of coda types followed a power law with</w:t>
      </w:r>
      <w:r>
        <w:t xml:space="preserve"> </w:t>
      </w:r>
      <w:r>
        <w:t xml:space="preserve">exponent</w:t>
      </w:r>
      <w:r>
        <w:t xml:space="preserve"> </w:t>
      </w:r>
      <m:oMath>
        <m:r>
          <m:t>α</m:t>
        </m:r>
        <m:r>
          <m:rPr>
            <m:sty m:val="p"/>
          </m:rPr>
          <m:t>=</m:t>
        </m:r>
        <m:r>
          <m:t>1.44</m:t>
        </m:r>
      </m:oMath>
      <w:r>
        <w:t xml:space="preserve">, steeper than the</w:t>
      </w:r>
      <w:r>
        <w:t xml:space="preserve"> </w:t>
      </w:r>
      <m:oMath>
        <m:r>
          <m:t>α</m:t>
        </m:r>
        <m:r>
          <m:rPr>
            <m:sty m:val="p"/>
          </m:rPr>
          <m:t>≈</m:t>
        </m:r>
        <m:r>
          <m:t>1.0</m:t>
        </m:r>
      </m:oMath>
      <w:r>
        <w:t xml:space="preserve"> </w:t>
      </w:r>
      <w:r>
        <w:t xml:space="preserve">typical</w:t>
      </w:r>
      <w:r>
        <w:t xml:space="preserve"> </w:t>
      </w:r>
      <w:r>
        <w:t xml:space="preserve">of human language, indicating a more skewed distribution dominated by a</w:t>
      </w:r>
      <w:r>
        <w:t xml:space="preserve"> </w:t>
      </w:r>
      <w:r>
        <w:t xml:space="preserve">few high-frequency types (1+1+3, 5R1, 5R3). Zipf’s law of abbreviation</w:t>
      </w:r>
      <w:r>
        <w:t xml:space="preserve"> </w:t>
      </w:r>
      <w:r>
        <w:t xml:space="preserve">(negative correlation between frequency and duration) was not</w:t>
      </w:r>
      <w:r>
        <w:t xml:space="preserve"> </w:t>
      </w:r>
      <w:r>
        <w:t xml:space="preserve">statistically significant at the type level (</w:t>
      </w:r>
      <m:oMath>
        <m:r>
          <m:t>r</m:t>
        </m:r>
        <m:r>
          <m:rPr>
            <m:sty m:val="p"/>
          </m:rPr>
          <m:t>=</m:t>
        </m:r>
        <m:r>
          <m:rPr>
            <m:sty m:val="p"/>
          </m:rPr>
          <m:t>−</m:t>
        </m:r>
        <m:r>
          <m:t>0.129</m:t>
        </m:r>
      </m:oMath>
      <w:r>
        <w:t xml:space="preserve">,</w:t>
      </w:r>
      <w:r>
        <w:t xml:space="preserve"> </w:t>
      </w:r>
      <m:oMath>
        <m:r>
          <m:t>p</m:t>
        </m:r>
        <m:r>
          <m:rPr>
            <m:sty m:val="p"/>
          </m:rPr>
          <m:t>=</m:t>
        </m:r>
        <m:r>
          <m:t>0.50</m:t>
        </m:r>
      </m:oMath>
      <w:r>
        <w:t xml:space="preserve">),</w:t>
      </w:r>
      <w:r>
        <w:t xml:space="preserve"> </w:t>
      </w:r>
      <w:r>
        <w:t xml:space="preserve">though this may reflect the small number of distinct types (28) rather</w:t>
      </w:r>
      <w:r>
        <w:t xml:space="preserve"> </w:t>
      </w:r>
      <w:r>
        <w:t xml:space="preserve">than an absence of the effect.</w:t>
      </w:r>
    </w:p>
    <w:bookmarkEnd w:id="62"/>
    <w:bookmarkStart w:id="63" w:name="sequential-structure"/>
    <w:p>
      <w:pPr>
        <w:pStyle w:val="Heading3"/>
      </w:pPr>
      <w:r>
        <w:t xml:space="preserve">Sequential structure</w:t>
      </w:r>
    </w:p>
    <w:p>
      <w:pPr>
        <w:pStyle w:val="FirstParagraph"/>
      </w:pPr>
      <w:r>
        <w:t xml:space="preserve">Coda exchanges exhibited first-order Markov dependencies: the mutual</w:t>
      </w:r>
      <w:r>
        <w:t xml:space="preserve"> </w:t>
      </w:r>
      <w:r>
        <w:t xml:space="preserve">information between consecutive rhythm types was</w:t>
      </w:r>
      <w:r>
        <w:t xml:space="preserve"> </w:t>
      </w:r>
      <m:oMath>
        <m:r>
          <m:t>I</m:t>
        </m:r>
        <m:r>
          <m:rPr>
            <m:sty m:val="p"/>
          </m:rPr>
          <m:t>(</m:t>
        </m:r>
        <m:sSub>
          <m:e>
            <m:r>
              <m:t>R</m:t>
            </m:r>
          </m:e>
          <m:sub>
            <m:r>
              <m:t>t</m:t>
            </m:r>
          </m:sub>
        </m:sSub>
        <m:r>
          <m:rPr>
            <m:sty m:val="p"/>
          </m:rPr>
          <m:t>;</m:t>
        </m:r>
        <m:sSub>
          <m:e>
            <m:r>
              <m:t>R</m:t>
            </m:r>
          </m:e>
          <m:sub>
            <m:r>
              <m:t>t</m:t>
            </m:r>
            <m:r>
              <m:rPr>
                <m:sty m:val="p"/>
              </m:rPr>
              <m:t>+</m:t>
            </m:r>
            <m:r>
              <m:t>1</m:t>
            </m:r>
          </m:sub>
        </m:sSub>
        <m:r>
          <m:rPr>
            <m:sty m:val="p"/>
          </m:rPr>
          <m:t>)</m:t>
        </m:r>
        <m:r>
          <m:rPr>
            <m:sty m:val="p"/>
          </m:rPr>
          <m:t>=</m:t>
        </m:r>
        <m:r>
          <m:t>0.380</m:t>
        </m:r>
      </m:oMath>
      <w:r>
        <w:t xml:space="preserve"> </w:t>
      </w:r>
      <w:r>
        <w:t xml:space="preserve">bits, representing 18.0% of the unigram entropy</w:t>
      </w:r>
      <w:r>
        <w:t xml:space="preserve"> </w:t>
      </w:r>
      <w:r>
        <w:t xml:space="preserve">(</w:t>
      </w:r>
      <m:oMath>
        <m:r>
          <m:t>H</m:t>
        </m:r>
        <m:r>
          <m:rPr>
            <m:sty m:val="p"/>
          </m:rPr>
          <m:t>(</m:t>
        </m:r>
        <m:r>
          <m:t>R</m:t>
        </m:r>
        <m:r>
          <m:rPr>
            <m:sty m:val="p"/>
          </m:rPr>
          <m:t>)</m:t>
        </m:r>
        <m:r>
          <m:rPr>
            <m:sty m:val="p"/>
          </m:rPr>
          <m:t>=</m:t>
        </m:r>
        <m:r>
          <m:t>2.111</m:t>
        </m:r>
      </m:oMath>
      <w:r>
        <w:t xml:space="preserve"> </w:t>
      </w:r>
      <w:r>
        <w:t xml:space="preserve">bits). Trigram prediction accuracy (71.2%) exceeded</w:t>
      </w:r>
      <w:r>
        <w:t xml:space="preserve"> </w:t>
      </w:r>
      <w:r>
        <w:t xml:space="preserve">bigram accuracy (66.1%), demonstrating higher-order sequential structure</w:t>
      </w:r>
      <w:r>
        <w:t xml:space="preserve"> </w:t>
      </w:r>
      <w:r>
        <w:t xml:space="preserve">beyond pairwise dependencies.</w:t>
      </w:r>
    </w:p>
    <w:bookmarkEnd w:id="63"/>
    <w:bookmarkStart w:id="64" w:name="turn-taking"/>
    <w:p>
      <w:pPr>
        <w:pStyle w:val="Heading3"/>
      </w:pPr>
      <w:r>
        <w:t xml:space="preserve">Turn-taking</w:t>
      </w:r>
    </w:p>
    <w:p>
      <w:pPr>
        <w:pStyle w:val="FirstParagraph"/>
      </w:pPr>
      <w:r>
        <w:t xml:space="preserve">Cross-whale response latency (</w:t>
      </w:r>
      <m:oMath>
        <m:acc>
          <m:accPr>
            <m:chr m:val="‾"/>
          </m:accPr>
          <m:e>
            <m:r>
              <m:t>x</m:t>
            </m:r>
          </m:e>
        </m:acc>
        <m:r>
          <m:rPr>
            <m:sty m:val="p"/>
          </m:rPr>
          <m:t>=</m:t>
        </m:r>
        <m:r>
          <m:t>2.25</m:t>
        </m:r>
      </m:oMath>
      <w:r>
        <w:t xml:space="preserve"> s,</w:t>
      </w:r>
      <w:r>
        <w:t xml:space="preserve"> </w:t>
      </w:r>
      <m:oMath>
        <m:r>
          <m:t>n</m:t>
        </m:r>
        <m:r>
          <m:rPr>
            <m:sty m:val="p"/>
          </m:rPr>
          <m:t>=</m:t>
        </m:r>
        <m:r>
          <m:t>2</m:t>
        </m:r>
        <m:r>
          <m:rPr>
            <m:sty m:val="p"/>
          </m:rPr>
          <m:t>,</m:t>
        </m:r>
        <m:r>
          <m:t>225</m:t>
        </m:r>
      </m:oMath>
      <w:r>
        <w:t xml:space="preserve">) was</w:t>
      </w:r>
      <w:r>
        <w:t xml:space="preserve"> </w:t>
      </w:r>
      <w:r>
        <w:t xml:space="preserve">approximately half that of same-whale continuation latency (</w:t>
      </w:r>
      <m:oMath>
        <m:acc>
          <m:accPr>
            <m:chr m:val="‾"/>
          </m:accPr>
          <m:e>
            <m:r>
              <m:t>x</m:t>
            </m:r>
          </m:e>
        </m:acc>
        <m:r>
          <m:rPr>
            <m:sty m:val="p"/>
          </m:rPr>
          <m:t>=</m:t>
        </m:r>
        <m:r>
          <m:t>4.68</m:t>
        </m:r>
      </m:oMath>
      <w:r>
        <w:t xml:space="preserve"> s,</w:t>
      </w:r>
      <w:r>
        <w:t xml:space="preserve"> </w:t>
      </w:r>
      <m:oMath>
        <m:r>
          <m:t>n</m:t>
        </m:r>
        <m:r>
          <m:rPr>
            <m:sty m:val="p"/>
          </m:rPr>
          <m:t>=</m:t>
        </m:r>
        <m:r>
          <m:t>1</m:t>
        </m:r>
        <m:r>
          <m:rPr>
            <m:sty m:val="p"/>
          </m:rPr>
          <m:t>,</m:t>
        </m:r>
        <m:r>
          <m:t>379</m:t>
        </m:r>
      </m:oMath>
      <w:r>
        <w:t xml:space="preserve">), with highly significant distributional</w:t>
      </w:r>
      <w:r>
        <w:t xml:space="preserve"> </w:t>
      </w:r>
      <w:r>
        <w:t xml:space="preserve">difference (Kolmogorov–Smirnov</w:t>
      </w:r>
      <w:r>
        <w:t xml:space="preserve"> </w:t>
      </w:r>
      <m:oMath>
        <m:r>
          <m:t>D</m:t>
        </m:r>
        <m:r>
          <m:rPr>
            <m:sty m:val="p"/>
          </m:rPr>
          <m:t>=</m:t>
        </m:r>
        <m:r>
          <m:t>0.560</m:t>
        </m:r>
      </m:oMath>
      <w:r>
        <w:t xml:space="preserve">,</w:t>
      </w:r>
      <w:r>
        <w:t xml:space="preserve"> </w:t>
      </w:r>
      <m:oMath>
        <m:r>
          <m:t>p</m:t>
        </m:r>
        <m:r>
          <m:rPr>
            <m:sty m:val="p"/>
          </m:rPr>
          <m:t>&lt;</m:t>
        </m:r>
        <m:sSup>
          <m:e>
            <m:r>
              <m:t>10</m:t>
            </m:r>
          </m:e>
          <m:sup>
            <m:r>
              <m:rPr>
                <m:sty m:val="p"/>
              </m:rPr>
              <m:t>−</m:t>
            </m:r>
            <m:r>
              <m:t>247</m:t>
            </m:r>
          </m:sup>
        </m:sSup>
      </m:oMath>
      <w:r>
        <w:t xml:space="preserve">). This</w:t>
      </w:r>
      <w:r>
        <w:t xml:space="preserve"> </w:t>
      </w:r>
      <w:r>
        <w:t xml:space="preserve">indicates active turn-taking rather than independent vocalisation.</w:t>
      </w:r>
    </w:p>
    <w:bookmarkEnd w:id="64"/>
    <w:bookmarkStart w:id="69" w:name="individual-accents"/>
    <w:p>
      <w:pPr>
        <w:pStyle w:val="Heading3"/>
      </w:pPr>
      <w:r>
        <w:t xml:space="preserve">Individual accents</w:t>
      </w:r>
    </w:p>
    <w:p>
      <w:pPr>
        <w:pStyle w:val="FirstParagraph"/>
      </w:pPr>
      <w:r>
        <w:t xml:space="preserve">For the most common coda type (1+1+3), pairwise Kolmogorov–Smirnov</w:t>
      </w:r>
      <w:r>
        <w:t xml:space="preserve"> </w:t>
      </w:r>
      <w:r>
        <w:t xml:space="preserve">tests between ICI distributions of four identified whales revealed</w:t>
      </w:r>
      <w:r>
        <w:t xml:space="preserve"> </w:t>
      </w:r>
      <w:r>
        <w:t xml:space="preserve">statistically significant differences for all six pairs (</w:t>
      </w:r>
      <m:oMath>
        <m:r>
          <m:t>p</m:t>
        </m:r>
        <m:r>
          <m:rPr>
            <m:sty m:val="p"/>
          </m:rPr>
          <m:t>&lt;</m:t>
        </m:r>
        <m:r>
          <m:t>0.001</m:t>
        </m:r>
      </m:oMath>
      <w:r>
        <w:t xml:space="preserve">),</w:t>
      </w:r>
      <w:r>
        <w:t xml:space="preserve"> </w:t>
      </w:r>
      <w:r>
        <w:t xml:space="preserve">confirming that individuals encode identity information within</w:t>
      </w:r>
      <w:r>
        <w:t xml:space="preserve"> </w:t>
      </w:r>
      <w:r>
        <w:t xml:space="preserve">ostensibly standardised coda types </w:t>
      </w:r>
      <w:r>
        <w:t xml:space="preserve">.</w:t>
      </w:r>
    </w:p>
    <w:bookmarkStart w:id="68" w:name="fig:linguistic"/>
    <w:p>
      <w:pPr>
        <w:pStyle w:val="CaptionedFigure"/>
      </w:pPr>
      <w:r>
        <w:drawing>
          <wp:inline>
            <wp:extent cx="5334000" cy="3168181"/>
            <wp:effectExtent b="0" l="0" r="0" t="0"/>
            <wp:docPr descr="" title="" id="66" name="Picture"/>
            <a:graphic>
              <a:graphicData uri="http://schemas.openxmlformats.org/drawingml/2006/picture">
                <pic:pic>
                  <pic:nvPicPr>
                    <pic:cNvPr descr="fig12_linguistic_properties.png" id="67" name="Picture"/>
                    <pic:cNvPicPr>
                      <a:picLocks noChangeArrowheads="1" noChangeAspect="1"/>
                    </pic:cNvPicPr>
                  </pic:nvPicPr>
                  <pic:blipFill>
                    <a:blip r:embed="rId65"/>
                    <a:stretch>
                      <a:fillRect/>
                    </a:stretch>
                  </pic:blipFill>
                  <pic:spPr bwMode="auto">
                    <a:xfrm>
                      <a:off x="0" y="0"/>
                      <a:ext cx="5334000" cy="3168181"/>
                    </a:xfrm>
                    <a:prstGeom prst="rect">
                      <a:avLst/>
                    </a:prstGeom>
                    <a:noFill/>
                    <a:ln w="9525">
                      <a:noFill/>
                      <a:headEnd/>
                      <a:tailEnd/>
                    </a:ln>
                  </pic:spPr>
                </pic:pic>
              </a:graphicData>
            </a:graphic>
          </wp:inline>
        </w:drawing>
      </w:r>
    </w:p>
    <w:p>
      <w:pPr>
        <w:pStyle w:val="ImageCaption"/>
      </w:pPr>
      <w:r>
        <w:t xml:space="preserve"> </w:t>
      </w:r>
      <w:r>
        <w:rPr>
          <w:b/>
          <w:bCs/>
        </w:rPr>
        <w:t xml:space="preserve">Linguistic and information-theoretic properties.</w:t>
      </w:r>
      <w:r>
        <w:t xml:space="preserve"> </w:t>
      </w:r>
      <w:r>
        <w:t xml:space="preserve">(</w:t>
      </w:r>
      <w:r>
        <w:rPr>
          <w:i/>
          <w:iCs/>
        </w:rPr>
        <w:t xml:space="preserve">A</w:t>
      </w:r>
      <w:r>
        <w:t xml:space="preserve">) Zipf’s rank-frequency distribution with fitted power</w:t>
      </w:r>
      <w:r>
        <w:t xml:space="preserve"> </w:t>
      </w:r>
      <w:r>
        <w:t xml:space="preserve">law (</w:t>
      </w:r>
      <m:oMath>
        <m:r>
          <m:t>α</m:t>
        </m:r>
        <m:r>
          <m:rPr>
            <m:sty m:val="p"/>
          </m:rPr>
          <m:t>=</m:t>
        </m:r>
        <m:r>
          <m:t>1.44</m:t>
        </m:r>
      </m:oMath>
      <w:r>
        <w:t xml:space="preserve">).</w:t>
      </w:r>
      <w:r>
        <w:t xml:space="preserve"> </w:t>
      </w:r>
      <w:r>
        <w:t xml:space="preserve">(</w:t>
      </w:r>
      <w:r>
        <w:rPr>
          <w:i/>
          <w:iCs/>
        </w:rPr>
        <w:t xml:space="preserve">B</w:t>
      </w:r>
      <w:r>
        <w:t xml:space="preserve">) Zipf’s law of abbreviation: log-frequency versus</w:t>
      </w:r>
      <w:r>
        <w:t xml:space="preserve"> </w:t>
      </w:r>
      <w:r>
        <w:t xml:space="preserve">log-duration for the 30 most common types.</w:t>
      </w:r>
      <w:r>
        <w:t xml:space="preserve"> </w:t>
      </w:r>
      <w:r>
        <w:t xml:space="preserve">(</w:t>
      </w:r>
      <w:r>
        <w:rPr>
          <w:i/>
          <w:iCs/>
        </w:rPr>
        <w:t xml:space="preserve">C</w:t>
      </w:r>
      <w:r>
        <w:t xml:space="preserve">) Menzerath’s law: mean ICI decreases with click count</w:t>
      </w:r>
      <w:r>
        <w:t xml:space="preserve"> </w:t>
      </w:r>
      <w:r>
        <w:t xml:space="preserve">(</w:t>
      </w:r>
      <m:oMath>
        <m:r>
          <m:t>r</m:t>
        </m:r>
        <m:r>
          <m:rPr>
            <m:sty m:val="p"/>
          </m:rPr>
          <m:t>=</m:t>
        </m:r>
        <m:r>
          <m:rPr>
            <m:sty m:val="p"/>
          </m:rPr>
          <m:t>−</m:t>
        </m:r>
        <m:r>
          <m:t>0.269</m:t>
        </m:r>
      </m:oMath>
      <w:r>
        <w:t xml:space="preserve">,</w:t>
      </w:r>
      <w:r>
        <w:t xml:space="preserve"> </w:t>
      </w:r>
      <m:oMath>
        <m:r>
          <m:t>p</m:t>
        </m:r>
        <m:r>
          <m:rPr>
            <m:sty m:val="p"/>
          </m:rPr>
          <m:t>&lt;</m:t>
        </m:r>
        <m:sSup>
          <m:e>
            <m:r>
              <m:t>10</m:t>
            </m:r>
          </m:e>
          <m:sup>
            <m:r>
              <m:rPr>
                <m:sty m:val="p"/>
              </m:rPr>
              <m:t>−</m:t>
            </m:r>
            <m:r>
              <m:t>144</m:t>
            </m:r>
          </m:sup>
        </m:sSup>
      </m:oMath>
      <w:r>
        <w:t xml:space="preserve">).</w:t>
      </w:r>
      <w:r>
        <w:t xml:space="preserve"> </w:t>
      </w:r>
      <w:r>
        <w:t xml:space="preserve">(</w:t>
      </w:r>
      <w:r>
        <w:rPr>
          <w:i/>
          <w:iCs/>
        </w:rPr>
        <w:t xml:space="preserve">D</w:t>
      </w:r>
      <w:r>
        <w:t xml:space="preserve">) Individual accents: ICI distributions for four</w:t>
      </w:r>
      <w:r>
        <w:t xml:space="preserve"> </w:t>
      </w:r>
      <w:r>
        <w:t xml:space="preserve">identified whales producing the 1+1+3 coda type.</w:t>
      </w:r>
      <w:r>
        <w:t xml:space="preserve"> </w:t>
      </w:r>
      <w:r>
        <w:t xml:space="preserve">(</w:t>
      </w:r>
      <w:r>
        <w:rPr>
          <w:i/>
          <w:iCs/>
        </w:rPr>
        <w:t xml:space="preserve">E</w:t>
      </w:r>
      <w:r>
        <w:t xml:space="preserve">) Information-theoretic structure: unigram entropy,</w:t>
      </w:r>
      <w:r>
        <w:t xml:space="preserve"> </w:t>
      </w:r>
      <w:r>
        <w:t xml:space="preserve">conditional entropy, and mutual information.</w:t>
      </w:r>
      <w:r>
        <w:t xml:space="preserve"> </w:t>
      </w:r>
      <w:r>
        <w:t xml:space="preserve">(</w:t>
      </w:r>
      <w:r>
        <w:rPr>
          <w:i/>
          <w:iCs/>
        </w:rPr>
        <w:t xml:space="preserve">F</w:t>
      </w:r>
      <w:r>
        <w:t xml:space="preserve">) Turn-taking latency: cross-whale responses are</w:t>
      </w:r>
      <w:r>
        <w:t xml:space="preserve"> </w:t>
      </w:r>
      <w:r>
        <w:t xml:space="preserve">approximately twice as fast as same-whale continuations.</w:t>
      </w:r>
      <w:r>
        <w:t xml:space="preserve"> </w:t>
      </w:r>
    </w:p>
    <w:bookmarkEnd w:id="68"/>
    <w:bookmarkEnd w:id="69"/>
    <w:bookmarkEnd w:id="70"/>
    <w:bookmarkEnd w:id="71"/>
    <w:bookmarkStart w:id="72" w:name="discussion"/>
    <w:p>
      <w:pPr>
        <w:pStyle w:val="Heading1"/>
      </w:pPr>
      <w:r>
        <w:t xml:space="preserve">Discussion</w:t>
      </w:r>
    </w:p>
    <w:p>
      <w:pPr>
        <w:pStyle w:val="FirstParagraph"/>
      </w:pPr>
      <w:r>
        <w:t xml:space="preserve">The results presented here demonstrate that geometric and topological</w:t>
      </w:r>
      <w:r>
        <w:t xml:space="preserve"> </w:t>
      </w:r>
      <w:r>
        <w:t xml:space="preserve">methods reveal structure in cetacean communication that standard</w:t>
      </w:r>
      <w:r>
        <w:t xml:space="preserve"> </w:t>
      </w:r>
      <w:r>
        <w:t xml:space="preserve">Euclidean analyses fail to capture. The Poincaré ball embedding</w:t>
      </w:r>
      <w:r>
        <w:t xml:space="preserve"> </w:t>
      </w:r>
      <w:r>
        <w:t xml:space="preserve">naturally represents the hierarchical taxonomy of coda types, persistent</w:t>
      </w:r>
      <w:r>
        <w:t xml:space="preserve"> </w:t>
      </w:r>
      <w:r>
        <w:t xml:space="preserve">homology distinguishes rhythm classes by their topological signatures,</w:t>
      </w:r>
      <w:r>
        <w:t xml:space="preserve"> </w:t>
      </w:r>
      <w:r>
        <w:t xml:space="preserve">and adversarial perturbation maps phonetic decision boundaries with a</w:t>
      </w:r>
      <w:r>
        <w:t xml:space="preserve"> </w:t>
      </w:r>
      <w:r>
        <w:t xml:space="preserve">precision that traditional classification accuracy cannot achieve.</w:t>
      </w:r>
    </w:p>
    <w:p>
      <w:pPr>
        <w:pStyle w:val="BodyText"/>
      </w:pPr>
      <w:r>
        <w:t xml:space="preserve">The discovery of highly asymmetric phonetic boundaries (mean asymmetry</w:t>
      </w:r>
      <w:r>
        <w:t xml:space="preserve"> </w:t>
      </w:r>
      <m:oMath>
        <m:r>
          <m:rPr>
            <m:sty m:val="p"/>
          </m:rPr>
          <m:t>=</m:t>
        </m:r>
        <m:r>
          <m:t>0.87</m:t>
        </m:r>
      </m:oMath>
      <w:r>
        <w:t xml:space="preserve">) is particularly noteworthy. In human phonology, directional</w:t>
      </w:r>
      <w:r>
        <w:t xml:space="preserve"> </w:t>
      </w:r>
      <w:r>
        <w:t xml:space="preserve">chain shifts—where perturbation-induced transitions favour specific</w:t>
      </w:r>
      <w:r>
        <w:t xml:space="preserve"> </w:t>
      </w:r>
      <w:r>
        <w:t xml:space="preserve">directions—are a well-studied phenomenon that reflects the geometry of</w:t>
      </w:r>
      <w:r>
        <w:t xml:space="preserve"> </w:t>
      </w:r>
      <w:r>
        <w:t xml:space="preserve">the phonetic space </w:t>
      </w:r>
      <w:r>
        <w:t xml:space="preserve">. The observation of analogous</w:t>
      </w:r>
      <w:r>
        <w:t xml:space="preserve"> </w:t>
      </w:r>
      <w:r>
        <w:t xml:space="preserve">asymmetry in sperm whale codas suggests that the coda combinatorial</w:t>
      </w:r>
      <w:r>
        <w:t xml:space="preserve"> </w:t>
      </w:r>
      <w:r>
        <w:t xml:space="preserve">space possesses a non-trivial geometric structure with preferred</w:t>
      </w:r>
      <w:r>
        <w:t xml:space="preserve"> </w:t>
      </w:r>
      <w:r>
        <w:t xml:space="preserve">transition directions, potentially reflecting acoustic or perceptual</w:t>
      </w:r>
      <w:r>
        <w:t xml:space="preserve"> </w:t>
      </w:r>
      <w:r>
        <w:t xml:space="preserve">constraints on coda production and reception.</w:t>
      </w:r>
    </w:p>
    <w:p>
      <w:pPr>
        <w:pStyle w:val="BodyText"/>
      </w:pPr>
      <w:r>
        <w:t xml:space="preserve">The confirmation of multiple linguistic universals (Menzerath’s law,</w:t>
      </w:r>
      <w:r>
        <w:t xml:space="preserve"> </w:t>
      </w:r>
      <w:r>
        <w:t xml:space="preserve">Zipf’s law, higher-order Markov structure, active turn-taking) adds to</w:t>
      </w:r>
      <w:r>
        <w:t xml:space="preserve"> </w:t>
      </w:r>
      <w:r>
        <w:t xml:space="preserve">the growing body of evidence </w:t>
      </w:r>
      <w:r>
        <w:t xml:space="preserve"> </w:t>
      </w:r>
      <w:r>
        <w:t xml:space="preserve">that cetacean</w:t>
      </w:r>
      <w:r>
        <w:t xml:space="preserve"> </w:t>
      </w:r>
      <w:r>
        <w:t xml:space="preserve">communication systems share deep statistical regularities with human</w:t>
      </w:r>
      <w:r>
        <w:t xml:space="preserve"> </w:t>
      </w:r>
      <w:r>
        <w:t xml:space="preserve">language. The finding that individual whales encode identity within</w:t>
      </w:r>
      <w:r>
        <w:t xml:space="preserve"> </w:t>
      </w:r>
      <w:r>
        <w:t xml:space="preserve">ostensibly standardised coda types extends the identity-encoding</w:t>
      </w:r>
      <w:r>
        <w:t xml:space="preserve"> </w:t>
      </w:r>
      <w:r>
        <w:t xml:space="preserve">hierarchy documented by</w:t>
      </w:r>
      <w:r>
        <w:t xml:space="preserve"> </w:t>
      </w:r>
      <w:r>
        <w:t xml:space="preserve"> </w:t>
      </w:r>
      <w:r>
        <w:t xml:space="preserve">and </w:t>
      </w:r>
      <w:r>
        <w:t xml:space="preserve">, and</w:t>
      </w:r>
      <w:r>
        <w:t xml:space="preserve"> </w:t>
      </w:r>
      <w:r>
        <w:t xml:space="preserve">suggests a dual function for codas: type-level information at the</w:t>
      </w:r>
      <w:r>
        <w:t xml:space="preserve"> </w:t>
      </w:r>
      <w:r>
        <w:t xml:space="preserve">group/clan scale, and individual-level signatures within each type.</w:t>
      </w:r>
    </w:p>
    <w:p>
      <w:pPr>
        <w:pStyle w:val="BodyText"/>
      </w:pPr>
      <w:r>
        <w:t xml:space="preserve">The turn-taking result (2.08</w:t>
      </w:r>
      <m:oMath>
        <m:r>
          <m:rPr>
            <m:sty m:val="p"/>
          </m:rPr>
          <m:t>×</m:t>
        </m:r>
      </m:oMath>
      <w:r>
        <w:t xml:space="preserve"> </w:t>
      </w:r>
      <w:r>
        <w:t xml:space="preserve">faster cross-whale responses) is</w:t>
      </w:r>
      <w:r>
        <w:t xml:space="preserve"> </w:t>
      </w:r>
      <w:r>
        <w:t xml:space="preserve">consistent with interactive dialogue rather than independent broadcast.</w:t>
      </w:r>
      <w:r>
        <w:t xml:space="preserve"> </w:t>
      </w:r>
      <w:r>
        <w:t xml:space="preserve">Combined with the higher-order Markov structure, this suggests that coda</w:t>
      </w:r>
      <w:r>
        <w:t xml:space="preserve"> </w:t>
      </w:r>
      <w:r>
        <w:t xml:space="preserve">exchanges involve sequential planning over at least two preceding</w:t>
      </w:r>
      <w:r>
        <w:t xml:space="preserve"> </w:t>
      </w:r>
      <w:r>
        <w:t xml:space="preserve">codas—a form of contextual communication that parallels the</w:t>
      </w:r>
      <w:r>
        <w:t xml:space="preserve"> </w:t>
      </w:r>
      <w:r>
        <w:t xml:space="preserve">rubato and ornamentation features identified by</w:t>
      </w:r>
      <w:r>
        <w:t xml:space="preserve"> </w:t>
      </w:r>
      <w:r>
        <w:t xml:space="preserve">.</w:t>
      </w:r>
    </w:p>
    <w:p>
      <w:pPr>
        <w:pStyle w:val="BodyText"/>
      </w:pPr>
      <w:r>
        <w:t xml:space="preserve">The Decoder Robustness Index introduced here provides the first</w:t>
      </w:r>
      <w:r>
        <w:t xml:space="preserve"> </w:t>
      </w:r>
      <w:r>
        <w:t xml:space="preserve">systematic framework for evaluating the reliability of cetacean</w:t>
      </w:r>
      <w:r>
        <w:t xml:space="preserve"> </w:t>
      </w:r>
      <w:r>
        <w:t xml:space="preserve">communication decoders under realistic acoustic perturbations. The</w:t>
      </w:r>
      <w:r>
        <w:t xml:space="preserve"> </w:t>
      </w:r>
      <w:r>
        <w:t xml:space="preserve">finding that click dropout is the most disruptive transform (50%</w:t>
      </w:r>
      <w:r>
        <w:t xml:space="preserve"> </w:t>
      </w:r>
      <w:r>
        <w:t xml:space="preserve">crossing rate) while spectral masking is nearly harmless (</w:t>
      </w:r>
      <m:oMath>
        <m:r>
          <m:rPr>
            <m:sty m:val="p"/>
          </m:rPr>
          <m:t>&lt;</m:t>
        </m:r>
        <m:r>
          <m:t>1</m:t>
        </m:r>
        <m:r>
          <m:rPr>
            <m:sty m:val="p"/>
          </m:rPr>
          <m:t>%</m:t>
        </m:r>
      </m:oMath>
      <w:r>
        <w:t xml:space="preserve">)</w:t>
      </w:r>
      <w:r>
        <w:t xml:space="preserve"> </w:t>
      </w:r>
      <w:r>
        <w:t xml:space="preserve">has direct implications for decoder design: robustness to missing clicks</w:t>
      </w:r>
      <w:r>
        <w:t xml:space="preserve"> </w:t>
      </w:r>
      <w:r>
        <w:t xml:space="preserve">should be prioritised over spectral invariance. The use of adversarial</w:t>
      </w:r>
      <w:r>
        <w:t xml:space="preserve"> </w:t>
      </w:r>
      <w:r>
        <w:t xml:space="preserve">perturbation as a</w:t>
      </w:r>
      <w:r>
        <w:t xml:space="preserve"> </w:t>
      </w:r>
      <w:r>
        <w:rPr>
          <w:i/>
          <w:iCs/>
        </w:rPr>
        <w:t xml:space="preserve">discovery</w:t>
      </w:r>
      <w:r>
        <w:t xml:space="preserve"> </w:t>
      </w:r>
      <w:r>
        <w:t xml:space="preserve">tool—rather than merely an</w:t>
      </w:r>
      <w:r>
        <w:t xml:space="preserve"> </w:t>
      </w:r>
      <w:r>
        <w:t xml:space="preserve">evaluation metric—represents a methodological contribution applicable</w:t>
      </w:r>
      <w:r>
        <w:t xml:space="preserve"> </w:t>
      </w:r>
      <w:r>
        <w:t xml:space="preserve">to any classification system where decision boundaries carry scientific</w:t>
      </w:r>
      <w:r>
        <w:t xml:space="preserve"> </w:t>
      </w:r>
      <w:r>
        <w:t xml:space="preserve">meaning.</w:t>
      </w:r>
    </w:p>
    <w:p>
      <w:pPr>
        <w:pStyle w:val="BodyText"/>
      </w:pPr>
      <w:r>
        <w:rPr>
          <w:b/>
          <w:bCs/>
        </w:rPr>
        <w:t xml:space="preserve">Limitations.</w:t>
      </w:r>
      <w:r>
        <w:t xml:space="preserve"> </w:t>
      </w:r>
      <w:r>
        <w:t xml:space="preserve">The present analysis relies on ICI-based features from the annotated</w:t>
      </w:r>
      <w:r>
        <w:t xml:space="preserve"> </w:t>
      </w:r>
      <w:r>
        <w:t xml:space="preserve">DSWP dataset. Extension to raw acoustic features—including the</w:t>
      </w:r>
      <w:r>
        <w:t xml:space="preserve"> </w:t>
      </w:r>
      <w:r>
        <w:t xml:space="preserve">vowel-like spectral patterns reported by</w:t>
      </w:r>
      <w:r>
        <w:t xml:space="preserve"> </w:t>
      </w:r>
      <w:r>
        <w:t xml:space="preserve">—would</w:t>
      </w:r>
      <w:r>
        <w:t xml:space="preserve"> </w:t>
      </w:r>
      <w:r>
        <w:t xml:space="preserve">require waveform-level analysis with real recordings. The DRI</w:t>
      </w:r>
      <w:r>
        <w:t xml:space="preserve"> </w:t>
      </w:r>
      <w:r>
        <w:t xml:space="preserve">measurements use a simple nearest-centroid decoder; evaluation of more</w:t>
      </w:r>
      <w:r>
        <w:t xml:space="preserve"> </w:t>
      </w:r>
      <w:r>
        <w:t xml:space="preserve">sophisticated models such as WhAM </w:t>
      </w:r>
      <w:r>
        <w:t xml:space="preserve"> </w:t>
      </w:r>
      <w:r>
        <w:t xml:space="preserve">would provide a</w:t>
      </w:r>
      <w:r>
        <w:t xml:space="preserve"> </w:t>
      </w:r>
      <w:r>
        <w:t xml:space="preserve">more ecologically meaningful robustness benchmark. The channel capacity</w:t>
      </w:r>
      <w:r>
        <w:t xml:space="preserve"> </w:t>
      </w:r>
      <w:r>
        <w:t xml:space="preserve">estimate of 3.0 bits per coda is based on the number of</w:t>
      </w:r>
      <w:r>
        <w:t xml:space="preserve"> </w:t>
      </w:r>
      <w:r>
        <w:t xml:space="preserve">well-separated types under perturbation and should be regarded as a</w:t>
      </w:r>
      <w:r>
        <w:t xml:space="preserve"> </w:t>
      </w:r>
      <w:r>
        <w:t xml:space="preserve">lower bound on the true capacity of the multi-feature combinatorial</w:t>
      </w:r>
      <w:r>
        <w:t xml:space="preserve"> </w:t>
      </w:r>
      <w:r>
        <w:t xml:space="preserve">system.</w:t>
      </w:r>
    </w:p>
    <w:p>
      <w:pPr>
        <w:pStyle w:val="BodyText"/>
      </w:pPr>
      <w:r>
        <w:rPr>
          <w:b/>
          <w:bCs/>
        </w:rPr>
        <w:t xml:space="preserve">Future directions.</w:t>
      </w:r>
      <w:r>
        <w:t xml:space="preserve"> </w:t>
      </w:r>
      <w:r>
        <w:t xml:space="preserve">Three avenues are most promising. First, application of the geometric</w:t>
      </w:r>
      <w:r>
        <w:t xml:space="preserve"> </w:t>
      </w:r>
      <w:r>
        <w:t xml:space="preserve">framework to other cetacean species—particularly orcas (DCLDE dataset,</w:t>
      </w:r>
      <w:r>
        <w:t xml:space="preserve"> </w:t>
      </w:r>
      <w:r>
        <w:t xml:space="preserve">40+ stereotyped call types per community) and humpback whales</w:t>
      </w:r>
      <w:r>
        <w:t xml:space="preserve"> </w:t>
      </w:r>
      <w:r>
        <w:t xml:space="preserve">(hierarchical song grammar)—to test whether communication systems that</w:t>
      </w:r>
      <w:r>
        <w:t xml:space="preserve"> </w:t>
      </w:r>
      <w:r>
        <w:t xml:space="preserve">evolved independently converge on similar geometric structures. Second,</w:t>
      </w:r>
      <w:r>
        <w:t xml:space="preserve"> </w:t>
      </w:r>
      <w:r>
        <w:t xml:space="preserve">integration of exchange-level sequential structure with geometric</w:t>
      </w:r>
      <w:r>
        <w:t xml:space="preserve"> </w:t>
      </w:r>
      <w:r>
        <w:t xml:space="preserve">embeddings to model the temporal dynamics of coda conversations as</w:t>
      </w:r>
      <w:r>
        <w:t xml:space="preserve"> </w:t>
      </w:r>
      <w:r>
        <w:t xml:space="preserve">trajectories on manifolds. Third, collaboration with field researchers</w:t>
      </w:r>
      <w:r>
        <w:t xml:space="preserve"> </w:t>
      </w:r>
      <w:r>
        <w:t xml:space="preserve">(Project CETI, DSWP) to validate geometric predictions against</w:t>
      </w:r>
      <w:r>
        <w:t xml:space="preserve"> </w:t>
      </w:r>
      <w:r>
        <w:t xml:space="preserve">behavioural context and to design playback experiments testing whether</w:t>
      </w:r>
      <w:r>
        <w:t xml:space="preserve"> </w:t>
      </w:r>
      <w:r>
        <w:t xml:space="preserve">synthetic codas generated from geometric models elicit appropriate</w:t>
      </w:r>
      <w:r>
        <w:t xml:space="preserve"> </w:t>
      </w:r>
      <w:r>
        <w:t xml:space="preserve">behavioural responses.</w:t>
      </w:r>
    </w:p>
    <w:bookmarkEnd w:id="72"/>
    <w:bookmarkStart w:id="83" w:name="methods"/>
    <w:p>
      <w:pPr>
        <w:pStyle w:val="Heading1"/>
      </w:pPr>
      <w:r>
        <w:t xml:space="preserve">Methods</w:t>
      </w:r>
    </w:p>
    <w:bookmarkStart w:id="73" w:name="data"/>
    <w:p>
      <w:pPr>
        <w:pStyle w:val="Heading2"/>
      </w:pPr>
      <w:r>
        <w:t xml:space="preserve">Data</w:t>
      </w:r>
    </w:p>
    <w:p>
      <w:pPr>
        <w:pStyle w:val="FirstParagraph"/>
      </w:pPr>
      <w:r>
        <w:t xml:space="preserve">We used the annotated coda dataset from the Dominica Sperm Whale</w:t>
      </w:r>
      <w:r>
        <w:t xml:space="preserve"> </w:t>
      </w:r>
      <w:r>
        <w:t xml:space="preserve">Project </w:t>
      </w:r>
      <w:r>
        <w:t xml:space="preserve">, comprising 8</w:t>
      </w:r>
      <w:r>
        <w:t xml:space="preserve">,</w:t>
      </w:r>
      <w:r>
        <w:t xml:space="preserve">719 codas with inter-click</w:t>
      </w:r>
      <w:r>
        <w:t xml:space="preserve"> </w:t>
      </w:r>
      <w:r>
        <w:t xml:space="preserve">interval measurements (up to 9 ICIs per coda), coda type labels,</w:t>
      </w:r>
      <w:r>
        <w:t xml:space="preserve"> </w:t>
      </w:r>
      <w:r>
        <w:t xml:space="preserve">duration, social unit identifiers, and individual whale identifiers. The</w:t>
      </w:r>
      <w:r>
        <w:t xml:space="preserve"> </w:t>
      </w:r>
      <w:r>
        <w:t xml:space="preserve">exchange-level dialogues dataset (3</w:t>
      </w:r>
      <w:r>
        <w:t xml:space="preserve">,</w:t>
      </w:r>
      <w:r>
        <w:t xml:space="preserve">840 entries with rhythm type</w:t>
      </w:r>
      <w:r>
        <w:t xml:space="preserve"> </w:t>
      </w:r>
      <w:r>
        <w:t xml:space="preserve">labels, whale identifiers, and timestamps) provided sequential ordering</w:t>
      </w:r>
      <w:r>
        <w:t xml:space="preserve"> </w:t>
      </w:r>
      <w:r>
        <w:t xml:space="preserve">for Markov and turn-taking analyses. Both datasets are publicly available</w:t>
      </w:r>
      <w:r>
        <w:t xml:space="preserve"> </w:t>
      </w:r>
      <w:r>
        <w:t xml:space="preserve">under CC BY 4.0 licence.</w:t>
      </w:r>
    </w:p>
    <w:bookmarkEnd w:id="73"/>
    <w:bookmarkStart w:id="74" w:name="poincaré-ball-embedding"/>
    <w:p>
      <w:pPr>
        <w:pStyle w:val="Heading2"/>
      </w:pPr>
      <w:r>
        <w:t xml:space="preserve">Poincaré ball embedding</w:t>
      </w:r>
    </w:p>
    <w:p>
      <w:pPr>
        <w:pStyle w:val="FirstParagraph"/>
      </w:pPr>
      <w:r>
        <w:t xml:space="preserve">Coda types were parsed into a three-level taxonomy (rhythm class</w:t>
      </w:r>
      <w:r>
        <w:t xml:space="preserve"> </w:t>
      </w:r>
      <m:oMath>
        <m:r>
          <m:rPr>
            <m:sty m:val="p"/>
          </m:rPr>
          <m:t>→</m:t>
        </m:r>
      </m:oMath>
      <w:r>
        <w:t xml:space="preserve"> </w:t>
      </w:r>
      <w:r>
        <w:t xml:space="preserve">click count</w:t>
      </w:r>
      <w:r>
        <w:t xml:space="preserve"> </w:t>
      </w:r>
      <m:oMath>
        <m:r>
          <m:rPr>
            <m:sty m:val="p"/>
          </m:rPr>
          <m:t>→</m:t>
        </m:r>
      </m:oMath>
      <w:r>
        <w:t xml:space="preserve"> </w:t>
      </w:r>
      <w:r>
        <w:t xml:space="preserve">variant). A taxonomic distance matrix</w:t>
      </w:r>
      <w:r>
        <w:t xml:space="preserve"> </w:t>
      </w:r>
      <m:oMath>
        <m:r>
          <m:t>D</m:t>
        </m:r>
        <m:r>
          <m:rPr>
            <m:sty m:val="p"/>
          </m:rPr>
          <m:t>∈</m:t>
        </m:r>
        <m:sSup>
          <m:e>
            <m:r>
              <m:rPr>
                <m:scr m:val="double-struck"/>
                <m:sty m:val="p"/>
              </m:rPr>
              <m:t>R</m:t>
            </m:r>
          </m:e>
          <m:sup>
            <m:r>
              <m:t>n</m:t>
            </m:r>
            <m:r>
              <m:rPr>
                <m:sty m:val="p"/>
              </m:rPr>
              <m:t>×</m:t>
            </m:r>
            <m:r>
              <m:t>n</m:t>
            </m:r>
          </m:sup>
        </m:sSup>
      </m:oMath>
      <w:r>
        <w:t xml:space="preserve"> </w:t>
      </w:r>
      <w:r>
        <w:t xml:space="preserve">was computed as the number of levels at which</w:t>
      </w:r>
      <w:r>
        <w:t xml:space="preserve"> </w:t>
      </w:r>
      <w:r>
        <w:t xml:space="preserve">two types first differ, yielding integer distances in</w:t>
      </w:r>
      <w:r>
        <w:t xml:space="preserve"> </w:t>
      </w:r>
      <m:oMath>
        <m:r>
          <m:rPr>
            <m:sty m:val="p"/>
          </m:rPr>
          <m:t>{</m:t>
        </m:r>
        <m:r>
          <m:t>0</m:t>
        </m:r>
        <m:r>
          <m:rPr>
            <m:sty m:val="p"/>
          </m:rPr>
          <m:t>,</m:t>
        </m:r>
        <m:r>
          <m:t>1</m:t>
        </m:r>
        <m:r>
          <m:rPr>
            <m:sty m:val="p"/>
          </m:rPr>
          <m:t>,</m:t>
        </m:r>
        <m:r>
          <m:t>2</m:t>
        </m:r>
        <m:r>
          <m:rPr>
            <m:sty m:val="p"/>
          </m:rPr>
          <m:t>,</m:t>
        </m:r>
        <m:r>
          <m:t>3</m:t>
        </m:r>
        <m:r>
          <m:rPr>
            <m:sty m:val="p"/>
          </m:rPr>
          <m:t>,</m:t>
        </m:r>
        <m:r>
          <m:t>4</m:t>
        </m:r>
        <m:r>
          <m:rPr>
            <m:sty m:val="p"/>
          </m:rPr>
          <m:t>}</m:t>
        </m:r>
      </m:oMath>
      <w:r>
        <w:t xml:space="preserve">.</w:t>
      </w:r>
      <w:r>
        <w:t xml:space="preserve"> </w:t>
      </w:r>
      <w:r>
        <w:t xml:space="preserve">Types were embedded into a Poincaré ball of curvature</w:t>
      </w:r>
      <w:r>
        <w:t xml:space="preserve"> </w:t>
      </w:r>
      <m:oMath>
        <m:r>
          <m:t>c</m:t>
        </m:r>
        <m:r>
          <m:rPr>
            <m:sty m:val="p"/>
          </m:rPr>
          <m:t>=</m:t>
        </m:r>
        <m:r>
          <m:t>1.0</m:t>
        </m:r>
      </m:oMath>
      <w:r>
        <w:t xml:space="preserve"> </w:t>
      </w:r>
      <w:r>
        <w:t xml:space="preserve">and</w:t>
      </w:r>
      <w:r>
        <w:t xml:space="preserve"> </w:t>
      </w:r>
      <w:r>
        <w:t xml:space="preserve">dimension</w:t>
      </w:r>
      <w:r>
        <w:t xml:space="preserve"> </w:t>
      </w:r>
      <m:oMath>
        <m:r>
          <m:t>d</m:t>
        </m:r>
        <m:r>
          <m:rPr>
            <m:sty m:val="p"/>
          </m:rPr>
          <m:t>=</m:t>
        </m:r>
        <m:r>
          <m:rPr>
            <m:sty m:val="p"/>
          </m:rPr>
          <m:t>min</m:t>
        </m:r>
        <m:r>
          <m:rPr>
            <m:sty m:val="p"/>
          </m:rPr>
          <m:t>(</m:t>
        </m:r>
        <m:r>
          <m:t>16</m:t>
        </m:r>
        <m:r>
          <m:rPr>
            <m:sty m:val="p"/>
          </m:rPr>
          <m:t>,</m:t>
        </m:r>
        <m:sSub>
          <m:e>
            <m:r>
              <m:t>n</m:t>
            </m:r>
          </m:e>
          <m:sub>
            <m:r>
              <m:rPr>
                <m:sty m:val="p"/>
              </m:rPr>
              <m:t>t</m:t>
            </m:r>
            <m:r>
              <m:rPr>
                <m:sty m:val="p"/>
              </m:rPr>
              <m:t>y</m:t>
            </m:r>
            <m:r>
              <m:rPr>
                <m:sty m:val="p"/>
              </m:rPr>
              <m:t>p</m:t>
            </m:r>
            <m:r>
              <m:rPr>
                <m:sty m:val="p"/>
              </m:rPr>
              <m:t>e</m:t>
            </m:r>
            <m:r>
              <m:rPr>
                <m:sty m:val="p"/>
              </m:rPr>
              <m:t>s</m:t>
            </m:r>
          </m:sub>
        </m:sSub>
        <m:r>
          <m:rPr>
            <m:sty m:val="p"/>
          </m:rPr>
          <m:t>)</m:t>
        </m:r>
      </m:oMath>
      <w:r>
        <w:t xml:space="preserve"> </w:t>
      </w:r>
      <w:r>
        <w:t xml:space="preserve">via gradient descent</w:t>
      </w:r>
      <w:r>
        <w:t xml:space="preserve"> </w:t>
      </w:r>
      <w:r>
        <w:t xml:space="preserve">minimising the mean squared error between embedded hyperbolic distances</w:t>
      </w:r>
      <w:r>
        <w:t xml:space="preserve"> </w:t>
      </w:r>
      <w:r>
        <w:t xml:space="preserve">and normalised taxonomic distances. Euclidean baselines used PCA on the</w:t>
      </w:r>
      <w:r>
        <w:t xml:space="preserve"> </w:t>
      </w:r>
      <w:r>
        <w:t xml:space="preserve">distance matrix. Distortion was quantified via Spearman rank correlation</w:t>
      </w:r>
      <w:r>
        <w:t xml:space="preserve"> </w:t>
      </w:r>
      <w:r>
        <w:t xml:space="preserve">between true and embedded pairwise distances.</w:t>
      </w:r>
    </w:p>
    <w:bookmarkEnd w:id="74"/>
    <w:bookmarkStart w:id="75" w:name="classification"/>
    <w:p>
      <w:pPr>
        <w:pStyle w:val="Heading2"/>
      </w:pPr>
      <w:r>
        <w:t xml:space="preserve">Classification</w:t>
      </w:r>
    </w:p>
    <w:p>
      <w:pPr>
        <w:pStyle w:val="FirstParagraph"/>
      </w:pPr>
      <w:r>
        <w:t xml:space="preserve">A Hyperbolic Multinomial Logistic Regression (HyperbolicMLR) classifier</w:t>
      </w:r>
      <w:r>
        <w:t xml:space="preserve"> </w:t>
      </w:r>
      <w:r>
        <w:t xml:space="preserve">was trained on 11-dimensional feature vectors: 9 duration-normalised ICI</w:t>
      </w:r>
      <w:r>
        <w:t xml:space="preserve"> </w:t>
      </w:r>
      <w:r>
        <w:t xml:space="preserve">features (ICI divided by total coda duration, yielding a</w:t>
      </w:r>
      <w:r>
        <w:t xml:space="preserve"> </w:t>
      </w:r>
      <w:r>
        <w:t xml:space="preserve">tempo-invariant rhythm representation), log-duration, and normalised</w:t>
      </w:r>
      <w:r>
        <w:t xml:space="preserve"> </w:t>
      </w:r>
      <w:r>
        <w:t xml:space="preserve">click count. Features were standardised (zero mean, unit variance) and</w:t>
      </w:r>
      <w:r>
        <w:t xml:space="preserve"> </w:t>
      </w:r>
      <w:r>
        <w:t xml:space="preserve">mapped to the Poincaré ball via the exponential map at the origin,</w:t>
      </w:r>
      <w:r>
        <w:t xml:space="preserve"> </w:t>
      </w:r>
      <w:r>
        <w:t xml:space="preserve">with scaling calibrated to the 95th percentile of input norms (target</w:t>
      </w:r>
      <w:r>
        <w:t xml:space="preserve"> </w:t>
      </w:r>
      <w:r>
        <w:t xml:space="preserve">norm</w:t>
      </w:r>
      <w:r>
        <w:t xml:space="preserve"> </w:t>
      </w:r>
      <m:oMath>
        <m:r>
          <m:rPr>
            <m:sty m:val="p"/>
          </m:rPr>
          <m:t>=</m:t>
        </m:r>
        <m:r>
          <m:t>0.3</m:t>
        </m:r>
      </m:oMath>
      <w:r>
        <w:t xml:space="preserve">). Class prototypes were initialised from the taxonomic</w:t>
      </w:r>
      <w:r>
        <w:t xml:space="preserve"> </w:t>
      </w:r>
      <w:r>
        <w:t xml:space="preserve">Poincaré embeddings. Training used Adam optimisation with cosine</w:t>
      </w:r>
      <w:r>
        <w:t xml:space="preserve"> </w:t>
      </w:r>
      <w:r>
        <w:t xml:space="preserve">learning rate annealing (500 epochs, initial LR</w:t>
      </w:r>
      <w:r>
        <w:t xml:space="preserve"> </w:t>
      </w:r>
      <m:oMath>
        <m:r>
          <m:rPr>
            <m:sty m:val="p"/>
          </m:rPr>
          <m:t>=</m:t>
        </m:r>
        <m:r>
          <m:t>0.02</m:t>
        </m:r>
      </m:oMath>
      <w:r>
        <w:t xml:space="preserve">, minimum LR</w:t>
      </w:r>
      <w:r>
        <w:t xml:space="preserve"> </w:t>
      </w:r>
      <m:oMath>
        <m:r>
          <m:rPr>
            <m:sty m:val="p"/>
          </m:rPr>
          <m:t>=</m:t>
        </m:r>
        <m:sSup>
          <m:e>
            <m:r>
              <m:t>10</m:t>
            </m:r>
          </m:e>
          <m:sup>
            <m:r>
              <m:rPr>
                <m:sty m:val="p"/>
              </m:rPr>
              <m:t>−</m:t>
            </m:r>
            <m:r>
              <m:t>4</m:t>
            </m:r>
          </m:sup>
        </m:sSup>
      </m:oMath>
      <w:r>
        <w:t xml:space="preserve">, cross-entropy loss). Euclidean baselines (logistic</w:t>
      </w:r>
      <w:r>
        <w:t xml:space="preserve"> </w:t>
      </w:r>
      <w:r>
        <w:t xml:space="preserve">regression,</w:t>
      </w:r>
      <w:r>
        <w:t xml:space="preserve"> </w:t>
      </w:r>
      <m:oMath>
        <m:r>
          <m:t>k</m:t>
        </m:r>
      </m:oMath>
      <w:r>
        <w:t xml:space="preserve">-NN with</w:t>
      </w:r>
      <w:r>
        <w:t xml:space="preserve"> </w:t>
      </w:r>
      <m:oMath>
        <m:r>
          <m:t>k</m:t>
        </m:r>
        <m:r>
          <m:rPr>
            <m:sty m:val="p"/>
          </m:rPr>
          <m:t>=</m:t>
        </m:r>
        <m:r>
          <m:t>5</m:t>
        </m:r>
      </m:oMath>
      <w:r>
        <w:t xml:space="preserve">, random forest with 100 trees) were</w:t>
      </w:r>
      <w:r>
        <w:t xml:space="preserve"> </w:t>
      </w:r>
      <w:r>
        <w:t xml:space="preserve">trained on the same standardised features with an 80/20 stratified</w:t>
      </w:r>
      <w:r>
        <w:t xml:space="preserve"> </w:t>
      </w:r>
      <w:r>
        <w:t xml:space="preserve">train/test split.</w:t>
      </w:r>
    </w:p>
    <w:bookmarkEnd w:id="75"/>
    <w:bookmarkStart w:id="76" w:name="topological-data-analysis"/>
    <w:p>
      <w:pPr>
        <w:pStyle w:val="Heading2"/>
      </w:pPr>
      <w:r>
        <w:t xml:space="preserve">Topological data analysis</w:t>
      </w:r>
    </w:p>
    <w:p>
      <w:pPr>
        <w:pStyle w:val="FirstParagraph"/>
      </w:pPr>
      <w:r>
        <w:t xml:space="preserve">For each coda type with</w:t>
      </w:r>
      <w:r>
        <w:t xml:space="preserve"> </w:t>
      </w:r>
      <m:oMath>
        <m:r>
          <m:rPr>
            <m:sty m:val="p"/>
          </m:rPr>
          <m:t>≥</m:t>
        </m:r>
        <m:r>
          <m:t>40</m:t>
        </m:r>
      </m:oMath>
      <w:r>
        <w:t xml:space="preserve"> </w:t>
      </w:r>
      <w:r>
        <w:t xml:space="preserve">samples, an ICI point cloud was</w:t>
      </w:r>
      <w:r>
        <w:t xml:space="preserve"> </w:t>
      </w:r>
      <w:r>
        <w:t xml:space="preserve">constructed in</w:t>
      </w:r>
      <w:r>
        <w:t xml:space="preserve"> </w:t>
      </w:r>
      <m:oMath>
        <m:sSup>
          <m:e>
            <m:r>
              <m:rPr>
                <m:scr m:val="double-struck"/>
                <m:sty m:val="p"/>
              </m:rPr>
              <m:t>R</m:t>
            </m:r>
          </m:e>
          <m:sup>
            <m:r>
              <m:t>9</m:t>
            </m:r>
          </m:sup>
        </m:sSup>
      </m:oMath>
      <w:r>
        <w:t xml:space="preserve"> </w:t>
      </w:r>
      <w:r>
        <w:t xml:space="preserve">from the filled-zero ICI vectors. Point</w:t>
      </w:r>
      <w:r>
        <w:t xml:space="preserve"> </w:t>
      </w:r>
      <w:r>
        <w:t xml:space="preserve">clouds exceeding 300 points were randomly subsampled (seed</w:t>
      </w:r>
      <w:r>
        <w:t xml:space="preserve"> </w:t>
      </w:r>
      <m:oMath>
        <m:r>
          <m:rPr>
            <m:sty m:val="p"/>
          </m:rPr>
          <m:t>=</m:t>
        </m:r>
        <m:r>
          <m:t>42</m:t>
        </m:r>
      </m:oMath>
      <w:r>
        <w:t xml:space="preserve">).</w:t>
      </w:r>
      <w:r>
        <w:t xml:space="preserve"> </w:t>
      </w:r>
      <w:r>
        <w:t xml:space="preserve">Vietoris–Rips persistent homology was computed to dimension 1 using</w:t>
      </w:r>
      <w:r>
        <w:t xml:space="preserve"> </w:t>
      </w:r>
      <w:r>
        <w:t xml:space="preserve">Ripser </w:t>
      </w:r>
      <w:r>
        <w:t xml:space="preserve">. Eight features were extracted per</w:t>
      </w:r>
      <w:r>
        <w:t xml:space="preserve"> </w:t>
      </w:r>
      <w:r>
        <w:t xml:space="preserve">homology dimension: count, maximum lifetime, total lifetime, mean birth</w:t>
      </w:r>
      <w:r>
        <w:t xml:space="preserve"> </w:t>
      </w:r>
      <w:r>
        <w:t xml:space="preserve">time, mean death time, mean lifetime, lifetime standard deviation, and</w:t>
      </w:r>
      <w:r>
        <w:t xml:space="preserve"> </w:t>
      </w:r>
      <w:r>
        <w:t xml:space="preserve">persistence entropy </w:t>
      </w:r>
      <w:r>
        <w:t xml:space="preserve">.</w:t>
      </w:r>
    </w:p>
    <w:bookmarkEnd w:id="76"/>
    <w:bookmarkStart w:id="77" w:name="spd-manifold-analysis"/>
    <w:p>
      <w:pPr>
        <w:pStyle w:val="Heading2"/>
      </w:pPr>
      <w:r>
        <w:t xml:space="preserve">SPD manifold analysis</w:t>
      </w:r>
    </w:p>
    <w:p>
      <w:pPr>
        <w:pStyle w:val="FirstParagraph"/>
      </w:pPr>
      <w:r>
        <w:t xml:space="preserve">Mel spectrograms (</w:t>
      </w:r>
      <m:oMath>
        <m:sSub>
          <m:e>
            <m:r>
              <m:t>n</m:t>
            </m:r>
          </m:e>
          <m:sub>
            <m:r>
              <m:rPr>
                <m:sty m:val="p"/>
              </m:rPr>
              <m:t>m</m:t>
            </m:r>
            <m:r>
              <m:rPr>
                <m:sty m:val="p"/>
              </m:rPr>
              <m:t>e</m:t>
            </m:r>
            <m:r>
              <m:rPr>
                <m:sty m:val="p"/>
              </m:rPr>
              <m:t>l</m:t>
            </m:r>
            <m:r>
              <m:rPr>
                <m:sty m:val="p"/>
              </m:rPr>
              <m:t>s</m:t>
            </m:r>
          </m:sub>
        </m:sSub>
        <m:r>
          <m:rPr>
            <m:sty m:val="p"/>
          </m:rPr>
          <m:t>=</m:t>
        </m:r>
        <m:r>
          <m:t>64</m:t>
        </m:r>
      </m:oMath>
      <w:r>
        <w:t xml:space="preserve">, FFT size</w:t>
      </w:r>
      <w:r>
        <w:t xml:space="preserve"> </w:t>
      </w:r>
      <m:oMath>
        <m:r>
          <m:rPr>
            <m:sty m:val="p"/>
          </m:rPr>
          <m:t>=</m:t>
        </m:r>
        <m:r>
          <m:t>1024</m:t>
        </m:r>
      </m:oMath>
      <w:r>
        <w:t xml:space="preserve">,</w:t>
      </w:r>
      <w:r>
        <w:t xml:space="preserve"> </w:t>
      </w:r>
      <w:r>
        <w:t xml:space="preserve">hop</w:t>
      </w:r>
      <w:r>
        <w:t xml:space="preserve"> </w:t>
      </w:r>
      <m:oMath>
        <m:r>
          <m:rPr>
            <m:sty m:val="p"/>
          </m:rPr>
          <m:t>=</m:t>
        </m:r>
        <m:r>
          <m:t>256</m:t>
        </m:r>
      </m:oMath>
      <w:r>
        <w:t xml:space="preserve">) were computed from synthesised coda signals. Spectrograms</w:t>
      </w:r>
      <w:r>
        <w:t xml:space="preserve"> </w:t>
      </w:r>
      <w:r>
        <w:t xml:space="preserve">were partitioned into 8 frequency bands, and band-wise covariance</w:t>
      </w:r>
      <w:r>
        <w:t xml:space="preserve"> </w:t>
      </w:r>
      <w:r>
        <w:t xml:space="preserve">matrices were computed over sliding windows. The log-Euclidean</w:t>
      </w:r>
      <w:r>
        <w:t xml:space="preserve"> </w:t>
      </w:r>
      <w:r>
        <w:t xml:space="preserve">metric </w:t>
      </w:r>
      <w:r>
        <w:t xml:space="preserve"> </w:t>
      </w:r>
      <w:r>
        <w:t xml:space="preserve">on the SPD manifold was used to compute</w:t>
      </w:r>
      <w:r>
        <w:t xml:space="preserve"> </w:t>
      </w:r>
      <w:r>
        <w:t xml:space="preserve">pairwise distances and extract features via eigenvalue decomposition of</w:t>
      </w:r>
      <w:r>
        <w:t xml:space="preserve"> </w:t>
      </w:r>
      <w:r>
        <w:t xml:space="preserve">the matrix logarithm.</w:t>
      </w:r>
    </w:p>
    <w:bookmarkEnd w:id="77"/>
    <w:bookmarkStart w:id="78" w:name="decoder-robustness-index"/>
    <w:p>
      <w:pPr>
        <w:pStyle w:val="Heading2"/>
      </w:pPr>
      <w:r>
        <w:t xml:space="preserve">Decoder Robustness Index</w:t>
      </w:r>
    </w:p>
    <w:p>
      <w:pPr>
        <w:pStyle w:val="FirstParagraph"/>
      </w:pPr>
      <w:r>
        <w:t xml:space="preserve">Coda signals were synthesised from ICI data as Gaussian-enveloped</w:t>
      </w:r>
      <w:r>
        <w:t xml:space="preserve"> </w:t>
      </w:r>
      <w:r>
        <w:t xml:space="preserve">5 kHz click trains at 32 kHz sample rate. Nine parametric acoustic</w:t>
      </w:r>
      <w:r>
        <w:t xml:space="preserve"> </w:t>
      </w:r>
      <w:r>
        <w:t xml:space="preserve">transforms were applied at 11 intensity levels (0.0 to 1.0): additive</w:t>
      </w:r>
      <w:r>
        <w:t xml:space="preserve"> </w:t>
      </w:r>
      <w:r>
        <w:t xml:space="preserve">Gaussian noise, pink noise, Doppler shift, multipath echo, amplitude</w:t>
      </w:r>
      <w:r>
        <w:t xml:space="preserve"> </w:t>
      </w:r>
      <w:r>
        <w:t xml:space="preserve">scaling, time stretch, spectral mask, click dropout, and circular time</w:t>
      </w:r>
      <w:r>
        <w:t xml:space="preserve"> </w:t>
      </w:r>
      <w:r>
        <w:t xml:space="preserve">shift. Each transform satisfies the identity property: at intensity 0.0,</w:t>
      </w:r>
      <w:r>
        <w:t xml:space="preserve"> </w:t>
      </w:r>
      <w:r>
        <w:t xml:space="preserve">the signal is unchanged. Four transforms (amplitude scale, time shift,</w:t>
      </w:r>
      <w:r>
        <w:t xml:space="preserve"> </w:t>
      </w:r>
      <w:r>
        <w:t xml:space="preserve">additive noise, pink noise) are designated as invariant (a correct</w:t>
      </w:r>
      <w:r>
        <w:t xml:space="preserve"> </w:t>
      </w:r>
      <w:r>
        <w:t xml:space="preserve">decoder should tolerate them); five are designated as stress transforms.</w:t>
      </w:r>
    </w:p>
    <w:p>
      <w:pPr>
        <w:pStyle w:val="BodyText"/>
      </w:pPr>
      <w:r>
        <w:t xml:space="preserve">The DRI was computed as</w:t>
      </w:r>
      <w:r>
        <w:t xml:space="preserve"> </w:t>
      </w:r>
      <m:oMath>
        <m:r>
          <m:rPr>
            <m:nor/>
            <m:sty m:val="p"/>
          </m:rPr>
          <m:t>DRI</m:t>
        </m:r>
        <m:r>
          <m:rPr>
            <m:sty m:val="p"/>
          </m:rPr>
          <m:t>=</m:t>
        </m:r>
        <m:r>
          <m:t>0.5</m:t>
        </m:r>
        <m:r>
          <m:rPr>
            <m:sty m:val="p"/>
          </m:rPr>
          <m:t>⋅</m:t>
        </m:r>
        <m:acc>
          <m:accPr>
            <m:chr m:val="‾"/>
          </m:accPr>
          <m:e>
            <m:r>
              <m:t>ω</m:t>
            </m:r>
          </m:e>
        </m:acc>
        <m:r>
          <m:rPr>
            <m:sty m:val="p"/>
          </m:rPr>
          <m:t>+</m:t>
        </m:r>
        <m:r>
          <m:t>0.3</m:t>
        </m:r>
        <m:r>
          <m:rPr>
            <m:sty m:val="p"/>
          </m:rPr>
          <m:t>⋅</m:t>
        </m:r>
        <m:sSub>
          <m:e>
            <m:r>
              <m:t>ω</m:t>
            </m:r>
          </m:e>
          <m:sub>
            <m:r>
              <m:t>75</m:t>
            </m:r>
          </m:sub>
        </m:sSub>
        <m:r>
          <m:rPr>
            <m:sty m:val="p"/>
          </m:rPr>
          <m:t>+</m:t>
        </m:r>
        <m:r>
          <m:t>0.2</m:t>
        </m:r>
        <m:r>
          <m:rPr>
            <m:sty m:val="p"/>
          </m:rPr>
          <m:t>⋅</m:t>
        </m:r>
        <m:sSub>
          <m:e>
            <m:r>
              <m:t>ω</m:t>
            </m:r>
          </m:e>
          <m:sub>
            <m:r>
              <m:t>95</m:t>
            </m:r>
          </m:sub>
        </m:sSub>
      </m:oMath>
      <w:r>
        <w:t xml:space="preserve">, where</w:t>
      </w:r>
      <w:r>
        <w:t xml:space="preserve"> </w:t>
      </w:r>
      <m:oMath>
        <m:r>
          <m:t>ω</m:t>
        </m:r>
      </m:oMath>
      <w:r>
        <w:t xml:space="preserve"> </w:t>
      </w:r>
      <w:r>
        <w:t xml:space="preserve">is the</w:t>
      </w:r>
      <w:r>
        <w:t xml:space="preserve"> </w:t>
      </w:r>
      <w:r>
        <w:t xml:space="preserve">graduated semantic distance between baseline and perturbed</w:t>
      </w:r>
      <w:r>
        <w:t xml:space="preserve"> </w:t>
      </w:r>
      <w:r>
        <w:t xml:space="preserve">classifications. Adversarial thresholds were found via binary search for</w:t>
      </w:r>
      <w:r>
        <w:t xml:space="preserve"> </w:t>
      </w:r>
      <w:r>
        <w:t xml:space="preserve">the minimal intensity causing a classification flip (tolerance</w:t>
      </w:r>
      <w:r>
        <w:t xml:space="preserve"> </w:t>
      </w:r>
      <m:oMath>
        <m:r>
          <m:rPr>
            <m:sty m:val="p"/>
          </m:rPr>
          <m:t>=</m:t>
        </m:r>
        <m:r>
          <m:t>0.01</m:t>
        </m:r>
      </m:oMath>
      <w:r>
        <w:t xml:space="preserve">).</w:t>
      </w:r>
      <w:r>
        <w:t xml:space="preserve"> </w:t>
      </w:r>
      <w:r>
        <w:t xml:space="preserve">Transform chains of length 1–2 were randomly generated for</w:t>
      </w:r>
      <w:r>
        <w:t xml:space="preserve"> </w:t>
      </w:r>
      <w:r>
        <w:t xml:space="preserve">compositional robustness testing.</w:t>
      </w:r>
    </w:p>
    <w:p>
      <w:pPr>
        <w:pStyle w:val="BodyText"/>
      </w:pPr>
      <w:r>
        <w:t xml:space="preserve">For the phonetic boundary discovery analysis, all nine transforms were</w:t>
      </w:r>
      <w:r>
        <w:t xml:space="preserve"> </w:t>
      </w:r>
      <w:r>
        <w:t xml:space="preserve">applied at 11 intensity levels to 20 codas per type for the 8 most</w:t>
      </w:r>
      <w:r>
        <w:t xml:space="preserve"> </w:t>
      </w:r>
      <w:r>
        <w:t xml:space="preserve">frequent types, and boundary crossing rates, phonetic neighbourhood</w:t>
      </w:r>
      <w:r>
        <w:t xml:space="preserve"> </w:t>
      </w:r>
      <w:r>
        <w:t xml:space="preserve">transition matrices, and per-type activation thresholds were computed.</w:t>
      </w:r>
    </w:p>
    <w:bookmarkEnd w:id="78"/>
    <w:bookmarkStart w:id="79" w:name="statistical-analyses"/>
    <w:p>
      <w:pPr>
        <w:pStyle w:val="Heading2"/>
      </w:pPr>
      <w:r>
        <w:t xml:space="preserve">Statistical analyses</w:t>
      </w:r>
    </w:p>
    <w:p>
      <w:pPr>
        <w:pStyle w:val="FirstParagraph"/>
      </w:pPr>
      <w:r>
        <w:t xml:space="preserve">Zipf’s law was assessed by fitting a power law</w:t>
      </w:r>
      <w:r>
        <w:t xml:space="preserve"> </w:t>
      </w:r>
      <m:oMath>
        <m:r>
          <m:t>f</m:t>
        </m:r>
        <m:r>
          <m:rPr>
            <m:sty m:val="p"/>
          </m:rPr>
          <m:t>(</m:t>
        </m:r>
        <m:r>
          <m:t>r</m:t>
        </m:r>
        <m:r>
          <m:rPr>
            <m:sty m:val="p"/>
          </m:rPr>
          <m:t>)</m:t>
        </m:r>
        <m:r>
          <m:rPr>
            <m:sty m:val="p"/>
          </m:rPr>
          <m:t>=</m:t>
        </m:r>
        <m:r>
          <m:t>C</m:t>
        </m:r>
        <m:r>
          <m:rPr>
            <m:sty m:val="p"/>
          </m:rPr>
          <m:t>⋅</m:t>
        </m:r>
        <m:sSup>
          <m:e>
            <m:r>
              <m:t>r</m:t>
            </m:r>
          </m:e>
          <m:sup>
            <m:r>
              <m:rPr>
                <m:sty m:val="p"/>
              </m:rPr>
              <m:t>−</m:t>
            </m:r>
            <m:r>
              <m:t>α</m:t>
            </m:r>
          </m:sup>
        </m:sSup>
      </m:oMath>
      <w:r>
        <w:t xml:space="preserve"> </w:t>
      </w:r>
      <w:r>
        <w:t xml:space="preserve">to the rank-frequency distribution via nonlinear</w:t>
      </w:r>
      <w:r>
        <w:t xml:space="preserve"> </w:t>
      </w:r>
      <w:r>
        <w:t xml:space="preserve">least-squares. Menzerath’s law was tested via Spearman rank correlation</w:t>
      </w:r>
      <w:r>
        <w:t xml:space="preserve"> </w:t>
      </w:r>
      <w:r>
        <w:t xml:space="preserve">between click count and mean ICI. Sequential structure was quantified</w:t>
      </w:r>
      <w:r>
        <w:t xml:space="preserve"> </w:t>
      </w:r>
      <w:r>
        <w:t xml:space="preserve">via unigram entropy</w:t>
      </w:r>
      <w:r>
        <w:t xml:space="preserve"> </w:t>
      </w:r>
      <m:oMath>
        <m:r>
          <m:t>H</m:t>
        </m:r>
        <m:r>
          <m:rPr>
            <m:sty m:val="p"/>
          </m:rPr>
          <m:t>(</m:t>
        </m:r>
        <m:r>
          <m:t>R</m:t>
        </m:r>
        <m:r>
          <m:rPr>
            <m:sty m:val="p"/>
          </m:rPr>
          <m:t>)</m:t>
        </m:r>
        <m:r>
          <m:rPr>
            <m:sty m:val="p"/>
          </m:rPr>
          <m:t>=</m:t>
        </m:r>
        <m:r>
          <m:rPr>
            <m:sty m:val="p"/>
          </m:rPr>
          <m:t>−</m:t>
        </m:r>
        <m:nary>
          <m:naryPr>
            <m:chr m:val="∑"/>
            <m:limLoc m:val="undOvr"/>
            <m:subHide m:val="off"/>
            <m:supHide m:val="on"/>
          </m:naryPr>
          <m:sub>
            <m:r>
              <m:t>r</m:t>
            </m:r>
          </m:sub>
          <m:sup>
            <m:r>
              <m:t>​</m:t>
            </m:r>
          </m:sup>
          <m:e>
            <m:r>
              <m:t>p</m:t>
            </m:r>
          </m:e>
        </m:nary>
        <m:r>
          <m:rPr>
            <m:sty m:val="p"/>
          </m:rPr>
          <m:t>(</m:t>
        </m:r>
        <m:r>
          <m:t>r</m:t>
        </m:r>
        <m:r>
          <m:rPr>
            <m:sty m:val="p"/>
          </m:rPr>
          <m:t>)</m:t>
        </m:r>
        <m:sSub>
          <m:e>
            <m:r>
              <m:rPr>
                <m:sty m:val="p"/>
              </m:rPr>
              <m:t>log</m:t>
            </m:r>
          </m:e>
          <m:sub>
            <m:r>
              <m:t>2</m:t>
            </m:r>
          </m:sub>
        </m:sSub>
        <m:r>
          <m:t>p</m:t>
        </m:r>
        <m:r>
          <m:rPr>
            <m:sty m:val="p"/>
          </m:rPr>
          <m:t>(</m:t>
        </m:r>
        <m:r>
          <m:t>r</m:t>
        </m:r>
        <m:r>
          <m:rPr>
            <m:sty m:val="p"/>
          </m:rPr>
          <m:t>)</m:t>
        </m:r>
      </m:oMath>
      <w:r>
        <w:t xml:space="preserve">, bigram</w:t>
      </w:r>
      <w:r>
        <w:t xml:space="preserve"> </w:t>
      </w:r>
      <w:r>
        <w:t xml:space="preserve">conditional entropy</w:t>
      </w:r>
      <w:r>
        <w:t xml:space="preserve"> </w:t>
      </w:r>
      <m:oMath>
        <m:r>
          <m:t>H</m:t>
        </m:r>
        <m:r>
          <m:rPr>
            <m:sty m:val="p"/>
          </m:rPr>
          <m:t>(</m:t>
        </m:r>
        <m:sSub>
          <m:e>
            <m:r>
              <m:t>R</m:t>
            </m:r>
          </m:e>
          <m:sub>
            <m:r>
              <m:t>t</m:t>
            </m:r>
            <m:r>
              <m:rPr>
                <m:sty m:val="p"/>
              </m:rPr>
              <m:t>+</m:t>
            </m:r>
            <m:r>
              <m:t>1</m:t>
            </m:r>
          </m:sub>
        </m:sSub>
        <m:r>
          <m:rPr>
            <m:sty m:val="p"/>
          </m:rPr>
          <m:t>|</m:t>
        </m:r>
        <m:sSub>
          <m:e>
            <m:r>
              <m:t>R</m:t>
            </m:r>
          </m:e>
          <m:sub>
            <m:r>
              <m:t>t</m:t>
            </m:r>
          </m:sub>
        </m:sSub>
        <m:r>
          <m:rPr>
            <m:sty m:val="p"/>
          </m:rPr>
          <m:t>)</m:t>
        </m:r>
      </m:oMath>
      <w:r>
        <w:t xml:space="preserve">, and mutual information</w:t>
      </w:r>
      <w:r>
        <w:t xml:space="preserve"> </w:t>
      </w:r>
      <m:oMath>
        <m:r>
          <m:t>I</m:t>
        </m:r>
        <m:r>
          <m:rPr>
            <m:sty m:val="p"/>
          </m:rPr>
          <m:t>=</m:t>
        </m:r>
        <m:r>
          <m:t>H</m:t>
        </m:r>
        <m:r>
          <m:rPr>
            <m:sty m:val="p"/>
          </m:rPr>
          <m:t>(</m:t>
        </m:r>
        <m:r>
          <m:t>R</m:t>
        </m:r>
        <m:r>
          <m:rPr>
            <m:sty m:val="p"/>
          </m:rPr>
          <m:t>)</m:t>
        </m:r>
        <m:r>
          <m:rPr>
            <m:sty m:val="p"/>
          </m:rPr>
          <m:t>−</m:t>
        </m:r>
        <m:r>
          <m:t>H</m:t>
        </m:r>
        <m:r>
          <m:rPr>
            <m:sty m:val="p"/>
          </m:rPr>
          <m:t>(</m:t>
        </m:r>
        <m:sSub>
          <m:e>
            <m:r>
              <m:t>R</m:t>
            </m:r>
          </m:e>
          <m:sub>
            <m:r>
              <m:t>t</m:t>
            </m:r>
            <m:r>
              <m:rPr>
                <m:sty m:val="p"/>
              </m:rPr>
              <m:t>+</m:t>
            </m:r>
            <m:r>
              <m:t>1</m:t>
            </m:r>
          </m:sub>
        </m:sSub>
        <m:r>
          <m:rPr>
            <m:sty m:val="p"/>
          </m:rPr>
          <m:t>|</m:t>
        </m:r>
        <m:sSub>
          <m:e>
            <m:r>
              <m:t>R</m:t>
            </m:r>
          </m:e>
          <m:sub>
            <m:r>
              <m:t>t</m:t>
            </m:r>
          </m:sub>
        </m:sSub>
        <m:r>
          <m:rPr>
            <m:sty m:val="p"/>
          </m:rPr>
          <m:t>)</m:t>
        </m:r>
      </m:oMath>
      <w:r>
        <w:t xml:space="preserve">. Prediction accuracy was computed as the</w:t>
      </w:r>
      <w:r>
        <w:t xml:space="preserve"> </w:t>
      </w:r>
      <w:r>
        <w:t xml:space="preserve">proportion of transitions correctly predicted by the most common</w:t>
      </w:r>
      <w:r>
        <w:t xml:space="preserve"> </w:t>
      </w:r>
      <w:r>
        <w:t xml:space="preserve">successor (bigram) or most common successor given the preceding pair</w:t>
      </w:r>
      <w:r>
        <w:t xml:space="preserve"> </w:t>
      </w:r>
      <w:r>
        <w:t xml:space="preserve">(trigram). Individual accents were tested via pairwise Kolmogorov–Smirnov</w:t>
      </w:r>
      <w:r>
        <w:t xml:space="preserve"> </w:t>
      </w:r>
      <w:r>
        <w:t xml:space="preserve">tests on ICI distributions for whales with</w:t>
      </w:r>
      <w:r>
        <w:t xml:space="preserve"> </w:t>
      </w:r>
      <m:oMath>
        <m:r>
          <m:rPr>
            <m:sty m:val="p"/>
          </m:rPr>
          <m:t>≥</m:t>
        </m:r>
        <m:r>
          <m:t>10</m:t>
        </m:r>
      </m:oMath>
      <w:r>
        <w:t xml:space="preserve"> </w:t>
      </w:r>
      <w:r>
        <w:t xml:space="preserve">codas of the same</w:t>
      </w:r>
      <w:r>
        <w:t xml:space="preserve"> </w:t>
      </w:r>
      <w:r>
        <w:t xml:space="preserve">type. Turn-taking was assessed by comparing inter-coda intervals for</w:t>
      </w:r>
      <w:r>
        <w:t xml:space="preserve"> </w:t>
      </w:r>
      <w:r>
        <w:t xml:space="preserve">same-whale versus cross-whale transitions within recording sessions,</w:t>
      </w:r>
      <w:r>
        <w:t xml:space="preserve"> </w:t>
      </w:r>
      <w:r>
        <w:t xml:space="preserve">with significance assessed via Kolmogorov–Smirnov test.</w:t>
      </w:r>
    </w:p>
    <w:bookmarkEnd w:id="79"/>
    <w:bookmarkStart w:id="82" w:name="software"/>
    <w:p>
      <w:pPr>
        <w:pStyle w:val="Heading2"/>
      </w:pPr>
      <w:r>
        <w:t xml:space="preserve">Software</w:t>
      </w:r>
    </w:p>
    <w:p>
      <w:pPr>
        <w:pStyle w:val="FirstParagraph"/>
      </w:pPr>
      <w:r>
        <w:t xml:space="preserve">All analyses were implemented in the</w:t>
      </w:r>
      <w:r>
        <w:t xml:space="preserve"> </w:t>
      </w:r>
      <w:r>
        <w:rPr>
          <w:rStyle w:val="VerbatimChar"/>
        </w:rPr>
        <w:t xml:space="preserve">eris-ketos</w:t>
      </w:r>
      <w:r>
        <w:t xml:space="preserve"> </w:t>
      </w:r>
      <w:r>
        <w:t xml:space="preserve">Python package</w:t>
      </w:r>
      <w:r>
        <w:t xml:space="preserve"> </w:t>
      </w:r>
      <w:r>
        <w:t xml:space="preserve">(v0.1.0), available on</w:t>
      </w:r>
      <w:r>
        <w:t xml:space="preserve"> </w:t>
      </w:r>
      <w:hyperlink r:id="rId80">
        <w:r>
          <w:rPr>
            <w:rStyle w:val="Hyperlink"/>
          </w:rPr>
          <w:t xml:space="preserve">PyPI</w:t>
        </w:r>
      </w:hyperlink>
      <w:r>
        <w:t xml:space="preserve"> </w:t>
      </w:r>
      <w:r>
        <w:t xml:space="preserve">and</w:t>
      </w:r>
      <w:r>
        <w:t xml:space="preserve"> </w:t>
      </w:r>
      <w:hyperlink r:id="rId81">
        <w:r>
          <w:rPr>
            <w:rStyle w:val="Hyperlink"/>
          </w:rPr>
          <w:t xml:space="preserve">GitHub</w:t>
        </w:r>
      </w:hyperlink>
      <w:r>
        <w:t xml:space="preserve">. The package depends on</w:t>
      </w:r>
      <w:r>
        <w:t xml:space="preserve"> </w:t>
      </w:r>
      <w:r>
        <w:t xml:space="preserve">NumPy, PyTorch, scikit-learn, Ripser, and librosa. A self-contained</w:t>
      </w:r>
      <w:r>
        <w:t xml:space="preserve"> </w:t>
      </w:r>
      <w:r>
        <w:t xml:space="preserve">Jupyter notebook reproducing all results is included in the repository.</w:t>
      </w:r>
    </w:p>
    <w:bookmarkEnd w:id="82"/>
    <w:bookmarkEnd w:id="83"/>
    <w:bookmarkStart w:id="86" w:name="data-availability"/>
    <w:p>
      <w:pPr>
        <w:pStyle w:val="Heading1"/>
      </w:pPr>
      <w:r>
        <w:t xml:space="preserve">Data availability</w:t>
      </w:r>
    </w:p>
    <w:p>
      <w:pPr>
        <w:pStyle w:val="FirstParagraph"/>
      </w:pPr>
      <w:r>
        <w:t xml:space="preserve">The DSWP coda annotation dataset is available at the</w:t>
      </w:r>
      <w:r>
        <w:t xml:space="preserve"> </w:t>
      </w:r>
      <w:hyperlink r:id="rId84">
        <w:r>
          <w:rPr>
            <w:rStyle w:val="Hyperlink"/>
          </w:rPr>
          <w:t xml:space="preserve">Sharma et al. GitHub repository</w:t>
        </w:r>
      </w:hyperlink>
      <w:r>
        <w:t xml:space="preserve"> </w:t>
      </w:r>
      <w:r>
        <w:t xml:space="preserve">under CC BY 4.0 licence. Raw audio recordings are available on the</w:t>
      </w:r>
      <w:r>
        <w:t xml:space="preserve"> </w:t>
      </w:r>
      <w:hyperlink r:id="rId85">
        <w:r>
          <w:rPr>
            <w:rStyle w:val="Hyperlink"/>
          </w:rPr>
          <w:t xml:space="preserve">DSWP HuggingFace dataset</w:t>
        </w:r>
      </w:hyperlink>
      <w:r>
        <w:t xml:space="preserve">.</w:t>
      </w:r>
    </w:p>
    <w:bookmarkEnd w:id="86"/>
    <w:bookmarkStart w:id="87" w:name="code-availability"/>
    <w:p>
      <w:pPr>
        <w:pStyle w:val="Heading1"/>
      </w:pPr>
      <w:r>
        <w:t xml:space="preserve">Code availability</w:t>
      </w:r>
    </w:p>
    <w:p>
      <w:pPr>
        <w:pStyle w:val="FirstParagraph"/>
      </w:pPr>
      <w:r>
        <w:t xml:space="preserve">The</w:t>
      </w:r>
      <w:r>
        <w:t xml:space="preserve"> </w:t>
      </w:r>
      <w:r>
        <w:rPr>
          <w:rStyle w:val="VerbatimChar"/>
        </w:rPr>
        <w:t xml:space="preserve">eris-ketos</w:t>
      </w:r>
      <w:r>
        <w:t xml:space="preserve"> </w:t>
      </w:r>
      <w:r>
        <w:t xml:space="preserve">package is available at the</w:t>
      </w:r>
      <w:r>
        <w:t xml:space="preserve"> </w:t>
      </w:r>
      <w:hyperlink r:id="rId81">
        <w:r>
          <w:rPr>
            <w:rStyle w:val="Hyperlink"/>
          </w:rPr>
          <w:t xml:space="preserve">eris-ketos GitHub repository</w:t>
        </w:r>
      </w:hyperlink>
      <w:r>
        <w:t xml:space="preserve"> </w:t>
      </w:r>
      <w:r>
        <w:t xml:space="preserve">under MIT licence.</w:t>
      </w:r>
    </w:p>
    <w:bookmarkEnd w:id="87"/>
    <w:bookmarkStart w:id="88" w:name="acknowledgements"/>
    <w:p>
      <w:pPr>
        <w:pStyle w:val="Heading1"/>
      </w:pPr>
      <w:r>
        <w:t xml:space="preserve">Acknowledgements</w:t>
      </w:r>
    </w:p>
    <w:p>
      <w:pPr>
        <w:pStyle w:val="FirstParagraph"/>
      </w:pPr>
      <w:r>
        <w:t xml:space="preserve">We thank Shane Gero and the Dominica Sperm Whale Project for making the</w:t>
      </w:r>
      <w:r>
        <w:t xml:space="preserve"> </w:t>
      </w:r>
      <w:r>
        <w:t xml:space="preserve">coda annotation data publicly available, and Pratyusha Sharma and</w:t>
      </w:r>
      <w:r>
        <w:t xml:space="preserve"> </w:t>
      </w:r>
      <w:r>
        <w:t xml:space="preserve">colleagues for releasing the combinatorial analysis code and data. The</w:t>
      </w:r>
      <w:r>
        <w:t xml:space="preserve"> </w:t>
      </w:r>
      <w:r>
        <w:t xml:space="preserve">geometric analysis toolkit builds on the ErisML framework for structured</w:t>
      </w:r>
      <w:r>
        <w:t xml:space="preserve"> </w:t>
      </w:r>
      <w:r>
        <w:t xml:space="preserve">ethical evaluation.</w:t>
      </w:r>
    </w:p>
    <w:bookmarkEnd w:id="88"/>
    <w:sectPr>
      <w:footnotePr>
        <w:numRestart w:val="eachSect"/>
      </w:footnotePr>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http://schemas.openxmlformats.org/wordprocessingml/2006/main">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201">
    <w:nsid w:val="00A99201"/>
    <w:multiLevelType w:val="multilevel"/>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numId="1000">
    <w:abstractNumId w:val="990"/>
  </w:num>
  <w:num w:numId="1001">
    <w:abstractNumId w:val="99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2">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proofState w:grammar="clean" w:spelling="clean"/>
  <w:stylePaneFormatFilter w:val="0004"/>
  <w:doNotTrackMoves/>
  <w:defaultTabStop w:val="720"/>
  <w:drawingGridHorizontalSpacing w:val="360"/>
  <w:drawingGridVerticalSpacing w:val="360"/>
  <w:displayHorizontalDrawingGridEvery w:val="0"/>
  <w:displayVerticalDrawingGridEvery w:val="0"/>
  <w:characterSpacingControl w:val="doNotCompress"/>
  <w:savePreviewPicture/>
  <w:rsids>
  </w:rsids>
  <w:themeFontLang w:val="en-US"/>
  <w:clrSchemeMapping w:accent1="accent1" w:accent2="accent2" w:accent3="accent3" w:accent4="accent4" w:accent5="accent5" w:accent6="accent6" w:bg1="light1" w:bg2="light2" w:followedHyperlink="followedHyperlink" w:hyperlink="hyperlink" w:t1="dark1" w:t2="dark2"/>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EastAsia" w:hAnsiTheme="minorHAnsi"/>
        <w:sz w:val="24"/>
        <w:szCs w:val="24"/>
        <w:lang w:bidi="ar-SA" w:eastAsia="zh-CN"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qFormat/>
    <w:pPr>
      <w:spacing w:after="180" w:before="180"/>
    </w:pPr>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link w:val="TitleChar"/>
    <w:uiPriority w:val="10"/>
    <w:qFormat/>
    <w:rsid w:val="00A10FD9"/>
    <w:pPr>
      <w:spacing w:after="80" w:line="240" w:lineRule="auto"/>
      <w:contextualSpacing/>
      <w:jc w:val="center"/>
    </w:pPr>
    <w:rPr>
      <w:rFonts w:asciiTheme="majorHAnsi" w:cstheme="majorBidi" w:eastAsiaTheme="majorEastAsia" w:hAnsiTheme="majorHAnsi"/>
      <w:sz w:val="56"/>
      <w:szCs w:val="56"/>
    </w:rPr>
  </w:style>
  <w:style w:customStyle="1" w:styleId="TitleChar" w:type="character">
    <w:name w:val="Title Char"/>
    <w:basedOn w:val="DefaultParagraphFont"/>
    <w:link w:val="Title"/>
    <w:uiPriority w:val="10"/>
    <w:rsid w:val="00A10FD9"/>
    <w:rPr>
      <w:rFonts w:asciiTheme="majorHAnsi" w:cstheme="majorBidi" w:eastAsiaTheme="majorEastAsia" w:hAnsiTheme="majorHAnsi"/>
      <w:sz w:val="56"/>
      <w:szCs w:val="56"/>
    </w:rPr>
  </w:style>
  <w:style w:styleId="Subtitle" w:type="paragraph">
    <w:name w:val="Subtitle"/>
    <w:basedOn w:val="Title"/>
    <w:next w:val="BodyText"/>
    <w:link w:val="SubtitleChar"/>
    <w:uiPriority w:val="11"/>
    <w:qFormat/>
    <w:rsid w:val="00A10FD9"/>
    <w:pPr>
      <w:numPr>
        <w:ilvl w:val="1"/>
      </w:numPr>
    </w:pPr>
    <w:rPr>
      <w:rFonts w:cstheme="majorBidi" w:eastAsiaTheme="majorEastAsia"/>
      <w:spacing w:val="15"/>
      <w:sz w:val="28"/>
      <w:szCs w:val="28"/>
    </w:rPr>
  </w:style>
  <w:style w:customStyle="1" w:styleId="SubtitleChar" w:type="character">
    <w:name w:val="Subtitle Char"/>
    <w:basedOn w:val="DefaultParagraphFont"/>
    <w:link w:val="Subtitle"/>
    <w:uiPriority w:val="11"/>
    <w:rsid w:val="00A10FD9"/>
    <w:rPr>
      <w:rFonts w:cstheme="majorBidi" w:eastAsiaTheme="majorEastAsia"/>
      <w:color w:themeColor="text1" w:themeTint="A6" w:val="595959"/>
      <w:spacing w:val="15"/>
      <w:sz w:val="28"/>
      <w:szCs w:val="28"/>
    </w:rPr>
  </w:style>
  <w:style w:customStyle="1" w:styleId="Author" w:type="paragraph">
    <w:name w:val="Author"/>
    <w:basedOn w:val="Title"/>
    <w:next w:val="BodyText"/>
    <w:qFormat/>
    <w:pPr>
      <w:keepNext/>
      <w:keepLines/>
    </w:pPr>
    <w:rPr>
      <w:sz w:val="24"/>
      <w:szCs w:val="24"/>
    </w:rPr>
  </w:style>
  <w:style w:styleId="Date" w:type="paragraph">
    <w:name w:val="Date"/>
    <w:basedOn w:val="Title"/>
    <w:next w:val="BodyText"/>
    <w:qFormat/>
    <w:pPr>
      <w:keepNext/>
      <w:keepLines/>
    </w:pPr>
    <w:rPr>
      <w:sz w:val="24"/>
      <w:szCs w:val="24"/>
    </w:rPr>
  </w:style>
  <w:style w:customStyle="1" w:styleId="AbstractTitle" w:type="paragraph">
    <w:name w:val="Abstract Title"/>
    <w:basedOn w:val="Normal"/>
    <w:next w:val="Abstract"/>
    <w:qFormat/>
    <w:pPr>
      <w:keepNext/>
      <w:keepLines/>
      <w:spacing w:after="0" w:before="300"/>
      <w:jc w:val="center"/>
    </w:pPr>
    <w:rPr>
      <w:b/>
      <w:sz w:val="20"/>
      <w:szCs w:val="20"/>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link w:val="Heading1Char"/>
    <w:uiPriority w:val="9"/>
    <w:qFormat/>
    <w:rsid w:val="00A10FD9"/>
    <w:pPr>
      <w:keepNext/>
      <w:keepLines/>
      <w:spacing w:after="80" w:before="360"/>
      <w:outlineLvl w:val="0"/>
    </w:pPr>
    <w:rPr>
      <w:rFonts w:asciiTheme="majorHAnsi" w:cstheme="majorBidi" w:eastAsiaTheme="majorEastAsia" w:hAnsiTheme="majorHAnsi"/>
      <w:color w:themeColor="accent1" w:themeShade="BF" w:val="0F4761"/>
      <w:sz w:val="40"/>
      <w:szCs w:val="40"/>
    </w:rPr>
  </w:style>
  <w:style w:styleId="Heading2" w:type="paragraph">
    <w:name w:val="heading 2"/>
    <w:basedOn w:val="Normal"/>
    <w:next w:val="BodyText"/>
    <w:link w:val="Heading2Char"/>
    <w:uiPriority w:val="9"/>
    <w:semiHidden/>
    <w:unhideWhenUsed/>
    <w:qFormat/>
    <w:rsid w:val="00A10FD9"/>
    <w:pPr>
      <w:keepNext/>
      <w:keepLines/>
      <w:spacing w:after="80" w:before="160"/>
      <w:outlineLvl w:val="1"/>
    </w:pPr>
    <w:rPr>
      <w:rFonts w:asciiTheme="majorHAnsi" w:cstheme="majorBidi" w:eastAsiaTheme="majorEastAsia" w:hAnsiTheme="majorHAnsi"/>
      <w:color w:themeColor="accent1" w:themeShade="BF" w:val="0F4761"/>
      <w:sz w:val="32"/>
      <w:szCs w:val="32"/>
    </w:rPr>
  </w:style>
  <w:style w:styleId="Heading3" w:type="paragraph">
    <w:name w:val="heading 3"/>
    <w:basedOn w:val="Normal"/>
    <w:next w:val="BodyText"/>
    <w:link w:val="Heading3Char"/>
    <w:uiPriority w:val="9"/>
    <w:semiHidden/>
    <w:unhideWhenUsed/>
    <w:qFormat/>
    <w:rsid w:val="00A10FD9"/>
    <w:pPr>
      <w:keepNext/>
      <w:keepLines/>
      <w:spacing w:after="80" w:before="160"/>
      <w:outlineLvl w:val="2"/>
    </w:pPr>
    <w:rPr>
      <w:rFonts w:cstheme="majorBidi" w:eastAsiaTheme="majorEastAsia"/>
      <w:color w:themeColor="accent1" w:themeShade="BF" w:val="0F4761"/>
      <w:sz w:val="28"/>
      <w:szCs w:val="28"/>
    </w:rPr>
  </w:style>
  <w:style w:styleId="Heading4" w:type="paragraph">
    <w:name w:val="heading 4"/>
    <w:basedOn w:val="Normal"/>
    <w:next w:val="BodyText"/>
    <w:link w:val="Heading4Char"/>
    <w:uiPriority w:val="9"/>
    <w:semiHidden/>
    <w:unhideWhenUsed/>
    <w:qFormat/>
    <w:rsid w:val="00A10FD9"/>
    <w:pPr>
      <w:keepNext/>
      <w:keepLines/>
      <w:spacing w:after="40" w:before="80"/>
      <w:outlineLvl w:val="3"/>
    </w:pPr>
    <w:rPr>
      <w:rFonts w:cstheme="majorBidi" w:eastAsiaTheme="majorEastAsia"/>
      <w:i/>
      <w:iCs/>
      <w:color w:themeColor="accent1" w:themeShade="BF" w:val="0F4761"/>
    </w:rPr>
  </w:style>
  <w:style w:styleId="Heading5" w:type="paragraph">
    <w:name w:val="heading 5"/>
    <w:basedOn w:val="Normal"/>
    <w:next w:val="BodyText"/>
    <w:link w:val="Heading5Char"/>
    <w:uiPriority w:val="9"/>
    <w:semiHidden/>
    <w:unhideWhenUsed/>
    <w:qFormat/>
    <w:rsid w:val="00A10FD9"/>
    <w:pPr>
      <w:keepNext/>
      <w:keepLines/>
      <w:spacing w:after="40" w:before="80"/>
      <w:outlineLvl w:val="4"/>
    </w:pPr>
    <w:rPr>
      <w:rFonts w:cstheme="majorBidi" w:eastAsiaTheme="majorEastAsia"/>
      <w:color w:themeColor="accent1" w:themeShade="BF" w:val="0F4761"/>
    </w:rPr>
  </w:style>
  <w:style w:styleId="Heading6" w:type="paragraph">
    <w:name w:val="heading 6"/>
    <w:basedOn w:val="Normal"/>
    <w:next w:val="BodyText"/>
    <w:link w:val="Heading6Char"/>
    <w:uiPriority w:val="9"/>
    <w:semiHidden/>
    <w:unhideWhenUsed/>
    <w:qFormat/>
    <w:rsid w:val="00A10FD9"/>
    <w:pPr>
      <w:keepNext/>
      <w:keepLines/>
      <w:spacing w:after="0" w:before="40"/>
      <w:outlineLvl w:val="5"/>
    </w:pPr>
    <w:rPr>
      <w:rFonts w:cstheme="majorBidi" w:eastAsiaTheme="majorEastAsia"/>
      <w:i/>
      <w:iCs/>
      <w:color w:themeColor="text1" w:themeTint="A6" w:val="595959"/>
    </w:rPr>
  </w:style>
  <w:style w:styleId="Heading7" w:type="paragraph">
    <w:name w:val="heading 7"/>
    <w:basedOn w:val="Normal"/>
    <w:next w:val="BodyText"/>
    <w:link w:val="Heading7Char"/>
    <w:uiPriority w:val="9"/>
    <w:semiHidden/>
    <w:unhideWhenUsed/>
    <w:qFormat/>
    <w:rsid w:val="00A10FD9"/>
    <w:pPr>
      <w:keepNext/>
      <w:keepLines/>
      <w:spacing w:after="0" w:before="40"/>
      <w:outlineLvl w:val="6"/>
    </w:pPr>
    <w:rPr>
      <w:rFonts w:cstheme="majorBidi" w:eastAsiaTheme="majorEastAsia"/>
      <w:color w:themeColor="text1" w:themeTint="A6" w:val="595959"/>
    </w:rPr>
  </w:style>
  <w:style w:styleId="Heading8" w:type="paragraph">
    <w:name w:val="heading 8"/>
    <w:basedOn w:val="Normal"/>
    <w:next w:val="BodyText"/>
    <w:link w:val="Heading8Char"/>
    <w:uiPriority w:val="9"/>
    <w:semiHidden/>
    <w:unhideWhenUsed/>
    <w:qFormat/>
    <w:rsid w:val="00A10FD9"/>
    <w:pPr>
      <w:keepNext/>
      <w:keepLines/>
      <w:spacing w:after="0"/>
      <w:outlineLvl w:val="7"/>
    </w:pPr>
    <w:rPr>
      <w:rFonts w:cstheme="majorBidi" w:eastAsiaTheme="majorEastAsia"/>
      <w:i/>
      <w:iCs/>
      <w:color w:themeColor="text1" w:themeTint="D8" w:val="272727"/>
    </w:rPr>
  </w:style>
  <w:style w:styleId="Heading9" w:type="paragraph">
    <w:name w:val="heading 9"/>
    <w:basedOn w:val="Normal"/>
    <w:next w:val="BodyText"/>
    <w:link w:val="Heading9Char"/>
    <w:uiPriority w:val="9"/>
    <w:semiHidden/>
    <w:unhideWhenUsed/>
    <w:qFormat/>
    <w:rsid w:val="00A10FD9"/>
    <w:pPr>
      <w:keepNext/>
      <w:keepLines/>
      <w:spacing w:after="0"/>
      <w:outlineLvl w:val="8"/>
    </w:pPr>
    <w:rPr>
      <w:rFonts w:cstheme="majorBidi" w:eastAsiaTheme="majorEastAsia"/>
      <w:color w:themeColor="text1" w:themeTint="D8" w:val="272727"/>
    </w:rPr>
  </w:style>
  <w:style w:customStyle="1" w:styleId="Heading1Char" w:type="character">
    <w:name w:val="Heading 1 Char"/>
    <w:basedOn w:val="DefaultParagraphFont"/>
    <w:link w:val="Heading1"/>
    <w:uiPriority w:val="9"/>
    <w:rsid w:val="00A10FD9"/>
    <w:rPr>
      <w:rFonts w:asciiTheme="majorHAnsi" w:cstheme="majorBidi" w:eastAsiaTheme="majorEastAsia" w:hAnsiTheme="majorHAnsi"/>
      <w:color w:themeColor="accent1" w:themeShade="BF" w:val="0F4761"/>
      <w:sz w:val="40"/>
      <w:szCs w:val="40"/>
    </w:rPr>
  </w:style>
  <w:style w:customStyle="1" w:styleId="Heading2Char" w:type="character">
    <w:name w:val="Heading 2 Char"/>
    <w:basedOn w:val="DefaultParagraphFont"/>
    <w:link w:val="Heading2"/>
    <w:uiPriority w:val="9"/>
    <w:semiHidden/>
    <w:rsid w:val="00A10FD9"/>
    <w:rPr>
      <w:rFonts w:asciiTheme="majorHAnsi" w:cstheme="majorBidi" w:eastAsiaTheme="majorEastAsia" w:hAnsiTheme="majorHAnsi"/>
      <w:color w:themeColor="accent1" w:themeShade="BF" w:val="0F4761"/>
      <w:sz w:val="32"/>
      <w:szCs w:val="32"/>
    </w:rPr>
  </w:style>
  <w:style w:customStyle="1" w:styleId="Heading3Char" w:type="character">
    <w:name w:val="Heading 3 Char"/>
    <w:basedOn w:val="DefaultParagraphFont"/>
    <w:link w:val="Heading3"/>
    <w:uiPriority w:val="9"/>
    <w:semiHidden/>
    <w:rsid w:val="00A10FD9"/>
    <w:rPr>
      <w:rFonts w:cstheme="majorBidi" w:eastAsiaTheme="majorEastAsia"/>
      <w:color w:themeColor="accent1" w:themeShade="BF" w:val="0F4761"/>
      <w:sz w:val="28"/>
      <w:szCs w:val="28"/>
    </w:rPr>
  </w:style>
  <w:style w:customStyle="1" w:styleId="Heading4Char" w:type="character">
    <w:name w:val="Heading 4 Char"/>
    <w:basedOn w:val="DefaultParagraphFont"/>
    <w:link w:val="Heading4"/>
    <w:uiPriority w:val="9"/>
    <w:semiHidden/>
    <w:rsid w:val="00A10FD9"/>
    <w:rPr>
      <w:rFonts w:cstheme="majorBidi" w:eastAsiaTheme="majorEastAsia"/>
      <w:i/>
      <w:iCs/>
      <w:color w:themeColor="accent1" w:themeShade="BF" w:val="0F4761"/>
    </w:rPr>
  </w:style>
  <w:style w:customStyle="1" w:styleId="Heading5Char" w:type="character">
    <w:name w:val="Heading 5 Char"/>
    <w:basedOn w:val="DefaultParagraphFont"/>
    <w:link w:val="Heading5"/>
    <w:uiPriority w:val="9"/>
    <w:semiHidden/>
    <w:rsid w:val="00A10FD9"/>
    <w:rPr>
      <w:rFonts w:cstheme="majorBidi" w:eastAsiaTheme="majorEastAsia"/>
      <w:color w:themeColor="accent1" w:themeShade="BF" w:val="0F4761"/>
    </w:rPr>
  </w:style>
  <w:style w:customStyle="1" w:styleId="Heading6Char" w:type="character">
    <w:name w:val="Heading 6 Char"/>
    <w:basedOn w:val="DefaultParagraphFont"/>
    <w:link w:val="Heading6"/>
    <w:uiPriority w:val="9"/>
    <w:semiHidden/>
    <w:rsid w:val="00A10FD9"/>
    <w:rPr>
      <w:rFonts w:cstheme="majorBidi" w:eastAsiaTheme="majorEastAsia"/>
      <w:i/>
      <w:iCs/>
      <w:color w:themeColor="text1" w:themeTint="A6" w:val="595959"/>
    </w:rPr>
  </w:style>
  <w:style w:customStyle="1" w:styleId="Heading7Char" w:type="character">
    <w:name w:val="Heading 7 Char"/>
    <w:basedOn w:val="DefaultParagraphFont"/>
    <w:link w:val="Heading7"/>
    <w:uiPriority w:val="9"/>
    <w:semiHidden/>
    <w:rsid w:val="00A10FD9"/>
    <w:rPr>
      <w:rFonts w:cstheme="majorBidi" w:eastAsiaTheme="majorEastAsia"/>
      <w:color w:themeColor="text1" w:themeTint="A6" w:val="595959"/>
    </w:rPr>
  </w:style>
  <w:style w:customStyle="1" w:styleId="Heading8Char" w:type="character">
    <w:name w:val="Heading 8 Char"/>
    <w:basedOn w:val="DefaultParagraphFont"/>
    <w:link w:val="Heading8"/>
    <w:uiPriority w:val="9"/>
    <w:semiHidden/>
    <w:rsid w:val="00A10FD9"/>
    <w:rPr>
      <w:rFonts w:cstheme="majorBidi" w:eastAsiaTheme="majorEastAsia"/>
      <w:i/>
      <w:iCs/>
      <w:color w:themeColor="text1" w:themeTint="D8" w:val="272727"/>
    </w:rPr>
  </w:style>
  <w:style w:customStyle="1" w:styleId="Heading9Char" w:type="character">
    <w:name w:val="Heading 9 Char"/>
    <w:basedOn w:val="DefaultParagraphFont"/>
    <w:link w:val="Heading9"/>
    <w:uiPriority w:val="9"/>
    <w:semiHidden/>
    <w:rsid w:val="00A10FD9"/>
    <w:rPr>
      <w:rFonts w:cstheme="majorBidi" w:eastAsiaTheme="majorEastAsia"/>
      <w:color w:themeColor="text1" w:themeTint="D8" w:val="272727"/>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styleId="FootnoteBlockText" w:type="paragraph">
    <w:name w:val="Footnote Block Text"/>
    <w:basedOn w:val="FootnoteText"/>
    <w:next w:val="FootnoteText"/>
    <w:uiPriority w:val="9"/>
    <w:unhideWhenUsed/>
    <w:qFormat/>
    <w:pPr>
      <w:spacing w:after="100" w:before="100"/>
      <w:ind w:firstLine="0" w:left="480" w:right="480"/>
    </w:pPr>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cPr>
        <w:tcBorders>
          <w:bottom w:val="single"/>
        </w:tcBorders>
        <w:vAlign w:val="bottom"/>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8" Target="numbering.xml" /><Relationship Type="http://schemas.openxmlformats.org/officeDocument/2006/relationships/styles" Id="rId7" Target="styles.xml" /><Relationship Type="http://schemas.openxmlformats.org/officeDocument/2006/relationships/settings" Id="rId6" Target="settings.xml" /><Relationship Type="http://schemas.openxmlformats.org/officeDocument/2006/relationships/webSettings" Id="rId5" Target="webSettings.xml" /><Relationship Type="http://schemas.openxmlformats.org/officeDocument/2006/relationships/fontTable" Id="rId4" Target="fontTable.xml" /><Relationship Type="http://schemas.openxmlformats.org/officeDocument/2006/relationships/theme" Id="rId3" Target="theme/theme1.xml" /><Relationship Type="http://schemas.openxmlformats.org/officeDocument/2006/relationships/footnotes" Id="rId2" Target="footnotes.xml" /><Relationship Type="http://schemas.openxmlformats.org/officeDocument/2006/relationships/comments" Id="rId1" Target="comments.xml" /><Relationship Type="http://schemas.openxmlformats.org/officeDocument/2006/relationships/image" Id="rId47" Target="media/rId47.png" /><Relationship Type="http://schemas.openxmlformats.org/officeDocument/2006/relationships/image" Id="rId55" Target="media/rId55.png" /><Relationship Type="http://schemas.openxmlformats.org/officeDocument/2006/relationships/image" Id="rId65" Target="media/rId65.png" /><Relationship Type="http://schemas.openxmlformats.org/officeDocument/2006/relationships/image" Id="rId10" Target="media/rId10.png" /><Relationship Type="http://schemas.openxmlformats.org/officeDocument/2006/relationships/image" Id="rId15" Target="media/rId15.png" /><Relationship Type="http://schemas.openxmlformats.org/officeDocument/2006/relationships/image" Id="rId19" Target="media/rId19.png" /><Relationship Type="http://schemas.openxmlformats.org/officeDocument/2006/relationships/image" Id="rId23" Target="media/rId23.png" /><Relationship Type="http://schemas.openxmlformats.org/officeDocument/2006/relationships/image" Id="rId28" Target="media/rId28.png" /><Relationship Type="http://schemas.openxmlformats.org/officeDocument/2006/relationships/image" Id="rId32" Target="media/rId32.png" /><Relationship Type="http://schemas.openxmlformats.org/officeDocument/2006/relationships/image" Id="rId37" Target="media/rId37.png" /><Relationship Type="http://schemas.openxmlformats.org/officeDocument/2006/relationships/image" Id="rId42" Target="media/rId42.png" /><Relationship Type="http://schemas.openxmlformats.org/officeDocument/2006/relationships/hyperlink" Id="rId81" Target="https://github.com/ahb-sjsu/eris-ketos" TargetMode="External" /><Relationship Type="http://schemas.openxmlformats.org/officeDocument/2006/relationships/hyperlink" Id="rId84" Target="https://github.com/pratyushasharma/sw-combinatoriality" TargetMode="External" /><Relationship Type="http://schemas.openxmlformats.org/officeDocument/2006/relationships/hyperlink" Id="rId85" Target="https://huggingface.co/datasets/orrp/DSWP" TargetMode="External" /><Relationship Type="http://schemas.openxmlformats.org/officeDocument/2006/relationships/hyperlink" Id="rId80" Target="https://pypi.org/project/eris-ketos/" TargetMode="External" /></Relationships>
</file>

<file path=word/_rels/footnotes.xml.rels><?xml version="1.0" encoding="UTF-8"?><Relationships xmlns="http://schemas.openxmlformats.org/package/2006/relationships"><Relationship Type="http://schemas.openxmlformats.org/officeDocument/2006/relationships/hyperlink" Id="rId81" Target="https://github.com/ahb-sjsu/eris-ketos" TargetMode="External" /><Relationship Type="http://schemas.openxmlformats.org/officeDocument/2006/relationships/hyperlink" Id="rId84" Target="https://github.com/pratyushasharma/sw-combinatoriality" TargetMode="External" /><Relationship Type="http://schemas.openxmlformats.org/officeDocument/2006/relationships/hyperlink" Id="rId85" Target="https://huggingface.co/datasets/orrp/DSWP" TargetMode="External" /><Relationship Type="http://schemas.openxmlformats.org/officeDocument/2006/relationships/hyperlink" Id="rId80" Target="https://pypi.org/project/eris-ketos/"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Geometric Structure in Sperm Whale Communication: Hyperbolic Embeddings, Topological Analysis, and Adversarial Robustness</dc:title>
  <dc:creator>Andrew H. Bond</dc:creator>
  <cp:keywords/>
  <dcterms:created xsi:type="dcterms:W3CDTF">2026-03-12T02:25:27Z</dcterms:created>
  <dcterms:modified xsi:type="dcterms:W3CDTF">2026-03-12T02:25:27Z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Recent work has revealed that sperm whale (Physeter macrocephalus) codas possess a combinatorial phonetic structure comparable in complexity to human phonological systems. We apply differential geometry, algebraic topology, and adversarial robustness testing to 8,719 annotated codas from the Dominica Sperm Whale Project. We show that: (1) the hierarchical coda type taxonomy embeds with lower distortion in the Poincaré ball than in Euclidean space, consistent with tree-like combinatorial structure; (2) persistent homology on inter-click interval point clouds reveals topologically distinct attractors per rhythm class; (3) adversarial acoustic perturbations map asymmetric phonetic decision boundaries (mean asymmetry = 0.87), analogous to directional vowel chain shifts in human language; (4) the coda system satisfies Menzerath’s law (r = -0.269, p &lt; 10^{-144}), exhibits higher-order Markov sequential structure, and supports active turn-taking with cross-whale response latency approximately half that of same-whale continuation; and (5) individual whales produce the same coda type with statistically distinguishable inter-click interval patterns (Kolmogorov–Smirnov p &lt; 0.001 for all tested pairs), confirming individual identity encoding. We introduce the Decoder Robustness Index (DRI), the first adversarial robustness benchmark for cetacean communication decoders, and demonstrate that adversarial perturbation serves as a phonetic boundary discovery tool. All methods are released as the open-source eris-ketos toolkit.</vt:lpwstr>
  </property>
  <property fmtid="{D5CDD505-2E9C-101B-9397-08002B2CF9AE}" pid="3" name="bibliography">
    <vt:lpwstr/>
  </property>
  <property fmtid="{D5CDD505-2E9C-101B-9397-08002B2CF9AE}" pid="4" name="date">
    <vt:lpwstr/>
  </property>
</Properties>
</file>