
<file path=[Content_Types].xml><?xml version="1.0" encoding="utf-8"?>
<Types xmlns="http://schemas.openxmlformats.org/package/2006/content-types">
  <Default Extension="xml" ContentType="application/xml"/>
  <Default Extension="rels" ContentType="application/vnd.openxmlformats-package.relationships+xml"/>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media/rId44.png" ContentType="image/png"/>
  <Override PartName="/word/media/rId92.png" ContentType="image/png"/>
  <Override PartName="/word/endnotes.xml" ContentType="application/vnd.openxmlformats-officedocument.wordprocessingml.endnotes+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bookmarkStart w:id="143" w:name="Xfd415daefa13fd5ceea76f3212a63987476bcff"/>
    <w:p>
      <w:pPr>
        <w:pStyle w:val="Heading1"/>
      </w:pPr>
      <w:r>
        <w:t xml:space="preserve">Agentic AI and SLM Integration: Architecture, Placement, and Smart Response Generation</w:t>
      </w:r>
    </w:p>
    <w:p>
      <w:pPr>
        <w:pStyle w:val="FirstParagraph"/>
      </w:pPr>
      <w:r>
        <w:rPr>
          <w:bCs/>
          <w:b/>
        </w:rPr>
        <w:t xml:space="preserve">Research Report | June 2026</w:t>
      </w:r>
    </w:p>
    <w:p>
      <w:r>
        <w:pict>
          <v:rect style="width:0;height:1.5pt" o:hralign="center" o:hrstd="t" o:hr="t"/>
        </w:pict>
      </w:r>
    </w:p>
    <w:bookmarkStart w:id="20" w:name="executive-summary"/>
    <w:p>
      <w:pPr>
        <w:pStyle w:val="Heading2"/>
      </w:pPr>
      <w:r>
        <w:t xml:space="preserve">Executive Summary</w:t>
      </w:r>
    </w:p>
    <w:p>
      <w:pPr>
        <w:pStyle w:val="FirstParagraph"/>
      </w:pPr>
      <w:r>
        <w:t xml:space="preserve">Agentic AI represents a fundamental architectural shift in how artificial intelligence systems are designed, deployed, and operated. It is not a marketing label but a paradigm built on an autonomous perceive-plan-act-learn loop: systems that perceive environmental inputs through multi-modal sensors and APIs, plan by decomposing objectives into executable subtasks, act through tool orchestration and external system integration, and learn by evaluating outcomes and adapting future behavior without retraining</w:t>
      </w:r>
      <w:r>
        <w:t xml:space="preserve"> </w:t>
      </w:r>
      <w:r>
        <w:rPr>
          <w:vertAlign w:val="superscript"/>
        </w:rPr>
        <w:footnoteReference w:id="1"/>
      </w:r>
      <w:r>
        <w:t xml:space="preserve"> </w:t>
      </w:r>
      <w:r>
        <w:rPr>
          <w:vertAlign w:val="superscript"/>
        </w:rPr>
        <w:footnoteReference w:id="2"/>
      </w:r>
      <w:r>
        <w:t xml:space="preserve">. This stands in contrast to conventional AI systems that process each request as an isolated transaction. The distinction between</w:t>
      </w:r>
      <w:r>
        <w:t xml:space="preserve"> </w:t>
      </w:r>
      <w:r>
        <w:rPr>
          <w:iCs/>
          <w:i/>
        </w:rPr>
        <w:t xml:space="preserve">agentic AI</w:t>
      </w:r>
      <w:r>
        <w:t xml:space="preserve"> </w:t>
      </w:r>
      <w:r>
        <w:t xml:space="preserve">(the architectural framework) and</w:t>
      </w:r>
      <w:r>
        <w:t xml:space="preserve"> </w:t>
      </w:r>
      <w:r>
        <w:rPr>
          <w:iCs/>
          <w:i/>
        </w:rPr>
        <w:t xml:space="preserve">AI agents</w:t>
      </w:r>
      <w:r>
        <w:t xml:space="preserve"> </w:t>
      </w:r>
      <w:r>
        <w:t xml:space="preserve">(the discrete worker entities executing tasks within that framework) is not semantic hair-splitting — it determines whether an organization invests in infrastructure for autonomy or merely procures task-specific components</w:t>
      </w:r>
      <w:r>
        <w:t xml:space="preserve"> </w:t>
      </w:r>
      <w:r>
        <w:rPr>
          <w:vertAlign w:val="superscript"/>
        </w:rPr>
        <w:footnoteReference w:id="3"/>
      </w:r>
      <w:r>
        <w:t xml:space="preserve">. IBM’s canonical formulation captures it precisely:</w:t>
      </w:r>
      <w:r>
        <w:t xml:space="preserve"> </w:t>
      </w:r>
      <w:r>
        <w:t xml:space="preserve">“</w:t>
      </w:r>
      <w:r>
        <w:t xml:space="preserve">agentic AI is the framework; AI agents are the building blocks within the framework</w:t>
      </w:r>
      <w:r>
        <w:t xml:space="preserve">”</w:t>
      </w:r>
      <w:r>
        <w:t xml:space="preserve"> </w:t>
      </w:r>
      <w:fldSimple w:instr="NOTEREF _Ref_Footnote_3 \h \f">
        <w:r>
          <w:rPr>
            <w:vertAlign w:val="superscript"/>
          </w:rPr>
          <w:t>3</w:t>
        </w:r>
      </w:fldSimple>
      <w:r>
        <w:t xml:space="preserve">. Not all systems containing AI agents qualify as agentic; a chatbot with a single API call may contain an agent but lack the iterative reasoning, persistent memory, and dynamic task decomposition that define the agentic paradigm</w:t>
      </w:r>
      <w:r>
        <w:t xml:space="preserve"> </w:t>
      </w:r>
      <w:r>
        <w:rPr>
          <w:vertAlign w:val="superscript"/>
        </w:rPr>
        <w:footnoteReference w:id="4"/>
      </w:r>
      <w:r>
        <w:t xml:space="preserve">.</w:t>
      </w:r>
    </w:p>
    <w:p>
      <w:pPr>
        <w:pStyle w:val="BodyText"/>
      </w:pPr>
      <w:r>
        <w:t xml:space="preserve">The placement of Small Language Models (SLMs) within this ecosystem follows a principle of constrained optimization: deploy the smallest model capable of the task, escalating to frontier Large Language Models (LLMs) only when genuinely necessary. The economic case is compelling. SLMs — typically 0.5B to 14B parameters — deliver 10–100x cost reduction versus LLMs on the workloads that constitute 60–70% of production agentic traffic</w:t>
      </w:r>
      <w:r>
        <w:t xml:space="preserve"> </w:t>
      </w:r>
      <w:r>
        <w:rPr>
          <w:vertAlign w:val="superscript"/>
        </w:rPr>
        <w:footnoteReference w:id="5"/>
      </w:r>
      <w:r>
        <w:t xml:space="preserve"> </w:t>
      </w:r>
      <w:r>
        <w:rPr>
          <w:vertAlign w:val="superscript"/>
        </w:rPr>
        <w:footnoteReference w:id="6"/>
      </w:r>
      <w:r>
        <w:t xml:space="preserve">. Microsoft’s BEST-Route achieves 60% cost reduction with less than 1% quality degradation</w:t>
      </w:r>
      <w:r>
        <w:t xml:space="preserve"> </w:t>
      </w:r>
      <w:r>
        <w:rPr>
          <w:vertAlign w:val="superscript"/>
        </w:rPr>
        <w:footnoteReference w:id="7"/>
      </w:r>
      <w:r>
        <w:t xml:space="preserve">; Stanford’s FrugalGPT demonstrates up to 98% cost reduction while matching GPT-4 quality</w:t>
      </w:r>
      <w:r>
        <w:t xml:space="preserve"> </w:t>
      </w:r>
      <w:r>
        <w:rPr>
          <w:vertAlign w:val="superscript"/>
        </w:rPr>
        <w:footnoteReference w:id="8"/>
      </w:r>
      <w:r>
        <w:t xml:space="preserve">; UC Berkeley’s RouteLLM cuts costs by 85% on production benchmarks</w:t>
      </w:r>
      <w:r>
        <w:t xml:space="preserve"> </w:t>
      </w:r>
      <w:r>
        <w:rPr>
          <w:vertAlign w:val="superscript"/>
        </w:rPr>
        <w:footnoteReference w:id="9"/>
      </w:r>
      <w:r>
        <w:t xml:space="preserve">. The cascade architecture — SLM first, confidence check second, LLM escalation third, typically at a 0.7 threshold — has emerged as the dominant production pattern because it converts the majority of simple requests into low-cost, low-latency SLM calls while reserving frontier capacity for the minority of genuinely complex queries</w:t>
      </w:r>
      <w:r>
        <w:t xml:space="preserve"> </w:t>
      </w:r>
      <w:r>
        <w:rPr>
          <w:vertAlign w:val="superscript"/>
        </w:rPr>
        <w:footnoteReference w:id="10"/>
      </w:r>
      <w:r>
        <w:t xml:space="preserve"> </w:t>
      </w:r>
      <w:r>
        <w:rPr>
          <w:vertAlign w:val="superscript"/>
        </w:rPr>
        <w:footnoteReference w:id="11"/>
      </w:r>
      <w:r>
        <w:t xml:space="preserve">.</w:t>
      </w:r>
    </w:p>
    <w:p>
      <w:pPr>
        <w:pStyle w:val="BodyText"/>
      </w:pPr>
      <w:r>
        <w:t xml:space="preserve">SLMs excel in six specific roles that together form the operational backbone of a heterogeneous agentic ecosystem: task router and intent classifier (92–97% accuracy at 10–50 ms latency)</w:t>
      </w:r>
      <w:r>
        <w:t xml:space="preserve"> </w:t>
      </w:r>
      <w:r>
        <w:rPr>
          <w:vertAlign w:val="superscript"/>
        </w:rPr>
        <w:footnoteReference w:id="12"/>
      </w:r>
      <w:r>
        <w:t xml:space="preserve">; tool caller and API orchestrator (95%+ post-fine-tune accuracy on bounded tool surfaces)</w:t>
      </w:r>
      <w:r>
        <w:t xml:space="preserve"> </w:t>
      </w:r>
      <w:r>
        <w:rPr>
          <w:vertAlign w:val="superscript"/>
        </w:rPr>
        <w:footnoteReference w:id="13"/>
      </w:r>
      <w:r>
        <w:t xml:space="preserve">; input/output validator or guardrail (97.75% classification accuracy at ~135 ms on-device)</w:t>
      </w:r>
      <w:r>
        <w:t xml:space="preserve"> </w:t>
      </w:r>
      <w:r>
        <w:rPr>
          <w:vertAlign w:val="superscript"/>
        </w:rPr>
        <w:footnoteReference w:id="14"/>
      </w:r>
      <w:r>
        <w:t xml:space="preserve">; edge executor (Octopus v2, a 2B-parameter model, surpasses GPT-4 in on-device function calling latency while reducing context length by 95%)</w:t>
      </w:r>
      <w:r>
        <w:t xml:space="preserve"> </w:t>
      </w:r>
      <w:r>
        <w:rPr>
          <w:vertAlign w:val="superscript"/>
        </w:rPr>
        <w:footnoteReference w:id="15"/>
      </w:r>
      <w:r>
        <w:t xml:space="preserve">; first-line document processor; and workflow step executor</w:t>
      </w:r>
      <w:r>
        <w:t xml:space="preserve"> </w:t>
      </w:r>
      <w:fldSimple w:instr="NOTEREF _Ref_Footnote_5 \h \f">
        <w:r>
          <w:rPr>
            <w:vertAlign w:val="superscript"/>
          </w:rPr>
          <w:t>5</w:t>
        </w:r>
      </w:fldSimple>
      <w:r>
        <w:t xml:space="preserve"> </w:t>
      </w:r>
      <w:r>
        <w:rPr>
          <w:vertAlign w:val="superscript"/>
        </w:rPr>
        <w:footnoteReference w:id="16"/>
      </w:r>
      <w:r>
        <w:t xml:space="preserve">. The router pattern has become the dominant multi-agent architecture precisely because routing is a classification problem — not a reasoning problem — and classification is where fine-tuned SLMs most consistently match or exceed LLM performance</w:t>
      </w:r>
      <w:r>
        <w:t xml:space="preserve"> </w:t>
      </w:r>
      <w:r>
        <w:rPr>
          <w:vertAlign w:val="superscript"/>
        </w:rPr>
        <w:footnoteReference w:id="17"/>
      </w:r>
      <w:r>
        <w:t xml:space="preserve"> </w:t>
      </w:r>
      <w:r>
        <w:rPr>
          <w:vertAlign w:val="superscript"/>
        </w:rPr>
        <w:footnoteReference w:id="18"/>
      </w:r>
      <w:r>
        <w:t xml:space="preserve">. Production systems implement this through a three-layer funnel: regex-based routing handles ~5% of explicit commands in under 1 ms; an SLM router processes ~90% of routine intents at 20–50 ms; and a frontier LLM addresses the remaining ~5% of edge cases</w:t>
      </w:r>
      <w:r>
        <w:t xml:space="preserve"> </w:t>
      </w:r>
      <w:fldSimple w:instr="NOTEREF _Ref_Footnote_12 \h \f">
        <w:r>
          <w:rPr>
            <w:vertAlign w:val="superscript"/>
          </w:rPr>
          <w:t>12</w:t>
        </w:r>
      </w:fldSimple>
      <w:r>
        <w:t xml:space="preserve">.</w:t>
      </w:r>
    </w:p>
    <w:p>
      <w:pPr>
        <w:pStyle w:val="BodyText"/>
      </w:pPr>
      <w:r>
        <w:t xml:space="preserve">Four orchestration styles govern how multiple agents coordinate: graph-based (LangGraph, state-machine control flow with checkpointing), role-based (CrewAI, human-team metaphor with 450 million monthly workflows), handoff-based (OpenAI Agents SDK, minimal delegation primitives), and hierarchical (Google ADK, parent-child tree structures)</w:t>
      </w:r>
      <w:r>
        <w:t xml:space="preserve"> </w:t>
      </w:r>
      <w:r>
        <w:rPr>
          <w:vertAlign w:val="superscript"/>
        </w:rPr>
        <w:footnoteReference w:id="19"/>
      </w:r>
      <w:r>
        <w:t xml:space="preserve"> </w:t>
      </w:r>
      <w:r>
        <w:rPr>
          <w:vertAlign w:val="superscript"/>
        </w:rPr>
        <w:footnoteReference w:id="20"/>
      </w:r>
      <w:r>
        <w:t xml:space="preserve"> </w:t>
      </w:r>
      <w:r>
        <w:rPr>
          <w:vertAlign w:val="superscript"/>
        </w:rPr>
        <w:footnoteReference w:id="21"/>
      </w:r>
      <w:r>
        <w:t xml:space="preserve">. The choice of scaffold matters more than model choice in many cases — the Princeton HAL benchmark shows identical models scoring 30–50 percentage points apart depending on orchestration scaffolding</w:t>
      </w:r>
      <w:r>
        <w:t xml:space="preserve"> </w:t>
      </w:r>
      <w:r>
        <w:rPr>
          <w:vertAlign w:val="superscript"/>
        </w:rPr>
        <w:footnoteReference w:id="22"/>
      </w:r>
      <w:r>
        <w:t xml:space="preserve"> </w:t>
      </w:r>
      <w:fldSimple w:instr="NOTEREF _Ref_Footnote_15 \h \f">
        <w:r>
          <w:rPr>
            <w:vertAlign w:val="superscript"/>
          </w:rPr>
          <w:t>15</w:t>
        </w:r>
      </w:fldSimple>
      <w:r>
        <w:t xml:space="preserve">. Beneath these frameworks, open protocols are transforming agentic AI from a collection of vendor-specific silos into an interoperable ecosystem. The Model Context Protocol (MCP), now at 97 million monthly SDK downloads and 10,000+ active servers, standardizes agent-to-tool integration</w:t>
      </w:r>
      <w:r>
        <w:t xml:space="preserve"> </w:t>
      </w:r>
      <w:r>
        <w:rPr>
          <w:vertAlign w:val="superscript"/>
        </w:rPr>
        <w:footnoteReference w:id="23"/>
      </w:r>
      <w:r>
        <w:t xml:space="preserve">. Google’s Agent-to-Agent (A2A) Protocol, with 50+ launch partners, enables cross-framework agent collaboration</w:t>
      </w:r>
      <w:r>
        <w:t xml:space="preserve"> </w:t>
      </w:r>
      <w:r>
        <w:rPr>
          <w:vertAlign w:val="superscript"/>
        </w:rPr>
        <w:footnoteReference w:id="24"/>
      </w:r>
      <w:r>
        <w:t xml:space="preserve">. Both are under Linux Foundation stewardship, ensuring vendor-neutral governance</w:t>
      </w:r>
      <w:r>
        <w:t xml:space="preserve"> </w:t>
      </w:r>
      <w:r>
        <w:rPr>
          <w:vertAlign w:val="superscript"/>
        </w:rPr>
        <w:footnoteReference w:id="25"/>
      </w:r>
      <w:r>
        <w:t xml:space="preserve"> </w:t>
      </w:r>
      <w:r>
        <w:rPr>
          <w:vertAlign w:val="superscript"/>
        </w:rPr>
        <w:footnoteReference w:id="26"/>
      </w:r>
      <w:r>
        <w:t xml:space="preserve">. These protocols enable plug-and-play model substitution — a specialist SLM for healthcare triage can replace a generalist without rewriting integration code.</w:t>
      </w:r>
    </w:p>
    <w:p>
      <w:pPr>
        <w:pStyle w:val="BodyText"/>
      </w:pPr>
      <w:r>
        <w:t xml:space="preserve">The market context reinforces the urgency of SLM-first adoption. The agentic AI market is projected to grow from approximately $7–8 billion in 2025 to $50–55 billion by 2030 at a 46–47% compound annual growth rate</w:t>
      </w:r>
      <w:r>
        <w:t xml:space="preserve"> </w:t>
      </w:r>
      <w:r>
        <w:rPr>
          <w:vertAlign w:val="superscript"/>
        </w:rPr>
        <w:footnoteReference w:id="27"/>
      </w:r>
      <w:r>
        <w:t xml:space="preserve">. Yet roughly 95% of enterprise AI pilots fail to deliver measurable ROI, with root causes rooted in data readiness gaps and governance vacuums rather than model inadequacy</w:t>
      </w:r>
      <w:r>
        <w:t xml:space="preserve"> </w:t>
      </w:r>
      <w:r>
        <w:rPr>
          <w:vertAlign w:val="superscript"/>
        </w:rPr>
        <w:footnoteReference w:id="28"/>
      </w:r>
      <w:r>
        <w:t xml:space="preserve">. Gartner has warned that</w:t>
      </w:r>
      <w:r>
        <w:t xml:space="preserve"> </w:t>
      </w:r>
      <w:r>
        <w:t xml:space="preserve">“</w:t>
      </w:r>
      <w:r>
        <w:t xml:space="preserve">agentwashing</w:t>
      </w:r>
      <w:r>
        <w:t xml:space="preserve">”</w:t>
      </w:r>
      <w:r>
        <w:t xml:space="preserve"> </w:t>
      </w:r>
      <w:r>
        <w:t xml:space="preserve">— mislabeling simple assistants as autonomous agents — will drive high cancellation rates by 2027</w:t>
      </w:r>
      <w:r>
        <w:t xml:space="preserve"> </w:t>
      </w:r>
      <w:fldSimple w:instr="NOTEREF _Ref_Footnote_27 \h \f">
        <w:r>
          <w:rPr>
            <w:vertAlign w:val="superscript"/>
          </w:rPr>
          <w:t>27</w:t>
        </w:r>
      </w:fldSimple>
      <w:r>
        <w:t xml:space="preserve">. An SLM-first, protocol-compliant, cascade-enabled architecture directly addresses this failure mode: it reduces cost and latency for the majority of routine tasks, constrains agent scope to demonstrable capabilities, and provides graduated escalation paths for edge cases. The evidence across production deployments, academic benchmarks, and vendor research converges on a single architectural principle: build the ecosystem around specialized SLMs connected through open protocols, with frontier LLMs reserved as meta-orchestrators and fallback engines for the complex minority.</w:t>
      </w:r>
    </w:p>
    <w:p>
      <w:r>
        <w:pict>
          <v:rect style="width:0;height:1.5pt" o:hralign="center" o:hrstd="t" o:hr="t"/>
        </w:pict>
      </w:r>
    </w:p>
    <w:bookmarkEnd w:id="20"/>
    <w:bookmarkStart w:id="40" w:name="Xce4dec6d53ad15acee932785d561c2c3ea91c99"/>
    <w:p>
      <w:pPr>
        <w:pStyle w:val="Heading2"/>
      </w:pPr>
      <w:r>
        <w:t xml:space="preserve">1. Understanding Agentic AI: The Paradigm vs The Components</w:t>
      </w:r>
    </w:p>
    <w:p>
      <w:pPr>
        <w:pStyle w:val="FirstParagraph"/>
      </w:pPr>
      <w:r>
        <w:t xml:space="preserve">The enterprise technology landscape of 2025–2026 is awash in claims of autonomous AI. Every major vendor, from cloud hyperscalers to niche automation startups, advertises</w:t>
      </w:r>
      <w:r>
        <w:t xml:space="preserve"> </w:t>
      </w:r>
      <w:r>
        <w:t xml:space="preserve">“</w:t>
      </w:r>
      <w:r>
        <w:t xml:space="preserve">agentic</w:t>
      </w:r>
      <w:r>
        <w:t xml:space="preserve">”</w:t>
      </w:r>
      <w:r>
        <w:t xml:space="preserve"> </w:t>
      </w:r>
      <w:r>
        <w:t xml:space="preserve">capabilities. Yet beneath the marketing veneer lies a genuine architectural shift—one that redefines how artificial intelligence systems are structured, how they interact with human operators, and how organizations should evaluate their readiness for deployment. This chapter establishes the conceptual foundations that distinguish agentic AI as an architectural paradigm from AI agents as discrete components, examines the autonomy spectrum that governs practical deployment decisions, and confronts the debate over whether this distinction is meaningfully technical or merely semantic.</w:t>
      </w:r>
    </w:p>
    <w:bookmarkStart w:id="25" w:name="X529f63cbc93c6fbb1d4b18b1b09187b6027a09c"/>
    <w:p>
      <w:pPr>
        <w:pStyle w:val="Heading3"/>
      </w:pPr>
      <w:r>
        <w:t xml:space="preserve">1.1 Defining Agentic AI: An Autonomous Architecture</w:t>
      </w:r>
    </w:p>
    <w:bookmarkStart w:id="21" w:name="the-agentic-loop-perceive-plan-act-learn"/>
    <w:p>
      <w:pPr>
        <w:pStyle w:val="Heading4"/>
      </w:pPr>
      <w:r>
        <w:t xml:space="preserve">1.1.1 The Agentic Loop: Perceive, Plan, Act, Learn</w:t>
      </w:r>
    </w:p>
    <w:p>
      <w:pPr>
        <w:pStyle w:val="FirstParagraph"/>
      </w:pPr>
      <w:r>
        <w:t xml:space="preserve">At its core, agentic AI describes systems that pursue goals through an iterative cycle of perception, reasoning, action, and adaptation with limited human supervision. Unlike traditional AI models that operate within predefined constraints and require human intervention for each new task variation, agentic AI exhibits autonomy, goal-driven behavior, and the capacity to adapt its approach based on environmental feedback</w:t>
      </w:r>
      <w:r>
        <w:t xml:space="preserve"> </w:t>
      </w:r>
      <w:fldSimple w:instr="NOTEREF _Ref_Footnote_1 \h \f">
        <w:r>
          <w:rPr>
            <w:vertAlign w:val="superscript"/>
          </w:rPr>
          <w:t>1</w:t>
        </w:r>
      </w:fldSimple>
      <w:r>
        <w:t xml:space="preserve">.</w:t>
      </w:r>
    </w:p>
    <w:p>
      <w:pPr>
        <w:pStyle w:val="BodyText"/>
      </w:pPr>
      <w:r>
        <w:t xml:space="preserve">This behavioral loop follows a pattern formalized in the ReAct (Reasoning + Acting) framework: the system perceives its environment through inputs and tool observations, reasons about the current state relative to its goal, plans a sequence of actions, executes those actions through tool or API calls, observes the results, and iterates until the objective is achieved or requires human escalation</w:t>
      </w:r>
      <w:r>
        <w:t xml:space="preserve"> </w:t>
      </w:r>
      <w:r>
        <w:rPr>
          <w:vertAlign w:val="superscript"/>
        </w:rPr>
        <w:footnoteReference w:id="29"/>
      </w:r>
      <w:r>
        <w:t xml:space="preserve">. The loop is not merely a processing pipeline but a decision architecture—one that enables the system to revise its plan mid-execution when conditions change. A system operating in a dynamic pricing environment, for example, must continuously perceive competitor price movements, reason about margin implications, act by adjusting its own prices, and learn from demand elasticity responses before the next pricing cycle begins.</w:t>
      </w:r>
    </w:p>
    <w:p>
      <w:pPr>
        <w:pStyle w:val="BodyText"/>
      </w:pPr>
      <w:r>
        <w:t xml:space="preserve">The canonical formulation decomposes this cycle into four functional stages:</w:t>
      </w:r>
      <w:r>
        <w:t xml:space="preserve"> </w:t>
      </w:r>
      <w:r>
        <w:rPr>
          <w:bCs/>
          <w:b/>
        </w:rPr>
        <w:t xml:space="preserve">perception</w:t>
      </w:r>
      <w:r>
        <w:t xml:space="preserve"> </w:t>
      </w:r>
      <w:r>
        <w:t xml:space="preserve">(gathering and decoding environmental information),</w:t>
      </w:r>
      <w:r>
        <w:t xml:space="preserve"> </w:t>
      </w:r>
      <w:r>
        <w:rPr>
          <w:bCs/>
          <w:b/>
        </w:rPr>
        <w:t xml:space="preserve">planning</w:t>
      </w:r>
      <w:r>
        <w:t xml:space="preserve"> </w:t>
      </w:r>
      <w:r>
        <w:t xml:space="preserve">(decomposing high-level objectives into executable subtasks),</w:t>
      </w:r>
      <w:r>
        <w:t xml:space="preserve"> </w:t>
      </w:r>
      <w:r>
        <w:rPr>
          <w:bCs/>
          <w:b/>
        </w:rPr>
        <w:t xml:space="preserve">action</w:t>
      </w:r>
      <w:r>
        <w:t xml:space="preserve"> </w:t>
      </w:r>
      <w:r>
        <w:t xml:space="preserve">(executing through external tools, APIs, or digital interfaces), and</w:t>
      </w:r>
      <w:r>
        <w:t xml:space="preserve"> </w:t>
      </w:r>
      <w:r>
        <w:rPr>
          <w:bCs/>
          <w:b/>
        </w:rPr>
        <w:t xml:space="preserve">learning</w:t>
      </w:r>
      <w:r>
        <w:t xml:space="preserve"> </w:t>
      </w:r>
      <w:r>
        <w:t xml:space="preserve">(evaluating outcomes and adapting future behavior based on results)</w:t>
      </w:r>
      <w:r>
        <w:t xml:space="preserve"> </w:t>
      </w:r>
      <w:fldSimple w:instr="NOTEREF _Ref_Footnote_2 \h \f">
        <w:r>
          <w:rPr>
            <w:vertAlign w:val="superscript"/>
          </w:rPr>
          <w:t>2</w:t>
        </w:r>
      </w:fldSimple>
      <w:r>
        <w:t xml:space="preserve">. This architecture transforms static AI systems into adaptive collaborators that improve through interaction rather than requiring explicit retraining for every new scenario.</w:t>
      </w:r>
    </w:p>
    <w:bookmarkEnd w:id="21"/>
    <w:bookmarkStart w:id="22" w:name="ibms-four-agency-factors"/>
    <w:p>
      <w:pPr>
        <w:pStyle w:val="Heading4"/>
      </w:pPr>
      <w:r>
        <w:t xml:space="preserve">1.1.2 IBM’s Four Agency Factors</w:t>
      </w:r>
    </w:p>
    <w:p>
      <w:pPr>
        <w:pStyle w:val="FirstParagraph"/>
      </w:pPr>
      <w:r>
        <w:t xml:space="preserve">IBM, among the earliest enterprise technology vendors to formalize a framework for agentic AI, identifies four psychological properties that distinguish agentic systems from conventional automation:</w:t>
      </w:r>
      <w:r>
        <w:t xml:space="preserve"> </w:t>
      </w:r>
      <w:r>
        <w:rPr>
          <w:bCs/>
          <w:b/>
        </w:rPr>
        <w:t xml:space="preserve">intentionality</w:t>
      </w:r>
      <w:r>
        <w:t xml:space="preserve"> </w:t>
      </w:r>
      <w:r>
        <w:t xml:space="preserve">(goal-directed behavior),</w:t>
      </w:r>
      <w:r>
        <w:t xml:space="preserve"> </w:t>
      </w:r>
      <w:r>
        <w:rPr>
          <w:bCs/>
          <w:b/>
        </w:rPr>
        <w:t xml:space="preserve">forethought</w:t>
      </w:r>
      <w:r>
        <w:t xml:space="preserve"> </w:t>
      </w:r>
      <w:r>
        <w:t xml:space="preserve">(the capacity to plan and anticipate consequences),</w:t>
      </w:r>
      <w:r>
        <w:t xml:space="preserve"> </w:t>
      </w:r>
      <w:r>
        <w:rPr>
          <w:bCs/>
          <w:b/>
        </w:rPr>
        <w:t xml:space="preserve">self-reactiveness</w:t>
      </w:r>
      <w:r>
        <w:t xml:space="preserve"> </w:t>
      </w:r>
      <w:r>
        <w:t xml:space="preserve">(the ability to monitor and adjust one’s own actions), and</w:t>
      </w:r>
      <w:r>
        <w:t xml:space="preserve"> </w:t>
      </w:r>
      <w:r>
        <w:rPr>
          <w:bCs/>
          <w:b/>
        </w:rPr>
        <w:t xml:space="preserve">self-reflectiveness</w:t>
      </w:r>
      <w:r>
        <w:t xml:space="preserve"> </w:t>
      </w:r>
      <w:r>
        <w:t xml:space="preserve">(the capacity to evaluate performance and learn from outcomes)</w:t>
      </w:r>
      <w:r>
        <w:t xml:space="preserve"> </w:t>
      </w:r>
      <w:fldSimple w:instr="NOTEREF _Ref_Footnote_3 \h \f">
        <w:r>
          <w:rPr>
            <w:vertAlign w:val="superscript"/>
          </w:rPr>
          <w:t>3</w:t>
        </w:r>
      </w:fldSimple>
      <w:r>
        <w:t xml:space="preserve">. These factors, drawn from established theories of human agency in psychology, provide a structured lens for evaluating claims of agentic capability.</w:t>
      </w:r>
    </w:p>
    <w:p>
      <w:pPr>
        <w:pStyle w:val="BodyText"/>
      </w:pPr>
      <w:r>
        <w:t xml:space="preserve">The practical implication is that a system scoring high on intentionality but low on self-reflectiveness may pursue goals effectively yet fail to adapt when conditions change—making it brittle in production environments. Conversely, a system with strong self-reactiveness but weak forethought may handle immediate errors gracefully while repeatedly stumbling into the same categories of problems because it cannot anticipate them. IBM traces the conceptual origins of these architectures to Oliver Selfridge’s 1959</w:t>
      </w:r>
      <w:r>
        <w:t xml:space="preserve"> </w:t>
      </w:r>
      <w:r>
        <w:t xml:space="preserve">“</w:t>
      </w:r>
      <w:r>
        <w:t xml:space="preserve">Pandemonium</w:t>
      </w:r>
      <w:r>
        <w:t xml:space="preserve">”</w:t>
      </w:r>
      <w:r>
        <w:t xml:space="preserve"> </w:t>
      </w:r>
      <w:r>
        <w:t xml:space="preserve">system and the Belief-Desire-Intention (BDI) model developed in the 1990s, noting that modern agentic AI represents the convergence of decades-old theoretical frameworks with contemporary large language model (LLM) capabilities</w:t>
      </w:r>
      <w:r>
        <w:t xml:space="preserve"> </w:t>
      </w:r>
      <w:r>
        <w:rPr>
          <w:vertAlign w:val="superscript"/>
        </w:rPr>
        <w:footnoteReference w:id="30"/>
      </w:r>
      <w:r>
        <w:t xml:space="preserve">.</w:t>
      </w:r>
    </w:p>
    <w:bookmarkEnd w:id="22"/>
    <w:bookmarkStart w:id="23" w:name="gartners-five-stage-evolution"/>
    <w:p>
      <w:pPr>
        <w:pStyle w:val="Heading4"/>
      </w:pPr>
      <w:r>
        <w:t xml:space="preserve">1.1.3 Gartner’s Five-Stage Evolution</w:t>
      </w:r>
    </w:p>
    <w:p>
      <w:pPr>
        <w:pStyle w:val="FirstParagraph"/>
      </w:pPr>
      <w:r>
        <w:t xml:space="preserve">Gartner frames agentic AI not as a binary classification but as an evolutionary maturity model progressing through five stages: (1)</w:t>
      </w:r>
      <w:r>
        <w:t xml:space="preserve"> </w:t>
      </w:r>
      <w:r>
        <w:rPr>
          <w:bCs/>
          <w:b/>
        </w:rPr>
        <w:t xml:space="preserve">AI Assistants</w:t>
      </w:r>
      <w:r>
        <w:t xml:space="preserve">—reactive systems that respond to direct prompts without independent goal pursuit; (2)</w:t>
      </w:r>
      <w:r>
        <w:t xml:space="preserve"> </w:t>
      </w:r>
      <w:r>
        <w:rPr>
          <w:bCs/>
          <w:b/>
        </w:rPr>
        <w:t xml:space="preserve">Task-Specific Agents</w:t>
      </w:r>
      <w:r>
        <w:t xml:space="preserve">—systems capable of performing complex, end-to-end tasks within a defined domain; (3)</w:t>
      </w:r>
      <w:r>
        <w:t xml:space="preserve"> </w:t>
      </w:r>
      <w:r>
        <w:rPr>
          <w:bCs/>
          <w:b/>
        </w:rPr>
        <w:t xml:space="preserve">Collaborative AI Agents</w:t>
      </w:r>
      <w:r>
        <w:t xml:space="preserve">—multiple specialized agents that coordinate to accomplish objectives beyond the scope of any single agent; (4)</w:t>
      </w:r>
      <w:r>
        <w:t xml:space="preserve"> </w:t>
      </w:r>
      <w:r>
        <w:rPr>
          <w:bCs/>
          <w:b/>
        </w:rPr>
        <w:t xml:space="preserve">AI Agent Ecosystems</w:t>
      </w:r>
      <w:r>
        <w:t xml:space="preserve">—interoperable networks of agents that discover, negotiate with, and delegate to one another across organizational boundaries; and (5)</w:t>
      </w:r>
      <w:r>
        <w:t xml:space="preserve"> </w:t>
      </w:r>
      <w:r>
        <w:rPr>
          <w:bCs/>
          <w:b/>
        </w:rPr>
        <w:t xml:space="preserve">Democratized Enterprise Apps</w:t>
      </w:r>
      <w:r>
        <w:t xml:space="preserve">—mainstream applications in which agentic capabilities are so embedded that users interact with autonomous systems as a matter of course</w:t>
      </w:r>
      <w:r>
        <w:t xml:space="preserve"> </w:t>
      </w:r>
      <w:fldSimple w:instr="NOTEREF _Ref_Footnote_27 \h \f">
        <w:r>
          <w:rPr>
            <w:vertAlign w:val="superscript"/>
          </w:rPr>
          <w:t>27</w:t>
        </w:r>
      </w:fldSimple>
      <w:r>
        <w:t xml:space="preserve">.</w:t>
      </w:r>
    </w:p>
    <w:p>
      <w:pPr>
        <w:pStyle w:val="BodyText"/>
      </w:pPr>
      <w:r>
        <w:t xml:space="preserve">The market trajectory Gartner projects is aggressive: 40% of enterprise applications will feature task-specific AI agents by 2026, rising from less than 5% in 2025</w:t>
      </w:r>
      <w:r>
        <w:t xml:space="preserve"> </w:t>
      </w:r>
      <w:fldSimple w:instr="NOTEREF _Ref_Footnote_27 \h \f">
        <w:r>
          <w:rPr>
            <w:vertAlign w:val="superscript"/>
          </w:rPr>
          <w:t>27</w:t>
        </w:r>
      </w:fldSimple>
      <w:r>
        <w:t xml:space="preserve">. By 2035, the firm forecasts that agentic AI will drive approximately 30% of enterprise application software revenue, surpassing $450 billion globally</w:t>
      </w:r>
      <w:r>
        <w:t xml:space="preserve"> </w:t>
      </w:r>
      <w:fldSimple w:instr="NOTEREF _Ref_Footnote_27 \h \f">
        <w:r>
          <w:rPr>
            <w:vertAlign w:val="superscript"/>
          </w:rPr>
          <w:t>27</w:t>
        </w:r>
      </w:fldSimple>
      <w:r>
        <w:t xml:space="preserve">. These projections carry significant implications for infrastructure planning, as organizations currently at Stage 1 or 2 must architect their systems to evolve through subsequent stages without wholesale replacement.</w:t>
      </w:r>
    </w:p>
    <w:bookmarkEnd w:id="23"/>
    <w:bookmarkStart w:id="24" w:name="X4077e9abad787444f6ec70f84c73ad973a479a1"/>
    <w:p>
      <w:pPr>
        <w:pStyle w:val="Heading4"/>
      </w:pPr>
      <w:r>
        <w:t xml:space="preserve">1.1.4 The Autonomy Spectrum: From Level 1 to Level 5</w:t>
      </w:r>
    </w:p>
    <w:p>
      <w:pPr>
        <w:pStyle w:val="FirstParagraph"/>
      </w:pPr>
      <w:r>
        <w:t xml:space="preserve">Multiple frameworks have emerged to classify agentic systems along an autonomy spectrum, drawing methodological inspiration from the SAE International levels for vehicle automation. The Cloud Security Alliance proposes six levels from L0 (No Autonomy) through L5 (Full Autonomy), explicitly noting that L5 is not appropriate for enterprise deployment today because the governance mechanisms required for safe operation at that level do not yet exist</w:t>
      </w:r>
      <w:r>
        <w:t xml:space="preserve"> </w:t>
      </w:r>
      <w:r>
        <w:rPr>
          <w:vertAlign w:val="superscript"/>
        </w:rPr>
        <w:footnoteReference w:id="31"/>
      </w:r>
      <w:r>
        <w:t xml:space="preserve">. Datasaur offers a more practitioner-oriented five-level framework: Level 1 (Deterministic Task Bot), Level 2 (Preparatory Agent, always requiring human review), Level 3 (Narrow Operator handling routine workflows end-to-end), Level 4 (Semi-Autonomous Specialist achieving approximately 98% accuracy), and Level 5 (Autonomous Problem Solver operating at what the firm describes as</w:t>
      </w:r>
      <w:r>
        <w:t xml:space="preserve"> </w:t>
      </w:r>
      <w:r>
        <w:t xml:space="preserve">“</w:t>
      </w:r>
      <w:r>
        <w:t xml:space="preserve">PhD-level</w:t>
      </w:r>
      <w:r>
        <w:t xml:space="preserve">”</w:t>
      </w:r>
      <w:r>
        <w:t xml:space="preserve"> </w:t>
      </w:r>
      <w:r>
        <w:t xml:space="preserve">capability)</w:t>
      </w:r>
      <w:r>
        <w:t xml:space="preserve"> </w:t>
      </w:r>
      <w:r>
        <w:rPr>
          <w:vertAlign w:val="superscript"/>
        </w:rPr>
        <w:footnoteReference w:id="32"/>
      </w:r>
      <w:r>
        <w:t xml:space="preserve">.</w:t>
      </w:r>
    </w:p>
    <w:p>
      <w:pPr>
        <w:pStyle w:val="BodyText"/>
      </w:pPr>
      <w:r>
        <w:t xml:space="preserve">The consensus across these frameworks is that the practical value for enterprise deployment is concentrated in Levels 2 through 4</w:t>
      </w:r>
      <w:r>
        <w:t xml:space="preserve"> </w:t>
      </w:r>
      <w:fldSimple w:instr="NOTEREF _Ref_Footnote_32 \h \f">
        <w:r>
          <w:rPr>
            <w:vertAlign w:val="superscript"/>
          </w:rPr>
          <w:t>32</w:t>
        </w:r>
      </w:fldSimple>
      <w:r>
        <w:t xml:space="preserve">. Level 1 systems offer insufficient differentiation from conventional automation to justify the infrastructure investment, while Level 5 remains, by universal admission, a research frontier rather than a production target. Datasaur’s assessment is direct: Level 5 is</w:t>
      </w:r>
      <w:r>
        <w:t xml:space="preserve"> </w:t>
      </w:r>
      <w:r>
        <w:t xml:space="preserve">“</w:t>
      </w:r>
      <w:r>
        <w:t xml:space="preserve">technically exciting, but unnecessary—and unsafe—for most enterprise workflows today. Treat as research, not production</w:t>
      </w:r>
      <w:r>
        <w:t xml:space="preserve">”</w:t>
      </w:r>
      <w:r>
        <w:t xml:space="preserve"> </w:t>
      </w:r>
      <w:fldSimple w:instr="NOTEREF _Ref_Footnote_32 \h \f">
        <w:r>
          <w:rPr>
            <w:vertAlign w:val="superscript"/>
          </w:rPr>
          <w:t>32</w:t>
        </w:r>
      </w:fldSimple>
      <w:r>
        <w:t xml:space="preserve">. A Stanford-Harvard working paper adds a critical nuance: autonomy is not solely a function of capability but also a design decision—an agent’s autonomy level can shift even if its underlying capabilities remain constant, depending on how the system is configured relative to human oversight</w:t>
      </w:r>
      <w:r>
        <w:t xml:space="preserve"> </w:t>
      </w:r>
      <w:r>
        <w:rPr>
          <w:vertAlign w:val="superscript"/>
        </w:rPr>
        <w:footnoteReference w:id="33"/>
      </w:r>
      <w:r>
        <w:t xml:space="preserve">. The implication is that two organizations deploying the same underlying model may operate at different autonomy levels based on their risk tolerance and governance posture, not on technical limitations.</w:t>
      </w:r>
    </w:p>
    <w:bookmarkEnd w:id="24"/>
    <w:bookmarkEnd w:id="25"/>
    <w:bookmarkStart w:id="29" w:name="ai-agents-the-worker-entities"/>
    <w:p>
      <w:pPr>
        <w:pStyle w:val="Heading3"/>
      </w:pPr>
      <w:r>
        <w:t xml:space="preserve">1.2 AI Agents: The Worker Entities</w:t>
      </w:r>
    </w:p>
    <w:bookmarkStart w:id="26" w:name="defining-the-agent"/>
    <w:p>
      <w:pPr>
        <w:pStyle w:val="Heading4"/>
      </w:pPr>
      <w:r>
        <w:t xml:space="preserve">1.2.1 Defining the Agent</w:t>
      </w:r>
    </w:p>
    <w:p>
      <w:pPr>
        <w:pStyle w:val="FirstParagraph"/>
      </w:pPr>
      <w:r>
        <w:t xml:space="preserve">If agentic AI describes the architectural paradigm, AI agents are the discrete computational entities that execute work within that architecture. IBM defines AI agents as machine learning models that mimic human decision-making to solve problems in real time</w:t>
      </w:r>
      <w:r>
        <w:t xml:space="preserve"> </w:t>
      </w:r>
      <w:fldSimple w:instr="NOTEREF _Ref_Footnote_1 \h \f">
        <w:r>
          <w:rPr>
            <w:vertAlign w:val="superscript"/>
          </w:rPr>
          <w:t>1</w:t>
        </w:r>
      </w:fldSimple>
      <w:r>
        <w:t xml:space="preserve">. Each agent performs a specific subtask, and in a multi-agent system, their efforts are coordinated through an orchestration layer that manages dependencies, sequencing, and resource allocation</w:t>
      </w:r>
      <w:r>
        <w:t xml:space="preserve"> </w:t>
      </w:r>
      <w:fldSimple w:instr="NOTEREF _Ref_Footnote_1 \h \f">
        <w:r>
          <w:rPr>
            <w:vertAlign w:val="superscript"/>
          </w:rPr>
          <w:t>1</w:t>
        </w:r>
      </w:fldSimple>
      <w:r>
        <w:t xml:space="preserve">.</w:t>
      </w:r>
    </w:p>
    <w:p>
      <w:pPr>
        <w:pStyle w:val="BodyText"/>
      </w:pPr>
      <w:r>
        <w:t xml:space="preserve">The concept of an AI agent predates the current wave of LLM-powered systems by decades. Wooldridge and Jennings, in their foundational 1995 work, defined an agent as</w:t>
      </w:r>
      <w:r>
        <w:t xml:space="preserve"> </w:t>
      </w:r>
      <w:r>
        <w:t xml:space="preserve">“</w:t>
      </w:r>
      <w:r>
        <w:t xml:space="preserve">any hardware or software-based computer system that enjoys properties such as autonomy, social ability, reactivity, and proactivity</w:t>
      </w:r>
      <w:r>
        <w:t xml:space="preserve">”</w:t>
      </w:r>
      <w:r>
        <w:t xml:space="preserve"> </w:t>
      </w:r>
      <w:r>
        <w:rPr>
          <w:vertAlign w:val="superscript"/>
        </w:rPr>
        <w:footnoteReference w:id="34"/>
      </w:r>
      <w:r>
        <w:t xml:space="preserve">. This definition predates modern large language models by more than two decades, establishing that the intellectual lineage of agent-based computing draws from distributed artificial intelligence research, not merely from recent advances in natural language processing.</w:t>
      </w:r>
    </w:p>
    <w:p>
      <w:pPr>
        <w:pStyle w:val="BodyText"/>
      </w:pPr>
      <w:r>
        <w:t xml:space="preserve">However, AI agents do not have a standard definition</w:t>
      </w:r>
      <w:r>
        <w:t xml:space="preserve"> </w:t>
      </w:r>
      <w:r>
        <w:rPr>
          <w:vertAlign w:val="superscript"/>
        </w:rPr>
        <w:footnoteReference w:id="35"/>
      </w:r>
      <w:r>
        <w:t xml:space="preserve">. Wikipedia notes that common attributes include goal-directed behavior, natural language interfaces, the capacity to use external tools, and the ability to perform multi-step tasks, but acknowledges significant variation in how the term is applied across vendors and research communities</w:t>
      </w:r>
      <w:r>
        <w:t xml:space="preserve"> </w:t>
      </w:r>
      <w:fldSimple w:instr="NOTEREF _Ref_Footnote_35 \h \f">
        <w:r>
          <w:rPr>
            <w:vertAlign w:val="superscript"/>
          </w:rPr>
          <w:t>35</w:t>
        </w:r>
      </w:fldSimple>
      <w:r>
        <w:t xml:space="preserve">. The most-cited academic treatment of the distinction, an arXiv review by Sapkota et al. (2025), characterizes AI agents as</w:t>
      </w:r>
      <w:r>
        <w:t xml:space="preserve"> </w:t>
      </w:r>
      <w:r>
        <w:t xml:space="preserve">“</w:t>
      </w:r>
      <w:r>
        <w:t xml:space="preserve">modular systems driven and enabled by LLMs and LIMs (Language-Integrated Models) for task-specific automation</w:t>
      </w:r>
      <w:r>
        <w:t xml:space="preserve">”</w:t>
      </w:r>
      <w:r>
        <w:t xml:space="preserve"> </w:t>
      </w:r>
      <w:fldSimple w:instr="NOTEREF _Ref_Footnote_4 \h \f">
        <w:r>
          <w:rPr>
            <w:vertAlign w:val="superscript"/>
          </w:rPr>
          <w:t>4</w:t>
        </w:r>
      </w:fldSimple>
      <w:r>
        <w:t xml:space="preserve">.</w:t>
      </w:r>
    </w:p>
    <w:bookmarkEnd w:id="26"/>
    <w:bookmarkStart w:id="27" w:name="single-agent-systems"/>
    <w:p>
      <w:pPr>
        <w:pStyle w:val="Heading4"/>
      </w:pPr>
      <w:r>
        <w:t xml:space="preserve">1.2.2 Single-Agent Systems</w:t>
      </w:r>
    </w:p>
    <w:p>
      <w:pPr>
        <w:pStyle w:val="FirstParagraph"/>
      </w:pPr>
      <w:r>
        <w:t xml:space="preserve">Single-agent systems represent the simplest expression of the agent paradigm: one computational entity equipped with a model, a set of tools, and a goal, operating within a defined environment. These systems excel at focused problem-solving for specific, bounded tasks—generating a report from structured data, classifying and routing incoming documents, or executing a sequence of API calls to fulfill a user request</w:t>
      </w:r>
      <w:r>
        <w:t xml:space="preserve"> </w:t>
      </w:r>
      <w:r>
        <w:rPr>
          <w:vertAlign w:val="superscript"/>
        </w:rPr>
        <w:footnoteReference w:id="36"/>
      </w:r>
      <w:r>
        <w:t xml:space="preserve">.</w:t>
      </w:r>
    </w:p>
    <w:p>
      <w:pPr>
        <w:pStyle w:val="BodyText"/>
      </w:pPr>
      <w:r>
        <w:t xml:space="preserve">Anthropic, in its influential research on building effective agents, emphasizes that the basic building block of all agentic systems is an LLM enhanced with augmentations such as retrieval, tools, and memory</w:t>
      </w:r>
      <w:r>
        <w:t xml:space="preserve"> </w:t>
      </w:r>
      <w:fldSimple w:instr="NOTEREF _Ref_Footnote_36 \h \f">
        <w:r>
          <w:rPr>
            <w:vertAlign w:val="superscript"/>
          </w:rPr>
          <w:t>36</w:t>
        </w:r>
      </w:fldSimple>
      <w:r>
        <w:t xml:space="preserve">. From this foundation, complexity increases along a gradient: prompt chaining (sequential LLM calls), routing (directing inputs to specialized handlers), parallelization (executing independent subtasks concurrently), and ultimately full agent autonomy where the LLM dynamically directs its own processes and tool usage based on environmental feedback</w:t>
      </w:r>
      <w:r>
        <w:t xml:space="preserve"> </w:t>
      </w:r>
      <w:fldSimple w:instr="NOTEREF _Ref_Footnote_36 \h \f">
        <w:r>
          <w:rPr>
            <w:vertAlign w:val="superscript"/>
          </w:rPr>
          <w:t>36</w:t>
        </w:r>
      </w:fldSimple>
      <w:r>
        <w:t xml:space="preserve">. The practical advice from Anthropic’s research is to start with the simplest augmentation that solves the problem and only introduce additional complexity when validated by performance data.</w:t>
      </w:r>
    </w:p>
    <w:bookmarkEnd w:id="27"/>
    <w:bookmarkStart w:id="28" w:name="multi-agent-systems"/>
    <w:p>
      <w:pPr>
        <w:pStyle w:val="Heading4"/>
      </w:pPr>
      <w:r>
        <w:t xml:space="preserve">1.2.3 Multi-Agent Systems</w:t>
      </w:r>
    </w:p>
    <w:p>
      <w:pPr>
        <w:pStyle w:val="FirstParagraph"/>
      </w:pPr>
      <w:r>
        <w:t xml:space="preserve">Multi-agent systems extend the paradigm by deploying collaborative teams of specialized agents, each responsible for a distinct subtask within a larger workflow. A research agent might gather information, a writing agent might synthesize findings into prose, a review agent might check for accuracy and policy compliance, and an orchestration agent might coordinate the sequence and resolve conflicts between the others</w:t>
      </w:r>
      <w:r>
        <w:t xml:space="preserve"> </w:t>
      </w:r>
      <w:fldSimple w:instr="NOTEREF _Ref_Footnote_19 \h \f">
        <w:r>
          <w:rPr>
            <w:vertAlign w:val="superscript"/>
          </w:rPr>
          <w:t>19</w:t>
        </w:r>
      </w:fldSimple>
      <w:r>
        <w:t xml:space="preserve">.</w:t>
      </w:r>
    </w:p>
    <w:p>
      <w:pPr>
        <w:pStyle w:val="BodyText"/>
      </w:pPr>
      <w:r>
        <w:t xml:space="preserve">The architectural justification for multi-agent systems rests on specialization: agents optimized for distinct functions can outperform monolithic systems when tasks require diverse competencies</w:t>
      </w:r>
      <w:r>
        <w:t xml:space="preserve"> </w:t>
      </w:r>
      <w:r>
        <w:rPr>
          <w:vertAlign w:val="superscript"/>
        </w:rPr>
        <w:footnoteReference w:id="37"/>
      </w:r>
      <w:r>
        <w:t xml:space="preserve">. MIT Sloan’s Sinan Aral defines agentic AI in this context as systems that incorporate multiple, different agents orchestrating a task together—for example, a marketplace of agents representing both buy and sell sides during a negotiation or transaction</w:t>
      </w:r>
      <w:r>
        <w:t xml:space="preserve"> </w:t>
      </w:r>
      <w:fldSimple w:instr="NOTEREF _Ref_Footnote_37 \h \f">
        <w:r>
          <w:rPr>
            <w:vertAlign w:val="superscript"/>
          </w:rPr>
          <w:t>37</w:t>
        </w:r>
      </w:fldSimple>
      <w:r>
        <w:t xml:space="preserve">. The research finding that coordinated multi-agent systems achieved a 42.68% success rate on complex planning tasks where single-agent setups scored just 2.92% on the same benchmark illustrates the performance differential that justifies the additional architectural complexity</w:t>
      </w:r>
      <w:r>
        <w:t xml:space="preserve"> </w:t>
      </w:r>
      <w:r>
        <w:rPr>
          <w:vertAlign w:val="superscript"/>
        </w:rPr>
        <w:footnoteReference w:id="38"/>
      </w:r>
      <w:r>
        <w:t xml:space="preserve">.</w:t>
      </w:r>
    </w:p>
    <w:p>
      <w:pPr>
        <w:pStyle w:val="BodyText"/>
      </w:pPr>
      <w:r>
        <w:t xml:space="preserve">However, multi-agent systems introduce non-trivial engineering challenges. Anthropic reports that their multi-agent systems consume approximately 15 times more tokens than single-agent chats, with coordination overhead representing a substantial fraction of total computational cost</w:t>
      </w:r>
      <w:r>
        <w:t xml:space="preserve"> </w:t>
      </w:r>
      <w:r>
        <w:rPr>
          <w:vertAlign w:val="superscript"/>
        </w:rPr>
        <w:footnoteReference w:id="39"/>
      </w:r>
      <w:r>
        <w:t xml:space="preserve">. Communication pathways grow quadratically with agent count—two agents require one pathway, five agents require ten, ten agents require forty-five—creating a combinatorial scaling problem that must be addressed through careful architectural design</w:t>
      </w:r>
      <w:r>
        <w:t xml:space="preserve"> </w:t>
      </w:r>
      <w:fldSimple w:instr="NOTEREF _Ref_Footnote_28 \h \f">
        <w:r>
          <w:rPr>
            <w:vertAlign w:val="superscript"/>
          </w:rPr>
          <w:t>28</w:t>
        </w:r>
      </w:fldSimple>
      <w:r>
        <w:t xml:space="preserve">. For organizations constrained by budget or operational complexity, the performance gains of multi-agent systems must be weighed against these material cost and reliability trade-offs.</w:t>
      </w:r>
    </w:p>
    <w:bookmarkEnd w:id="28"/>
    <w:bookmarkEnd w:id="29"/>
    <w:bookmarkStart w:id="34" w:name="X90ce6ce95d29f49dd9b59705752376ba9d2fb07"/>
    <w:p>
      <w:pPr>
        <w:pStyle w:val="Heading3"/>
      </w:pPr>
      <w:r>
        <w:t xml:space="preserve">1.3 The Critical Distinction: Framework vs Building Blocks</w:t>
      </w:r>
    </w:p>
    <w:bookmarkStart w:id="30" w:name="ibms-canonical-formulation"/>
    <w:p>
      <w:pPr>
        <w:pStyle w:val="Heading4"/>
      </w:pPr>
      <w:r>
        <w:t xml:space="preserve">1.3.1 IBM’s Canonical Formulation</w:t>
      </w:r>
    </w:p>
    <w:p>
      <w:pPr>
        <w:pStyle w:val="FirstParagraph"/>
      </w:pPr>
      <w:r>
        <w:t xml:space="preserve">The distinction between agentic AI and AI agents, while frequently blurred in vendor communications, carries significant implications for how organizations scope engineering work and evaluate technology investments. IBM’s formulation has become the canonical reference:</w:t>
      </w:r>
      <w:r>
        <w:t xml:space="preserve"> </w:t>
      </w:r>
      <w:r>
        <w:t xml:space="preserve">“</w:t>
      </w:r>
      <w:r>
        <w:t xml:space="preserve">It’s important to differentiate between agentic AI and AI agents. Essentially,</w:t>
      </w:r>
      <w:r>
        <w:t xml:space="preserve"> </w:t>
      </w:r>
      <w:r>
        <w:rPr>
          <w:bCs/>
          <w:b/>
        </w:rPr>
        <w:t xml:space="preserve">agentic AI is the framework; AI agents are the building blocks within the framework</w:t>
      </w:r>
      <w:r>
        <w:t xml:space="preserve">”</w:t>
      </w:r>
      <w:r>
        <w:t xml:space="preserve"> </w:t>
      </w:r>
      <w:fldSimple w:instr="NOTEREF _Ref_Footnote_3 \h \f">
        <w:r>
          <w:rPr>
            <w:vertAlign w:val="superscript"/>
          </w:rPr>
          <w:t>3</w:t>
        </w:r>
      </w:fldSimple>
      <w:r>
        <w:t xml:space="preserve">. Agentic AI is the broader concept of solving issues with limited supervision; an AI agent is a specific component within that system designed to handle tasks and processes with a degree of autonomy</w:t>
      </w:r>
      <w:r>
        <w:t xml:space="preserve"> </w:t>
      </w:r>
      <w:fldSimple w:instr="NOTEREF _Ref_Footnote_3 \h \f">
        <w:r>
          <w:rPr>
            <w:vertAlign w:val="superscript"/>
          </w:rPr>
          <w:t>3</w:t>
        </w:r>
      </w:fldSimple>
      <w:r>
        <w:t xml:space="preserve">.</w:t>
      </w:r>
    </w:p>
    <w:p>
      <w:pPr>
        <w:pStyle w:val="BodyText"/>
      </w:pPr>
      <w:r>
        <w:t xml:space="preserve">IBM extends this framing through analogy: in a smart home energy management system, agentic AI manages the overall optimization objective—minimizing energy consumption while maintaining comfort—while individual agents handle specific tasks such as thermostat regulation, lighting control, and appliance scheduling</w:t>
      </w:r>
      <w:r>
        <w:t xml:space="preserve"> </w:t>
      </w:r>
      <w:fldSimple w:instr="NOTEREF _Ref_Footnote_3 \h \f">
        <w:r>
          <w:rPr>
            <w:vertAlign w:val="superscript"/>
          </w:rPr>
          <w:t>3</w:t>
        </w:r>
      </w:fldSimple>
      <w:r>
        <w:t xml:space="preserve">. The agentic framework provides the goal-setting, coordination, and learning infrastructure; the agents provide the specialized execution capabilities.</w:t>
      </w:r>
    </w:p>
    <w:bookmarkEnd w:id="30"/>
    <w:bookmarkStart w:id="31" w:name="nonagentic-architectures"/>
    <w:p>
      <w:pPr>
        <w:pStyle w:val="Heading4"/>
      </w:pPr>
      <w:r>
        <w:t xml:space="preserve">1.3.2 Nonagentic Architectures</w:t>
      </w:r>
    </w:p>
    <w:p>
      <w:pPr>
        <w:pStyle w:val="FirstParagraph"/>
      </w:pPr>
      <w:r>
        <w:t xml:space="preserve">Not all systems that contain AI agents qualify as agentic AI. A significant category of nonagentic architectures uses LLMs for singular or linear tasks without the iterative perception-planning-action loop that defines the agentic paradigm. A chatbot that answers questions using a retrieval-augmented generation (RAG) pipeline executes a single pass of context retrieval and response generation—it does not plan multi-step approaches, use tools iteratively, or adapt its strategy based on intermediate results. By the frameworks established above, such a system employs a language model but is not agentic.</w:t>
      </w:r>
    </w:p>
    <w:p>
      <w:pPr>
        <w:pStyle w:val="BodyText"/>
      </w:pPr>
      <w:r>
        <w:t xml:space="preserve">The practical confusion arises because vendors often label any system with an LLM and an API call as an</w:t>
      </w:r>
      <w:r>
        <w:t xml:space="preserve"> </w:t>
      </w:r>
      <w:r>
        <w:t xml:space="preserve">“</w:t>
      </w:r>
      <w:r>
        <w:t xml:space="preserve">AI agent.</w:t>
      </w:r>
      <w:r>
        <w:t xml:space="preserve">”</w:t>
      </w:r>
      <w:r>
        <w:t xml:space="preserve"> </w:t>
      </w:r>
      <w:r>
        <w:t xml:space="preserve">The arXiv review by Sapkota et al. emphasizes that agentic AI systems, in contrast to basic AI agents,</w:t>
      </w:r>
      <w:r>
        <w:t xml:space="preserve"> </w:t>
      </w:r>
      <w:r>
        <w:t xml:space="preserve">“</w:t>
      </w:r>
      <w:r>
        <w:t xml:space="preserve">represent a paradigm shift marked by multi-agent collaboration, dynamic task decomposition, persistent memory, and coordinated autonomy</w:t>
      </w:r>
      <w:r>
        <w:t xml:space="preserve">”</w:t>
      </w:r>
      <w:r>
        <w:t xml:space="preserve"> </w:t>
      </w:r>
      <w:fldSimple w:instr="NOTEREF _Ref_Footnote_4 \h \f">
        <w:r>
          <w:rPr>
            <w:vertAlign w:val="superscript"/>
          </w:rPr>
          <w:t>4</w:t>
        </w:r>
      </w:fldSimple>
      <w:r>
        <w:t xml:space="preserve">. The absence of any of these characteristics—particularly persistent memory and dynamic task decomposition—suggests a system that may contain agents without being meaningfully agentic.</w:t>
      </w:r>
    </w:p>
    <w:bookmarkEnd w:id="31"/>
    <w:bookmarkStart w:id="32" w:name="X84d22f141dff0c52ed54b043332791f81d68bf8"/>
    <w:p>
      <w:pPr>
        <w:pStyle w:val="Heading4"/>
      </w:pPr>
      <w:r>
        <w:t xml:space="preserve">1.3.3 Anthropic’s Architectural Distinction: Workflows vs Agents</w:t>
      </w:r>
    </w:p>
    <w:p>
      <w:pPr>
        <w:pStyle w:val="FirstParagraph"/>
      </w:pPr>
      <w:r>
        <w:t xml:space="preserve">Anthropic draws what may be the most operationally useful architectural distinction in the field. The firm categorizes all LLM-based task systems as</w:t>
      </w:r>
      <w:r>
        <w:t xml:space="preserve"> </w:t>
      </w:r>
      <w:r>
        <w:t xml:space="preserve">“</w:t>
      </w:r>
      <w:r>
        <w:t xml:space="preserve">agentic systems</w:t>
      </w:r>
      <w:r>
        <w:t xml:space="preserve">”</w:t>
      </w:r>
      <w:r>
        <w:t xml:space="preserve"> </w:t>
      </w:r>
      <w:r>
        <w:t xml:space="preserve">but separates them into two architectural classes:</w:t>
      </w:r>
      <w:r>
        <w:t xml:space="preserve"> </w:t>
      </w:r>
      <w:r>
        <w:rPr>
          <w:bCs/>
          <w:b/>
        </w:rPr>
        <w:t xml:space="preserve">workflows</w:t>
      </w:r>
      <w:r>
        <w:t xml:space="preserve">, in which LLMs and tools are orchestrated through predefined code paths, and</w:t>
      </w:r>
      <w:r>
        <w:t xml:space="preserve"> </w:t>
      </w:r>
      <w:r>
        <w:rPr>
          <w:bCs/>
          <w:b/>
        </w:rPr>
        <w:t xml:space="preserve">agents</w:t>
      </w:r>
      <w:r>
        <w:t xml:space="preserve">, in which LLMs dynamically direct their own processes and tool usage, maintaining control over how they accomplish tasks</w:t>
      </w:r>
      <w:r>
        <w:t xml:space="preserve"> </w:t>
      </w:r>
      <w:fldSimple w:instr="NOTEREF _Ref_Footnote_36 \h \f">
        <w:r>
          <w:rPr>
            <w:vertAlign w:val="superscript"/>
          </w:rPr>
          <w:t>36</w:t>
        </w:r>
      </w:fldSimple>
      <w:r>
        <w:t xml:space="preserve">. In a workflow, a developer has explicitly encoded the decision structure; in an agent, the model itself determines the decision structure at runtime</w:t>
      </w:r>
      <w:r>
        <w:t xml:space="preserve"> </w:t>
      </w:r>
      <w:fldSimple w:instr="NOTEREF _Ref_Footnote_36 \h \f">
        <w:r>
          <w:rPr>
            <w:vertAlign w:val="superscript"/>
          </w:rPr>
          <w:t>36</w:t>
        </w:r>
      </w:fldSimple>
      <w:r>
        <w:t xml:space="preserve">.</w:t>
      </w:r>
    </w:p>
    <w:p>
      <w:pPr>
        <w:pStyle w:val="BodyText"/>
      </w:pPr>
      <w:r>
        <w:t xml:space="preserve">ISACA, building on Anthropic’s framework, draws a further distinction between an agent (the entity) and agency (the capability):</w:t>
      </w:r>
      <w:r>
        <w:t xml:space="preserve"> </w:t>
      </w:r>
      <w:r>
        <w:t xml:space="preserve">“</w:t>
      </w:r>
      <w:r>
        <w:t xml:space="preserve">An AI agent can exist without having true agency</w:t>
      </w:r>
      <w:r>
        <w:t xml:space="preserve">”</w:t>
      </w:r>
      <w:r>
        <w:t xml:space="preserve"> </w:t>
      </w:r>
      <w:r>
        <w:rPr>
          <w:vertAlign w:val="superscript"/>
        </w:rPr>
        <w:footnoteReference w:id="40"/>
      </w:r>
      <w:r>
        <w:t xml:space="preserve">. A system that routes user queries to predefined handlers based on keyword matching contains agents in a nominal sense, but those agents lack agency—they cannot independently assess situations, formulate novel approaches, or adapt their behavior based on changing circumstances. This distinction is critical for procurement: an organization purchasing</w:t>
      </w:r>
      <w:r>
        <w:t xml:space="preserve"> </w:t>
      </w:r>
      <w:r>
        <w:t xml:space="preserve">“</w:t>
      </w:r>
      <w:r>
        <w:t xml:space="preserve">AI agents</w:t>
      </w:r>
      <w:r>
        <w:t xml:space="preserve">”</w:t>
      </w:r>
      <w:r>
        <w:t xml:space="preserve"> </w:t>
      </w:r>
      <w:r>
        <w:t xml:space="preserve">may receive anything from sophisticated autonomous systems to simple conditional routers, and the difference is not merely semantic but architectural.</w:t>
      </w:r>
    </w:p>
    <w:bookmarkEnd w:id="32"/>
    <w:bookmarkStart w:id="33" w:name="comparison-agentic-ai-vs-ai-agents"/>
    <w:p>
      <w:pPr>
        <w:pStyle w:val="Heading4"/>
      </w:pPr>
      <w:r>
        <w:t xml:space="preserve">1.3.4 Comparison: Agentic AI vs AI Agents</w:t>
      </w:r>
    </w:p>
    <w:tbl>
      <w:tblPr>
        <w:tblStyle w:val="Table"/>
        <w:tblW w:type="pct" w:w="5000"/>
        <w:tblLook w:firstRow="1" w:lastRow="0" w:firstColumn="0" w:lastColumn="0" w:noHBand="0" w:noVBand="0" w:val="0020"/>
      </w:tblPr>
      <w:tblGrid>
        <w:gridCol w:w="2640"/>
        <w:gridCol w:w="2640"/>
        <w:gridCol w:w="2640"/>
      </w:tblGrid>
      <w:tr>
        <w:trPr>
          <w:tblHeader w:val="true"/>
        </w:trPr>
        <w:tc>
          <w:tcPr/>
          <w:p>
            <w:pPr>
              <w:pStyle w:val="Compact"/>
              <w:jc w:val="left"/>
            </w:pPr>
            <w:r>
              <w:t xml:space="preserve">Dimension</w:t>
            </w:r>
          </w:p>
        </w:tc>
        <w:tc>
          <w:tcPr/>
          <w:p>
            <w:pPr>
              <w:pStyle w:val="Compact"/>
              <w:jc w:val="left"/>
            </w:pPr>
            <w:r>
              <w:t xml:space="preserve">Agentic AI</w:t>
            </w:r>
          </w:p>
        </w:tc>
        <w:tc>
          <w:tcPr/>
          <w:p>
            <w:pPr>
              <w:pStyle w:val="Compact"/>
              <w:jc w:val="left"/>
            </w:pPr>
            <w:r>
              <w:t xml:space="preserve">AI Agents</w:t>
            </w:r>
          </w:p>
        </w:tc>
      </w:tr>
      <w:tr>
        <w:tc>
          <w:tcPr/>
          <w:p>
            <w:pPr>
              <w:pStyle w:val="Compact"/>
              <w:jc w:val="left"/>
            </w:pPr>
            <w:r>
              <w:rPr>
                <w:bCs/>
                <w:b/>
              </w:rPr>
              <w:t xml:space="preserve">Scope</w:t>
            </w:r>
          </w:p>
        </w:tc>
        <w:tc>
          <w:tcPr/>
          <w:p>
            <w:pPr>
              <w:pStyle w:val="Compact"/>
              <w:jc w:val="left"/>
            </w:pPr>
            <w:r>
              <w:t xml:space="preserve">Overarching architectural paradigm; the system that coordinates goal pursuit</w:t>
            </w:r>
            <w:r>
              <w:t xml:space="preserve"> </w:t>
            </w:r>
            <w:fldSimple w:instr="NOTEREF _Ref_Footnote_3 \h \f">
              <w:r>
                <w:rPr>
                  <w:vertAlign w:val="superscript"/>
                </w:rPr>
                <w:t>3</w:t>
              </w:r>
            </w:fldSimple>
          </w:p>
        </w:tc>
        <w:tc>
          <w:tcPr/>
          <w:p>
            <w:pPr>
              <w:pStyle w:val="Compact"/>
              <w:jc w:val="left"/>
            </w:pPr>
            <w:r>
              <w:t xml:space="preserve">Discrete computational entities; individual workers within the architecture</w:t>
            </w:r>
            <w:r>
              <w:t xml:space="preserve"> </w:t>
            </w:r>
            <w:fldSimple w:instr="NOTEREF _Ref_Footnote_1 \h \f">
              <w:r>
                <w:rPr>
                  <w:vertAlign w:val="superscript"/>
                </w:rPr>
                <w:t>1</w:t>
              </w:r>
            </w:fldSimple>
          </w:p>
        </w:tc>
      </w:tr>
      <w:tr>
        <w:tc>
          <w:tcPr/>
          <w:p>
            <w:pPr>
              <w:pStyle w:val="Compact"/>
              <w:jc w:val="left"/>
            </w:pPr>
            <w:r>
              <w:rPr>
                <w:bCs/>
                <w:b/>
              </w:rPr>
              <w:t xml:space="preserve">Autonomy</w:t>
            </w:r>
          </w:p>
        </w:tc>
        <w:tc>
          <w:tcPr/>
          <w:p>
            <w:pPr>
              <w:pStyle w:val="Compact"/>
              <w:jc w:val="left"/>
            </w:pPr>
            <w:r>
              <w:t xml:space="preserve">Enables varying degrees of autonomy through perception-planning-action loops</w:t>
            </w:r>
            <w:r>
              <w:t xml:space="preserve"> </w:t>
            </w:r>
            <w:fldSimple w:instr="NOTEREF _Ref_Footnote_2 \h \f">
              <w:r>
                <w:rPr>
                  <w:vertAlign w:val="superscript"/>
                </w:rPr>
                <w:t>2</w:t>
              </w:r>
            </w:fldSimple>
          </w:p>
        </w:tc>
        <w:tc>
          <w:tcPr/>
          <w:p>
            <w:pPr>
              <w:pStyle w:val="Compact"/>
              <w:jc w:val="left"/>
            </w:pPr>
            <w:r>
              <w:t xml:space="preserve">Exhibits bounded autonomy within its defined task scope</w:t>
            </w:r>
            <w:r>
              <w:t xml:space="preserve"> </w:t>
            </w:r>
            <w:fldSimple w:instr="NOTEREF _Ref_Footnote_34 \h \f">
              <w:r>
                <w:rPr>
                  <w:vertAlign w:val="superscript"/>
                </w:rPr>
                <w:t>34</w:t>
              </w:r>
            </w:fldSimple>
          </w:p>
        </w:tc>
      </w:tr>
      <w:tr>
        <w:tc>
          <w:tcPr/>
          <w:p>
            <w:pPr>
              <w:pStyle w:val="Compact"/>
              <w:jc w:val="left"/>
            </w:pPr>
            <w:r>
              <w:rPr>
                <w:bCs/>
                <w:b/>
              </w:rPr>
              <w:t xml:space="preserve">Memory</w:t>
            </w:r>
          </w:p>
        </w:tc>
        <w:tc>
          <w:tcPr/>
          <w:p>
            <w:pPr>
              <w:pStyle w:val="Compact"/>
              <w:jc w:val="left"/>
            </w:pPr>
            <w:r>
              <w:t xml:space="preserve">Persistent, multi-session memory architecture (short-term + long-term + episodic)</w:t>
            </w:r>
            <w:r>
              <w:t xml:space="preserve"> </w:t>
            </w:r>
            <w:r>
              <w:rPr>
                <w:vertAlign w:val="superscript"/>
              </w:rPr>
              <w:footnoteReference w:id="41"/>
            </w:r>
          </w:p>
        </w:tc>
        <w:tc>
          <w:tcPr/>
          <w:p>
            <w:pPr>
              <w:pStyle w:val="Compact"/>
              <w:jc w:val="left"/>
            </w:pPr>
            <w:r>
              <w:t xml:space="preserve">Session-bound or scoped to individual subtask execution</w:t>
            </w:r>
          </w:p>
        </w:tc>
      </w:tr>
      <w:tr>
        <w:tc>
          <w:tcPr/>
          <w:p>
            <w:pPr>
              <w:pStyle w:val="Compact"/>
              <w:jc w:val="left"/>
            </w:pPr>
            <w:r>
              <w:rPr>
                <w:bCs/>
                <w:b/>
              </w:rPr>
              <w:t xml:space="preserve">Planning</w:t>
            </w:r>
          </w:p>
        </w:tc>
        <w:tc>
          <w:tcPr/>
          <w:p>
            <w:pPr>
              <w:pStyle w:val="Compact"/>
              <w:jc w:val="left"/>
            </w:pPr>
            <w:r>
              <w:t xml:space="preserve">Dynamic task decomposition with replanning based on environmental feedback</w:t>
            </w:r>
            <w:r>
              <w:t xml:space="preserve"> </w:t>
            </w:r>
            <w:fldSimple w:instr="NOTEREF _Ref_Footnote_4 \h \f">
              <w:r>
                <w:rPr>
                  <w:vertAlign w:val="superscript"/>
                </w:rPr>
                <w:t>4</w:t>
              </w:r>
            </w:fldSimple>
          </w:p>
        </w:tc>
        <w:tc>
          <w:tcPr/>
          <w:p>
            <w:pPr>
              <w:pStyle w:val="Compact"/>
              <w:jc w:val="left"/>
            </w:pPr>
            <w:r>
              <w:t xml:space="preserve">Executes predefined or dynamically assigned subtasks within plan</w:t>
            </w:r>
            <w:r>
              <w:t xml:space="preserve"> </w:t>
            </w:r>
            <w:fldSimple w:instr="NOTEREF _Ref_Footnote_36 \h \f">
              <w:r>
                <w:rPr>
                  <w:vertAlign w:val="superscript"/>
                </w:rPr>
                <w:t>36</w:t>
              </w:r>
            </w:fldSimple>
          </w:p>
        </w:tc>
      </w:tr>
      <w:tr>
        <w:tc>
          <w:tcPr/>
          <w:p>
            <w:pPr>
              <w:pStyle w:val="Compact"/>
              <w:jc w:val="left"/>
            </w:pPr>
            <w:r>
              <w:rPr>
                <w:bCs/>
                <w:b/>
              </w:rPr>
              <w:t xml:space="preserve">Tool Use</w:t>
            </w:r>
          </w:p>
        </w:tc>
        <w:tc>
          <w:tcPr/>
          <w:p>
            <w:pPr>
              <w:pStyle w:val="Compact"/>
              <w:jc w:val="left"/>
            </w:pPr>
            <w:r>
              <w:t xml:space="preserve">Dynamic tool selection and orchestration across multiple agents</w:t>
            </w:r>
            <w:r>
              <w:t xml:space="preserve"> </w:t>
            </w:r>
            <w:fldSimple w:instr="NOTEREF _Ref_Footnote_4 \h \f">
              <w:r>
                <w:rPr>
                  <w:vertAlign w:val="superscript"/>
                </w:rPr>
                <w:t>4</w:t>
              </w:r>
            </w:fldSimple>
          </w:p>
        </w:tc>
        <w:tc>
          <w:tcPr/>
          <w:p>
            <w:pPr>
              <w:pStyle w:val="Compact"/>
              <w:jc w:val="left"/>
            </w:pPr>
            <w:r>
              <w:t xml:space="preserve">Operates specific tools assigned to its function</w:t>
            </w:r>
            <w:r>
              <w:t xml:space="preserve"> </w:t>
            </w:r>
            <w:fldSimple w:instr="NOTEREF _Ref_Footnote_1 \h \f">
              <w:r>
                <w:rPr>
                  <w:vertAlign w:val="superscript"/>
                </w:rPr>
                <w:t>1</w:t>
              </w:r>
            </w:fldSimple>
          </w:p>
        </w:tc>
      </w:tr>
      <w:tr>
        <w:tc>
          <w:tcPr/>
          <w:p>
            <w:pPr>
              <w:pStyle w:val="Compact"/>
              <w:jc w:val="left"/>
            </w:pPr>
            <w:r>
              <w:rPr>
                <w:bCs/>
                <w:b/>
              </w:rPr>
              <w:t xml:space="preserve">Human Oversight</w:t>
            </w:r>
          </w:p>
        </w:tc>
        <w:tc>
          <w:tcPr/>
          <w:p>
            <w:pPr>
              <w:pStyle w:val="Compact"/>
              <w:jc w:val="left"/>
            </w:pPr>
            <w:r>
              <w:t xml:space="preserve">Designed for limited supervision with graduated escalation paths</w:t>
            </w:r>
            <w:r>
              <w:t xml:space="preserve"> </w:t>
            </w:r>
            <w:fldSimple w:instr="NOTEREF _Ref_Footnote_33 \h \f">
              <w:r>
                <w:rPr>
                  <w:vertAlign w:val="superscript"/>
                </w:rPr>
                <w:t>33</w:t>
              </w:r>
            </w:fldSimple>
          </w:p>
        </w:tc>
        <w:tc>
          <w:tcPr/>
          <w:p>
            <w:pPr>
              <w:pStyle w:val="Compact"/>
              <w:jc w:val="left"/>
            </w:pPr>
            <w:r>
              <w:t xml:space="preserve">Operates within human-defined guardrails for its specific subtask</w:t>
            </w:r>
          </w:p>
        </w:tc>
      </w:tr>
      <w:tr>
        <w:tc>
          <w:tcPr/>
          <w:p>
            <w:pPr>
              <w:pStyle w:val="Compact"/>
              <w:jc w:val="left"/>
            </w:pPr>
            <w:r>
              <w:rPr>
                <w:bCs/>
                <w:b/>
              </w:rPr>
              <w:t xml:space="preserve">Examples</w:t>
            </w:r>
          </w:p>
        </w:tc>
        <w:tc>
          <w:tcPr/>
          <w:p>
            <w:pPr>
              <w:pStyle w:val="Compact"/>
              <w:jc w:val="left"/>
            </w:pPr>
            <w:r>
              <w:t xml:space="preserve">Enterprise agent orchestration platform, multi-agent research system, autonomous trading architecture</w:t>
            </w:r>
          </w:p>
        </w:tc>
        <w:tc>
          <w:tcPr/>
          <w:p>
            <w:pPr>
              <w:pStyle w:val="Compact"/>
              <w:jc w:val="left"/>
            </w:pPr>
            <w:r>
              <w:t xml:space="preserve">Document classifier, API executor, content generator, code reviewer</w:t>
            </w:r>
          </w:p>
        </w:tc>
      </w:tr>
    </w:tbl>
    <w:p>
      <w:pPr>
        <w:pStyle w:val="BodyText"/>
      </w:pPr>
      <w:r>
        <w:t xml:space="preserve">The analytical utility of this comparison lies in its implications for engineering scoping. When an organization decides to build</w:t>
      </w:r>
      <w:r>
        <w:t xml:space="preserve"> </w:t>
      </w:r>
      <w:r>
        <w:t xml:space="preserve">“</w:t>
      </w:r>
      <w:r>
        <w:t xml:space="preserve">agentic AI,</w:t>
      </w:r>
      <w:r>
        <w:t xml:space="preserve">”</w:t>
      </w:r>
      <w:r>
        <w:t xml:space="preserve"> </w:t>
      </w:r>
      <w:r>
        <w:t xml:space="preserve">it is committing to an architecture that spans perception, planning, memory, tool orchestration, multi-agent coordination, and feedback learning—a substantial infrastructure investment. When it deploys individual</w:t>
      </w:r>
      <w:r>
        <w:t xml:space="preserve"> </w:t>
      </w:r>
      <w:r>
        <w:t xml:space="preserve">“</w:t>
      </w:r>
      <w:r>
        <w:t xml:space="preserve">AI agents,</w:t>
      </w:r>
      <w:r>
        <w:t xml:space="preserve">”</w:t>
      </w:r>
      <w:r>
        <w:t xml:space="preserve"> </w:t>
      </w:r>
      <w:r>
        <w:t xml:space="preserve">it is adding specialized workers that may operate within an existing agentic framework or within a simpler orchestration scheme. The decision to pursue one versus the other should be driven by the complexity of the target workflow, the required degree of autonomy, and the organization’s readiness to manage the associated infrastructure.</w:t>
      </w:r>
    </w:p>
    <w:bookmarkEnd w:id="33"/>
    <w:bookmarkEnd w:id="34"/>
    <w:bookmarkStart w:id="39" w:name="X5f3849c74aeec6359fff2af961bc96aaf93e59b"/>
    <w:p>
      <w:pPr>
        <w:pStyle w:val="Heading3"/>
      </w:pPr>
      <w:r>
        <w:t xml:space="preserve">1.4 The Debate: Meaningful Distinction or Marketing?</w:t>
      </w:r>
    </w:p>
    <w:bookmarkStart w:id="35" w:name="gartners-agentwashing-warning"/>
    <w:p>
      <w:pPr>
        <w:pStyle w:val="Heading4"/>
      </w:pPr>
      <w:r>
        <w:t xml:space="preserve">1.4.1 Gartner’s</w:t>
      </w:r>
      <w:r>
        <w:t xml:space="preserve"> </w:t>
      </w:r>
      <w:r>
        <w:t xml:space="preserve">“</w:t>
      </w:r>
      <w:r>
        <w:t xml:space="preserve">Agentwashing</w:t>
      </w:r>
      <w:r>
        <w:t xml:space="preserve">”</w:t>
      </w:r>
      <w:r>
        <w:t xml:space="preserve"> </w:t>
      </w:r>
      <w:r>
        <w:t xml:space="preserve">Warning</w:t>
      </w:r>
    </w:p>
    <w:p>
      <w:pPr>
        <w:pStyle w:val="FirstParagraph"/>
      </w:pPr>
      <w:r>
        <w:t xml:space="preserve">The rush to label products as</w:t>
      </w:r>
      <w:r>
        <w:t xml:space="preserve"> </w:t>
      </w:r>
      <w:r>
        <w:t xml:space="preserve">“</w:t>
      </w:r>
      <w:r>
        <w:t xml:space="preserve">agentic</w:t>
      </w:r>
      <w:r>
        <w:t xml:space="preserve">”</w:t>
      </w:r>
      <w:r>
        <w:t xml:space="preserve"> </w:t>
      </w:r>
      <w:r>
        <w:t xml:space="preserve">has prompted Gartner to issue explicit warnings about</w:t>
      </w:r>
      <w:r>
        <w:t xml:space="preserve"> </w:t>
      </w:r>
      <w:r>
        <w:t xml:space="preserve">“</w:t>
      </w:r>
      <w:r>
        <w:t xml:space="preserve">agentwashing</w:t>
      </w:r>
      <w:r>
        <w:t xml:space="preserve">”</w:t>
      </w:r>
      <w:r>
        <w:t xml:space="preserve">—the practice of referring to AI assistants as agents, thereby misrepresenting their capabilities and creating false expectations among buyers</w:t>
      </w:r>
      <w:r>
        <w:t xml:space="preserve"> </w:t>
      </w:r>
      <w:fldSimple w:instr="NOTEREF _Ref_Footnote_27 \h \f">
        <w:r>
          <w:rPr>
            <w:vertAlign w:val="superscript"/>
          </w:rPr>
          <w:t>27</w:t>
        </w:r>
      </w:fldSimple>
      <w:r>
        <w:t xml:space="preserve">. The most common manifestation is describing reactive chatbots or simple prompt-response systems as</w:t>
      </w:r>
      <w:r>
        <w:t xml:space="preserve"> </w:t>
      </w:r>
      <w:r>
        <w:t xml:space="preserve">“</w:t>
      </w:r>
      <w:r>
        <w:t xml:space="preserve">AI agents</w:t>
      </w:r>
      <w:r>
        <w:t xml:space="preserve">”</w:t>
      </w:r>
      <w:r>
        <w:t xml:space="preserve"> </w:t>
      </w:r>
      <w:r>
        <w:t xml:space="preserve">capable of autonomous task completion. Gartner predicts that this confusion will drive high cancellation rates for agentic AI projects by 2027 as enterprises discover that purchased capabilities do not match promised autonomy levels</w:t>
      </w:r>
      <w:r>
        <w:t xml:space="preserve"> </w:t>
      </w:r>
      <w:fldSimple w:instr="NOTEREF _Ref_Footnote_27 \h \f">
        <w:r>
          <w:rPr>
            <w:vertAlign w:val="superscript"/>
          </w:rPr>
          <w:t>27</w:t>
        </w:r>
      </w:fldSimple>
      <w:r>
        <w:t xml:space="preserve">.</w:t>
      </w:r>
    </w:p>
    <w:p>
      <w:pPr>
        <w:pStyle w:val="BodyText"/>
      </w:pPr>
      <w:r>
        <w:t xml:space="preserve">The problem extends beyond semantic imprecision into measurable business risk. Industry analysts note that promised agents that turn out to be simple chatbots erode organizational trust in AI investments and slow the adoption of genuinely capable systems</w:t>
      </w:r>
      <w:r>
        <w:t xml:space="preserve"> </w:t>
      </w:r>
      <w:fldSimple w:instr="NOTEREF _Ref_Footnote_32 \h \f">
        <w:r>
          <w:rPr>
            <w:vertAlign w:val="superscript"/>
          </w:rPr>
          <w:t>32</w:t>
        </w:r>
      </w:fldSimple>
      <w:r>
        <w:t xml:space="preserve">. Warning signs include: promising full autonomy while delivering structured automation, vague</w:t>
      </w:r>
      <w:r>
        <w:t xml:space="preserve"> </w:t>
      </w:r>
      <w:r>
        <w:t xml:space="preserve">“</w:t>
      </w:r>
      <w:r>
        <w:t xml:space="preserve">AI-powered</w:t>
      </w:r>
      <w:r>
        <w:t xml:space="preserve">”</w:t>
      </w:r>
      <w:r>
        <w:t xml:space="preserve"> </w:t>
      </w:r>
      <w:r>
        <w:t xml:space="preserve">claims without specifying autonomy levels, and demo-perfect performance that fails to translate to production environments</w:t>
      </w:r>
      <w:r>
        <w:t xml:space="preserve"> </w:t>
      </w:r>
      <w:fldSimple w:instr="NOTEREF _Ref_Footnote_32 \h \f">
        <w:r>
          <w:rPr>
            <w:vertAlign w:val="superscript"/>
          </w:rPr>
          <w:t>32</w:t>
        </w:r>
      </w:fldSimple>
      <w:r>
        <w:t xml:space="preserve">. The U.S. Federal Trade Commission launched</w:t>
      </w:r>
      <w:r>
        <w:t xml:space="preserve"> </w:t>
      </w:r>
      <w:r>
        <w:t xml:space="preserve">“</w:t>
      </w:r>
      <w:r>
        <w:t xml:space="preserve">Operation AI Comply</w:t>
      </w:r>
      <w:r>
        <w:t xml:space="preserve">”</w:t>
      </w:r>
      <w:r>
        <w:t xml:space="preserve"> </w:t>
      </w:r>
      <w:r>
        <w:t xml:space="preserve">in 2024 to crack down on deceptive AI marketing, and the Securities and Exchange Commission charged Presto Automation for misleading investors with inflated AI claims—demonstrating that agentwashing carries legal as well as reputational liability</w:t>
      </w:r>
      <w:r>
        <w:t xml:space="preserve"> </w:t>
      </w:r>
      <w:r>
        <w:rPr>
          <w:vertAlign w:val="superscript"/>
        </w:rPr>
        <w:footnoteReference w:id="42"/>
      </w:r>
      <w:r>
        <w:t xml:space="preserve">.</w:t>
      </w:r>
    </w:p>
    <w:bookmarkEnd w:id="35"/>
    <w:bookmarkStart w:id="36" w:name="X0a35d8cf32bac60b8c962b363e3d83812b39b4d"/>
    <w:p>
      <w:pPr>
        <w:pStyle w:val="Heading4"/>
      </w:pPr>
      <w:r>
        <w:t xml:space="preserve">1.4.2 McKinsey’s Vision vs Practitioner Criticism</w:t>
      </w:r>
    </w:p>
    <w:p>
      <w:pPr>
        <w:pStyle w:val="FirstParagraph"/>
      </w:pPr>
      <w:r>
        <w:t xml:space="preserve">McKinsey has articulated perhaps the most ambitious vision for enterprise agentic AI, proposing the</w:t>
      </w:r>
      <w:r>
        <w:t xml:space="preserve"> </w:t>
      </w:r>
      <w:r>
        <w:t xml:space="preserve">“</w:t>
      </w:r>
      <w:r>
        <w:t xml:space="preserve">agentic AI mesh</w:t>
      </w:r>
      <w:r>
        <w:t xml:space="preserve">”</w:t>
      </w:r>
      <w:r>
        <w:t xml:space="preserve">—a composable, distributed, vendor-agnostic architectural paradigm enabling multiple agents to reason, collaborate, and act autonomously across a wide array of systems, tools, and language models</w:t>
      </w:r>
      <w:r>
        <w:t xml:space="preserve"> </w:t>
      </w:r>
      <w:r>
        <w:rPr>
          <w:vertAlign w:val="superscript"/>
        </w:rPr>
        <w:footnoteReference w:id="43"/>
      </w:r>
      <w:r>
        <w:t xml:space="preserve">. The firm’s five design principles (Composability, Distributed Intelligence, Layered Decoupling, Vendor Neutrality, and Governed Autonomy) describe an architectural ideal in which enterprises assemble best-of-breed components into coherent agentic ecosystems</w:t>
      </w:r>
      <w:r>
        <w:t xml:space="preserve"> </w:t>
      </w:r>
      <w:fldSimple w:instr="NOTEREF _Ref_Footnote_43 \h \f">
        <w:r>
          <w:rPr>
            <w:vertAlign w:val="superscript"/>
          </w:rPr>
          <w:t>43</w:t>
        </w:r>
      </w:fldSimple>
      <w:r>
        <w:t xml:space="preserve">.</w:t>
      </w:r>
    </w:p>
    <w:p>
      <w:pPr>
        <w:pStyle w:val="BodyText"/>
      </w:pPr>
      <w:r>
        <w:t xml:space="preserve">This vision has drawn sharp criticism from practitioners who characterize it as</w:t>
      </w:r>
      <w:r>
        <w:t xml:space="preserve"> </w:t>
      </w:r>
      <w:r>
        <w:t xml:space="preserve">“</w:t>
      </w:r>
      <w:r>
        <w:t xml:space="preserve">architectural astronautics</w:t>
      </w:r>
      <w:r>
        <w:t xml:space="preserve">”</w:t>
      </w:r>
      <w:r>
        <w:t xml:space="preserve">—theorizing about idealized architectures disconnected from the operational realities of enterprise IT</w:t>
      </w:r>
      <w:r>
        <w:t xml:space="preserve"> </w:t>
      </w:r>
      <w:fldSimple w:instr="NOTEREF _Ref_Footnote_39 \h \f">
        <w:r>
          <w:rPr>
            <w:vertAlign w:val="superscript"/>
          </w:rPr>
          <w:t>39</w:t>
        </w:r>
      </w:fldSimple>
      <w:r>
        <w:t xml:space="preserve">. The tension between McKinsey’s consultant-driven framework and builder-driven operational perspectives reflects a genuine conflict in the field: enterprise reality consistently lags vendor vision, and the 95% pilot failure rate for enterprise AI initiatives suggests that ambitious architectural visions are not the binding constraint on adoption</w:t>
      </w:r>
      <w:r>
        <w:t xml:space="preserve"> </w:t>
      </w:r>
      <w:fldSimple w:instr="NOTEREF _Ref_Footnote_28 \h \f">
        <w:r>
          <w:rPr>
            <w:vertAlign w:val="superscript"/>
          </w:rPr>
          <w:t>28</w:t>
        </w:r>
      </w:fldSimple>
      <w:r>
        <w:t xml:space="preserve">. McKinsey’s own data acknowledges this gap, reporting that while 62% of organizations already use AI agents in some capacity, agentic AI as a comprehensive architecture remains early-stage for most enterprises, with governance, alignment, and explainability cited as top challenges</w:t>
      </w:r>
      <w:r>
        <w:t xml:space="preserve"> </w:t>
      </w:r>
      <w:fldSimple w:instr="NOTEREF _Ref_Footnote_34 \h \f">
        <w:r>
          <w:rPr>
            <w:vertAlign w:val="superscript"/>
          </w:rPr>
          <w:t>34</w:t>
        </w:r>
      </w:fldSimple>
      <w:r>
        <w:t xml:space="preserve">. The gap between where McKinsey’s vision places the industry and where most organizations actually are is substantial, and bridging it requires pragmatic intermediate steps rather than wholesale architectural transformation.</w:t>
      </w:r>
    </w:p>
    <w:bookmarkEnd w:id="36"/>
    <w:bookmarkStart w:id="37" w:name="X25743340cff15e1188d3d60f9138a9576284ada"/>
    <w:p>
      <w:pPr>
        <w:pStyle w:val="Heading4"/>
      </w:pPr>
      <w:r>
        <w:t xml:space="preserve">1.4.3 Cognition’s Skepticism: The Case Against Multi-Agent Complexity</w:t>
      </w:r>
    </w:p>
    <w:p>
      <w:pPr>
        <w:pStyle w:val="FirstParagraph"/>
      </w:pPr>
      <w:r>
        <w:t xml:space="preserve">The most pointed critique of agentic AI ambitions comes from Cognition, the creators of Devin, one of the most advanced AI coding agents commercially available. Through extensive operational experience, Cognition concluded that multi-agent architectures</w:t>
      </w:r>
      <w:r>
        <w:t xml:space="preserve"> </w:t>
      </w:r>
      <w:r>
        <w:t xml:space="preserve">“</w:t>
      </w:r>
      <w:r>
        <w:t xml:space="preserve">only result in fragile systems</w:t>
      </w:r>
      <w:r>
        <w:t xml:space="preserve">”</w:t>
      </w:r>
      <w:r>
        <w:t xml:space="preserve"> </w:t>
      </w:r>
      <w:r>
        <w:t xml:space="preserve">where</w:t>
      </w:r>
      <w:r>
        <w:t xml:space="preserve"> </w:t>
      </w:r>
      <w:r>
        <w:t xml:space="preserve">“</w:t>
      </w:r>
      <w:r>
        <w:t xml:space="preserve">decision-making ends up being too dispersed and context isn’t able to be shared thoroughly enough between the agents</w:t>
      </w:r>
      <w:r>
        <w:t xml:space="preserve">”</w:t>
      </w:r>
      <w:r>
        <w:t xml:space="preserve"> </w:t>
      </w:r>
      <w:fldSimple w:instr="NOTEREF _Ref_Footnote_39 \h \f">
        <w:r>
          <w:rPr>
            <w:vertAlign w:val="superscript"/>
          </w:rPr>
          <w:t>39</w:t>
        </w:r>
      </w:fldSimple>
      <w:r>
        <w:t xml:space="preserve">. This critique targets the very foundation of agentic AI as a multi-agent paradigm: if adding agents degrades rather than improves system reliability, the architectural premise is questionable.</w:t>
      </w:r>
    </w:p>
    <w:p>
      <w:pPr>
        <w:pStyle w:val="BodyText"/>
      </w:pPr>
      <w:r>
        <w:t xml:space="preserve">The Cognition critique aligns with broader practitioner skepticism. Andrej Karpathy, former director of AI at Tesla and a founding member of OpenAI, has articulated an alternative vision he terms</w:t>
      </w:r>
      <w:r>
        <w:t xml:space="preserve"> </w:t>
      </w:r>
      <w:r>
        <w:t xml:space="preserve">“</w:t>
      </w:r>
      <w:r>
        <w:t xml:space="preserve">Software 3.0</w:t>
      </w:r>
      <w:r>
        <w:t xml:space="preserve">”</w:t>
      </w:r>
      <w:r>
        <w:t xml:space="preserve">—in which natural language serves as the primary programming interface, and augmentation of human capability, rather than full autonomy, is the central objective</w:t>
      </w:r>
      <w:r>
        <w:t xml:space="preserve"> </w:t>
      </w:r>
      <w:fldSimple w:instr="NOTEREF _Ref_Footnote_39 \h \f">
        <w:r>
          <w:rPr>
            <w:vertAlign w:val="superscript"/>
          </w:rPr>
          <w:t>39</w:t>
        </w:r>
      </w:fldSimple>
      <w:r>
        <w:t xml:space="preserve">. This vision is deliberately more modest than the agentic mesh: instead of orchestrating complex multi-agent ecosystems, it focuses on making individual AI systems more capable, more reliable, and more transparently integrated into human workflows. For organizations navigating these competing visions, the practical implication is that full multi-agent autonomy should be treated as an aspiration rather than an immediate implementation target.</w:t>
      </w:r>
    </w:p>
    <w:bookmarkEnd w:id="37"/>
    <w:bookmarkStart w:id="38" w:name="X06fe7928648b698c6970196a318ee4092587613"/>
    <w:p>
      <w:pPr>
        <w:pStyle w:val="Heading4"/>
      </w:pPr>
      <w:r>
        <w:t xml:space="preserve">1.4.4 The Consensus View: A Practically Meaningful Distinction</w:t>
      </w:r>
    </w:p>
    <w:p>
      <w:pPr>
        <w:pStyle w:val="FirstParagraph"/>
      </w:pPr>
      <w:r>
        <w:t xml:space="preserve">The debate can be mapped across four distinct positions, each representing a coherent view of how agentic AI should be understood and evaluated:</w:t>
      </w:r>
    </w:p>
    <w:tbl>
      <w:tblPr>
        <w:tblStyle w:val="Table"/>
        <w:tblW w:type="pct" w:w="5000"/>
        <w:tblLook w:firstRow="1" w:lastRow="0" w:firstColumn="0" w:lastColumn="0" w:noHBand="0" w:noVBand="0" w:val="0020"/>
      </w:tblPr>
      <w:tblGrid>
        <w:gridCol w:w="1980"/>
        <w:gridCol w:w="1980"/>
        <w:gridCol w:w="1980"/>
        <w:gridCol w:w="1980"/>
      </w:tblGrid>
      <w:tr>
        <w:trPr>
          <w:tblHeader w:val="true"/>
        </w:trPr>
        <w:tc>
          <w:tcPr/>
          <w:p>
            <w:pPr>
              <w:pStyle w:val="Compact"/>
              <w:jc w:val="left"/>
            </w:pPr>
            <w:r>
              <w:t xml:space="preserve">Position</w:t>
            </w:r>
          </w:p>
        </w:tc>
        <w:tc>
          <w:tcPr/>
          <w:p>
            <w:pPr>
              <w:pStyle w:val="Compact"/>
              <w:jc w:val="left"/>
            </w:pPr>
            <w:r>
              <w:t xml:space="preserve">Proponent</w:t>
            </w:r>
          </w:p>
        </w:tc>
        <w:tc>
          <w:tcPr/>
          <w:p>
            <w:pPr>
              <w:pStyle w:val="Compact"/>
              <w:jc w:val="left"/>
            </w:pPr>
            <w:r>
              <w:t xml:space="preserve">Core Argument</w:t>
            </w:r>
          </w:p>
        </w:tc>
        <w:tc>
          <w:tcPr/>
          <w:p>
            <w:pPr>
              <w:pStyle w:val="Compact"/>
              <w:jc w:val="left"/>
            </w:pPr>
            <w:r>
              <w:t xml:space="preserve">Primary Criticism</w:t>
            </w:r>
          </w:p>
        </w:tc>
      </w:tr>
      <w:tr>
        <w:tc>
          <w:tcPr/>
          <w:p>
            <w:pPr>
              <w:pStyle w:val="Compact"/>
              <w:jc w:val="left"/>
            </w:pPr>
            <w:r>
              <w:rPr>
                <w:bCs/>
                <w:b/>
              </w:rPr>
              <w:t xml:space="preserve">Framework View</w:t>
            </w:r>
          </w:p>
        </w:tc>
        <w:tc>
          <w:tcPr/>
          <w:p>
            <w:pPr>
              <w:pStyle w:val="Compact"/>
              <w:jc w:val="left"/>
            </w:pPr>
            <w:r>
              <w:t xml:space="preserve">IBM, Gartner</w:t>
            </w:r>
          </w:p>
        </w:tc>
        <w:tc>
          <w:tcPr/>
          <w:p>
            <w:pPr>
              <w:pStyle w:val="Compact"/>
              <w:jc w:val="left"/>
            </w:pPr>
            <w:r>
              <w:t xml:space="preserve">Agentic AI is the architecture; AI agents are components within it</w:t>
            </w:r>
            <w:r>
              <w:t xml:space="preserve"> </w:t>
            </w:r>
            <w:fldSimple w:instr="NOTEREF _Ref_Footnote_3 \h \f">
              <w:r>
                <w:rPr>
                  <w:vertAlign w:val="superscript"/>
                </w:rPr>
                <w:t>3</w:t>
              </w:r>
            </w:fldSimple>
            <w:r>
              <w:t xml:space="preserve"> </w:t>
            </w:r>
            <w:fldSimple w:instr="NOTEREF _Ref_Footnote_27 \h \f">
              <w:r>
                <w:rPr>
                  <w:vertAlign w:val="superscript"/>
                </w:rPr>
                <w:t>27</w:t>
              </w:r>
            </w:fldSimple>
          </w:p>
        </w:tc>
        <w:tc>
          <w:tcPr/>
          <w:p>
            <w:pPr>
              <w:pStyle w:val="Compact"/>
              <w:jc w:val="left"/>
            </w:pPr>
            <w:r>
              <w:t xml:space="preserve">May overcomplicate simple deployments where a single agent suffices</w:t>
            </w:r>
          </w:p>
        </w:tc>
      </w:tr>
      <w:tr>
        <w:tc>
          <w:tcPr/>
          <w:p>
            <w:pPr>
              <w:pStyle w:val="Compact"/>
              <w:jc w:val="left"/>
            </w:pPr>
            <w:r>
              <w:rPr>
                <w:bCs/>
                <w:b/>
              </w:rPr>
              <w:t xml:space="preserve">Spectrum View</w:t>
            </w:r>
          </w:p>
        </w:tc>
        <w:tc>
          <w:tcPr/>
          <w:p>
            <w:pPr>
              <w:pStyle w:val="Compact"/>
              <w:jc w:val="left"/>
            </w:pPr>
            <w:r>
              <w:t xml:space="preserve">Agentic.ai, Product Frameworks</w:t>
            </w:r>
          </w:p>
        </w:tc>
        <w:tc>
          <w:tcPr/>
          <w:p>
            <w:pPr>
              <w:pStyle w:val="Compact"/>
              <w:jc w:val="left"/>
            </w:pPr>
            <w:r>
              <w:t xml:space="preserve">“</w:t>
            </w:r>
            <w:r>
              <w:t xml:space="preserve">Agentic</w:t>
            </w:r>
            <w:r>
              <w:t xml:space="preserve">”</w:t>
            </w:r>
            <w:r>
              <w:t xml:space="preserve"> </w:t>
            </w:r>
            <w:r>
              <w:t xml:space="preserve">is a property scored across dimensions; most systems sit mid-spectrum</w:t>
            </w:r>
            <w:r>
              <w:t xml:space="preserve"> </w:t>
            </w:r>
            <w:r>
              <w:rPr>
                <w:vertAlign w:val="superscript"/>
              </w:rPr>
              <w:footnoteReference w:id="44"/>
            </w:r>
            <w:r>
              <w:t xml:space="preserve"> </w:t>
            </w:r>
            <w:r>
              <w:rPr>
                <w:vertAlign w:val="superscript"/>
              </w:rPr>
              <w:footnoteReference w:id="45"/>
            </w:r>
          </w:p>
        </w:tc>
        <w:tc>
          <w:tcPr/>
          <w:p>
            <w:pPr>
              <w:pStyle w:val="Compact"/>
              <w:jc w:val="left"/>
            </w:pPr>
            <w:r>
              <w:t xml:space="preserve">Requires complex measurement frameworks that are not yet standardized</w:t>
            </w:r>
          </w:p>
        </w:tc>
      </w:tr>
      <w:tr>
        <w:tc>
          <w:tcPr/>
          <w:p>
            <w:pPr>
              <w:pStyle w:val="Compact"/>
              <w:jc w:val="left"/>
            </w:pPr>
            <w:r>
              <w:rPr>
                <w:bCs/>
                <w:b/>
              </w:rPr>
              <w:t xml:space="preserve">Mesh Vision</w:t>
            </w:r>
          </w:p>
        </w:tc>
        <w:tc>
          <w:tcPr/>
          <w:p>
            <w:pPr>
              <w:pStyle w:val="Compact"/>
              <w:jc w:val="left"/>
            </w:pPr>
            <w:r>
              <w:t xml:space="preserve">McKinsey</w:t>
            </w:r>
          </w:p>
        </w:tc>
        <w:tc>
          <w:tcPr/>
          <w:p>
            <w:pPr>
              <w:pStyle w:val="Compact"/>
              <w:jc w:val="left"/>
            </w:pPr>
            <w:r>
              <w:t xml:space="preserve">Enterprise agentic AI requires composable, distributed, vendor-agnostic architecture</w:t>
            </w:r>
            <w:r>
              <w:t xml:space="preserve"> </w:t>
            </w:r>
            <w:fldSimple w:instr="NOTEREF _Ref_Footnote_43 \h \f">
              <w:r>
                <w:rPr>
                  <w:vertAlign w:val="superscript"/>
                </w:rPr>
                <w:t>43</w:t>
              </w:r>
            </w:fldSimple>
          </w:p>
        </w:tc>
        <w:tc>
          <w:tcPr/>
          <w:p>
            <w:pPr>
              <w:pStyle w:val="Compact"/>
              <w:jc w:val="left"/>
            </w:pPr>
            <w:r>
              <w:t xml:space="preserve">Practitioners call it</w:t>
            </w:r>
            <w:r>
              <w:t xml:space="preserve"> </w:t>
            </w:r>
            <w:r>
              <w:t xml:space="preserve">“</w:t>
            </w:r>
            <w:r>
              <w:t xml:space="preserve">architectural astronautics</w:t>
            </w:r>
            <w:r>
              <w:t xml:space="preserve">”</w:t>
            </w:r>
            <w:r>
              <w:t xml:space="preserve"> </w:t>
            </w:r>
            <w:r>
              <w:t xml:space="preserve">disconnected from operational reality</w:t>
            </w:r>
            <w:r>
              <w:t xml:space="preserve"> </w:t>
            </w:r>
            <w:fldSimple w:instr="NOTEREF _Ref_Footnote_39 \h \f">
              <w:r>
                <w:rPr>
                  <w:vertAlign w:val="superscript"/>
                </w:rPr>
                <w:t>39</w:t>
              </w:r>
            </w:fldSimple>
          </w:p>
        </w:tc>
      </w:tr>
      <w:tr>
        <w:tc>
          <w:tcPr/>
          <w:p>
            <w:pPr>
              <w:pStyle w:val="Compact"/>
              <w:jc w:val="left"/>
            </w:pPr>
            <w:r>
              <w:rPr>
                <w:bCs/>
                <w:b/>
              </w:rPr>
              <w:t xml:space="preserve">Simplicity-First View</w:t>
            </w:r>
          </w:p>
        </w:tc>
        <w:tc>
          <w:tcPr/>
          <w:p>
            <w:pPr>
              <w:pStyle w:val="Compact"/>
              <w:jc w:val="left"/>
            </w:pPr>
            <w:r>
              <w:t xml:space="preserve">Anthropic, Cognition</w:t>
            </w:r>
          </w:p>
        </w:tc>
        <w:tc>
          <w:tcPr/>
          <w:p>
            <w:pPr>
              <w:pStyle w:val="Compact"/>
              <w:jc w:val="left"/>
            </w:pPr>
            <w:r>
              <w:t xml:space="preserve">Start with workflows; introduce agent autonomy only when validated by data</w:t>
            </w:r>
            <w:r>
              <w:t xml:space="preserve"> </w:t>
            </w:r>
            <w:fldSimple w:instr="NOTEREF _Ref_Footnote_36 \h \f">
              <w:r>
                <w:rPr>
                  <w:vertAlign w:val="superscript"/>
                </w:rPr>
                <w:t>36</w:t>
              </w:r>
            </w:fldSimple>
            <w:r>
              <w:t xml:space="preserve"> </w:t>
            </w:r>
            <w:fldSimple w:instr="NOTEREF _Ref_Footnote_39 \h \f">
              <w:r>
                <w:rPr>
                  <w:vertAlign w:val="superscript"/>
                </w:rPr>
                <w:t>39</w:t>
              </w:r>
            </w:fldSimple>
          </w:p>
        </w:tc>
        <w:tc>
          <w:tcPr/>
          <w:p>
            <w:pPr>
              <w:pStyle w:val="Compact"/>
              <w:jc w:val="left"/>
            </w:pPr>
            <w:r>
              <w:t xml:space="preserve">May underinvest in architectures needed for complex, multi-domain use cases</w:t>
            </w:r>
          </w:p>
        </w:tc>
      </w:tr>
    </w:tbl>
    <w:p>
      <w:pPr>
        <w:pStyle w:val="BodyText"/>
      </w:pPr>
      <w:r>
        <w:t xml:space="preserve">Despite the tensions between vendor ambition and practitioner skepticism, the weight of evidence supports a consensus position: the distinction between agentic AI and AI agents is practically meaningful for scoping engineering work, even if the terminology is imperfectly standardized. The most useful framing treats</w:t>
      </w:r>
      <w:r>
        <w:t xml:space="preserve"> </w:t>
      </w:r>
      <w:r>
        <w:t xml:space="preserve">“</w:t>
      </w:r>
      <w:r>
        <w:t xml:space="preserve">agentic AI</w:t>
      </w:r>
      <w:r>
        <w:t xml:space="preserve">”</w:t>
      </w:r>
      <w:r>
        <w:t xml:space="preserve"> </w:t>
      </w:r>
      <w:r>
        <w:t xml:space="preserve">as a property describing how autonomously a system behaves—a spectrum scored across dimensions including tool use, planning capability, memory persistence, self-evaluation capacity, and human-in-the-loop requirements</w:t>
      </w:r>
      <w:r>
        <w:t xml:space="preserve"> </w:t>
      </w:r>
      <w:fldSimple w:instr="NOTEREF _Ref_Footnote_45 \h \f">
        <w:r>
          <w:rPr>
            <w:vertAlign w:val="superscript"/>
          </w:rPr>
          <w:t>45</w:t>
        </w:r>
      </w:fldSimple>
      <w:r>
        <w:t xml:space="preserve">.</w:t>
      </w:r>
      <w:r>
        <w:t xml:space="preserve"> </w:t>
      </w:r>
      <w:r>
        <w:t xml:space="preserve">“</w:t>
      </w:r>
      <w:r>
        <w:t xml:space="preserve">AI agents,</w:t>
      </w:r>
      <w:r>
        <w:t xml:space="preserve">”</w:t>
      </w:r>
      <w:r>
        <w:t xml:space="preserve"> </w:t>
      </w:r>
      <w:r>
        <w:t xml:space="preserve">in this framework, are discrete software systems (the noun) that sit at varying positions on the agentic spectrum</w:t>
      </w:r>
      <w:r>
        <w:t xml:space="preserve"> </w:t>
      </w:r>
      <w:fldSimple w:instr="NOTEREF _Ref_Footnote_44 \h \f">
        <w:r>
          <w:rPr>
            <w:vertAlign w:val="superscript"/>
          </w:rPr>
          <w:t>44</w:t>
        </w:r>
      </w:fldSimple>
      <w:r>
        <w:t xml:space="preserve">.</w:t>
      </w:r>
    </w:p>
    <w:p>
      <w:pPr>
        <w:pStyle w:val="BodyText"/>
      </w:pPr>
      <w:r>
        <w:t xml:space="preserve">Agentic.ai, a specialized directory that scores tools on a 36-point framework across nine dimensions (action capability, autonomy, planning, adaptation, state continuity, reliability, interoperability, safety, and operator sovereignty), explicitly adopts this spectrum-based approach because</w:t>
      </w:r>
      <w:r>
        <w:t xml:space="preserve"> </w:t>
      </w:r>
      <w:r>
        <w:t xml:space="preserve">“</w:t>
      </w:r>
      <w:r>
        <w:t xml:space="preserve">most real systems sit between pure chatbot and fully autonomous operator</w:t>
      </w:r>
      <w:r>
        <w:t xml:space="preserve">”</w:t>
      </w:r>
      <w:r>
        <w:t xml:space="preserve"> </w:t>
      </w:r>
      <w:fldSimple w:instr="NOTEREF _Ref_Footnote_44 \h \f">
        <w:r>
          <w:rPr>
            <w:vertAlign w:val="superscript"/>
          </w:rPr>
          <w:t>44</w:t>
        </w:r>
      </w:fldSimple>
      <w:r>
        <w:t xml:space="preserve">. This pragmatic orientation—evaluating systems based on demonstrable capabilities rather than vendor labels—offers the most robust defense against agentwashing while preserving the conceptual clarity needed for architectural decision-making.</w:t>
      </w:r>
    </w:p>
    <w:p>
      <w:pPr>
        <w:pStyle w:val="BodyText"/>
      </w:pPr>
      <w:r>
        <w:t xml:space="preserve">The debate ultimately resolves into a practical question rather than a philosophical one. Organizations evaluating agentic AI should not ask whether a system is</w:t>
      </w:r>
      <w:r>
        <w:t xml:space="preserve"> </w:t>
      </w:r>
      <w:r>
        <w:t xml:space="preserve">“</w:t>
      </w:r>
      <w:r>
        <w:t xml:space="preserve">truly agentic</w:t>
      </w:r>
      <w:r>
        <w:t xml:space="preserve">”</w:t>
      </w:r>
      <w:r>
        <w:t xml:space="preserve"> </w:t>
      </w:r>
      <w:r>
        <w:t xml:space="preserve">but rather: How many dimensions of agency does this use case require? What is the cost and failure-surface implication of each additional dimension? And does the engineering investment align with the expected operational return? A chatbot with a single web search tool has one dimension of agency activated (tool use). A system like Devin has all dimensions activated simultaneously. The gap between those two points is enormous in cost, complexity, and failure surface—and most enterprise use cases fall somewhere in between</w:t>
      </w:r>
      <w:r>
        <w:t xml:space="preserve"> </w:t>
      </w:r>
      <w:fldSimple w:instr="NOTEREF _Ref_Footnote_45 \h \f">
        <w:r>
          <w:rPr>
            <w:vertAlign w:val="superscript"/>
          </w:rPr>
          <w:t>45</w:t>
        </w:r>
      </w:fldSimple>
      <w:r>
        <w:t xml:space="preserve">.</w:t>
      </w:r>
    </w:p>
    <w:p>
      <w:r>
        <w:pict>
          <v:rect style="width:0;height:1.5pt" o:hralign="center" o:hrstd="t" o:hr="t"/>
        </w:pict>
      </w:r>
    </w:p>
    <w:bookmarkEnd w:id="38"/>
    <w:bookmarkEnd w:id="39"/>
    <w:bookmarkEnd w:id="40"/>
    <w:bookmarkStart w:id="66" w:name="Xe645ff4270590d3bebfd5453aad27dd0ebe1b19"/>
    <w:p>
      <w:pPr>
        <w:pStyle w:val="Heading2"/>
      </w:pPr>
      <w:r>
        <w:t xml:space="preserve">2. The Architecture of Agentic AI Ecosystems</w:t>
      </w:r>
    </w:p>
    <w:p>
      <w:pPr>
        <w:pStyle w:val="FirstParagraph"/>
      </w:pPr>
      <w:r>
        <w:t xml:space="preserve">Building production-grade agentic AI requires more than selecting a capable language model. It demands a coherent architectural blueprint that coordinates memory, planning, tool access, and learning into a unified system. This chapter decomposes the agentic AI stack into its structural layers, examines the cognitive components that transform a stateless LLM into an autonomous agent, compares the four dominant orchestration patterns emerging in production, and analyzes the protocol layer that is rapidly becoming the connective tissue of multi-agent ecosystems.</w:t>
      </w:r>
    </w:p>
    <w:bookmarkStart w:id="48" w:name="the-three-tier-intelligence-model"/>
    <w:p>
      <w:pPr>
        <w:pStyle w:val="Heading3"/>
      </w:pPr>
      <w:r>
        <w:t xml:space="preserve">2.1 The Three-Tier Intelligence Model</w:t>
      </w:r>
    </w:p>
    <w:p>
      <w:pPr>
        <w:pStyle w:val="FirstParagraph"/>
      </w:pPr>
      <w:r>
        <w:t xml:space="preserve">Enterprise agentic architectures increasingly converge on a three-tier model that separates concerns across a foundation layer, a workflow layer, and an autonomous execution layer. This structure, articulated most clearly by Kore.ai, provides both a technical blueprint and a maturity progression path: organizations must demonstrate capability at each tier before advancing to the next</w:t>
      </w:r>
      <w:r>
        <w:t xml:space="preserve"> </w:t>
      </w:r>
      <w:r>
        <w:rPr>
          <w:vertAlign w:val="superscript"/>
        </w:rPr>
        <w:footnoteReference w:id="46"/>
      </w:r>
      <w:r>
        <w:t xml:space="preserve">. Deploying autonomous agents before governance infrastructure is in place creates what practitioners describe as</w:t>
      </w:r>
      <w:r>
        <w:t xml:space="preserve"> </w:t>
      </w:r>
      <w:r>
        <w:t xml:space="preserve">“</w:t>
      </w:r>
      <w:r>
        <w:t xml:space="preserve">systems that are impressive in demos and dangerous in production</w:t>
      </w:r>
      <w:r>
        <w:t xml:space="preserve">”</w:t>
      </w:r>
      <w:r>
        <w:t xml:space="preserve"> </w:t>
      </w:r>
      <w:r>
        <w:rPr>
          <w:vertAlign w:val="superscript"/>
        </w:rPr>
        <w:footnoteReference w:id="47"/>
      </w:r>
      <w:r>
        <w:t xml:space="preserve">.</w:t>
      </w:r>
    </w:p>
    <w:bookmarkStart w:id="41" w:name="Xa36e7d89c4d5d5eecef4d1de8ac93bb783c1983"/>
    <w:p>
      <w:pPr>
        <w:pStyle w:val="Heading4"/>
      </w:pPr>
      <w:r>
        <w:t xml:space="preserve">2.1.1 Foundation Tier: State, Memory, and Knowledge</w:t>
      </w:r>
    </w:p>
    <w:p>
      <w:pPr>
        <w:pStyle w:val="FirstParagraph"/>
      </w:pPr>
      <w:r>
        <w:t xml:space="preserve">The Foundation Tier anchors the entire architecture with two core components. The first is</w:t>
      </w:r>
      <w:r>
        <w:t xml:space="preserve"> </w:t>
      </w:r>
      <w:r>
        <w:rPr>
          <w:bCs/>
          <w:b/>
        </w:rPr>
        <w:t xml:space="preserve">State &amp; Memory</w:t>
      </w:r>
      <w:r>
        <w:t xml:space="preserve">, which tracks what is happening right now — the goals being pursued, actions taken, dependencies, and outcomes achieved</w:t>
      </w:r>
      <w:r>
        <w:t xml:space="preserve"> </w:t>
      </w:r>
      <w:fldSimple w:instr="NOTEREF _Ref_Footnote_46 \h \f">
        <w:r>
          <w:rPr>
            <w:vertAlign w:val="superscript"/>
          </w:rPr>
          <w:t>46</w:t>
        </w:r>
      </w:fldSimple>
      <w:r>
        <w:t xml:space="preserve">. This includes both short-term memory for active task flow (typically the LLM’s context window or working memory) and long-term memory for durable knowledge that persists across sessions. The second component is the</w:t>
      </w:r>
      <w:r>
        <w:t xml:space="preserve"> </w:t>
      </w:r>
      <w:r>
        <w:rPr>
          <w:bCs/>
          <w:b/>
        </w:rPr>
        <w:t xml:space="preserve">Knowledge Layer</w:t>
      </w:r>
      <w:r>
        <w:t xml:space="preserve">, which connects agents to enterprise data and domain context through vector databases, enterprise search, and Retrieval-Augmented Generation (RAG) pipelines</w:t>
      </w:r>
      <w:r>
        <w:t xml:space="preserve"> </w:t>
      </w:r>
      <w:fldSimple w:instr="NOTEREF _Ref_Footnote_46 \h \f">
        <w:r>
          <w:rPr>
            <w:vertAlign w:val="superscript"/>
          </w:rPr>
          <w:t>46</w:t>
        </w:r>
      </w:fldSimple>
      <w:r>
        <w:t xml:space="preserve">. Without this layer, agents operate as isolated reasoning engines disconnected from the organization’s actual information assets. A survey of LLM-based autonomous agents found that architectures explicitly modeling human-like short-term and long-term memories are now standard, with vector databases commonly used for long-term storage and embedding-based retrieval</w:t>
      </w:r>
      <w:r>
        <w:t xml:space="preserve"> </w:t>
      </w:r>
      <w:fldSimple w:instr="NOTEREF _Ref_Footnote_41 \h \f">
        <w:r>
          <w:rPr>
            <w:vertAlign w:val="superscript"/>
          </w:rPr>
          <w:t>41</w:t>
        </w:r>
      </w:fldSimple>
      <w:r>
        <w:t xml:space="preserve">.</w:t>
      </w:r>
    </w:p>
    <w:p>
      <w:pPr>
        <w:pStyle w:val="BodyText"/>
      </w:pPr>
      <w:r>
        <w:t xml:space="preserve">The importance of this tier cannot be overstated: while LLMs are inherently stateless — processing each request independently with no built-in mechanism for carrying information across interactions</w:t>
      </w:r>
      <w:r>
        <w:t xml:space="preserve"> </w:t>
      </w:r>
      <w:r>
        <w:rPr>
          <w:vertAlign w:val="superscript"/>
        </w:rPr>
        <w:footnoteReference w:id="48"/>
      </w:r>
      <w:r>
        <w:t xml:space="preserve">— it is the Foundation Tier that transforms a stateless model into a persistent, learning-capable system</w:t>
      </w:r>
      <w:r>
        <w:t xml:space="preserve"> </w:t>
      </w:r>
      <w:r>
        <w:rPr>
          <w:vertAlign w:val="superscript"/>
        </w:rPr>
        <w:footnoteReference w:id="49"/>
      </w:r>
      <w:r>
        <w:t xml:space="preserve">.</w:t>
      </w:r>
    </w:p>
    <w:bookmarkEnd w:id="41"/>
    <w:bookmarkStart w:id="42" w:name="workflow-tier-planner-and-orchestrator"/>
    <w:p>
      <w:pPr>
        <w:pStyle w:val="Heading4"/>
      </w:pPr>
      <w:r>
        <w:t xml:space="preserve">2.1.2 Workflow Tier: Planner and Orchestrator</w:t>
      </w:r>
    </w:p>
    <w:p>
      <w:pPr>
        <w:pStyle w:val="FirstParagraph"/>
      </w:pPr>
      <w:r>
        <w:t xml:space="preserve">The Workflow Tier converts understanding into structured action through two complementary components. The</w:t>
      </w:r>
      <w:r>
        <w:t xml:space="preserve"> </w:t>
      </w:r>
      <w:r>
        <w:rPr>
          <w:bCs/>
          <w:b/>
        </w:rPr>
        <w:t xml:space="preserve">Planner</w:t>
      </w:r>
      <w:r>
        <w:t xml:space="preserve"> </w:t>
      </w:r>
      <w:r>
        <w:t xml:space="preserve">breaks high-level objectives into executable steps with explicit dependencies and sequencing</w:t>
      </w:r>
      <w:r>
        <w:t xml:space="preserve"> </w:t>
      </w:r>
      <w:fldSimple w:instr="NOTEREF _Ref_Footnote_46 \h \f">
        <w:r>
          <w:rPr>
            <w:vertAlign w:val="superscript"/>
          </w:rPr>
          <w:t>46</w:t>
        </w:r>
      </w:fldSimple>
      <w:r>
        <w:t xml:space="preserve">. While the planner decides</w:t>
      </w:r>
      <w:r>
        <w:t xml:space="preserve"> </w:t>
      </w:r>
      <w:r>
        <w:rPr>
          <w:iCs/>
          <w:i/>
        </w:rPr>
        <w:t xml:space="preserve">what</w:t>
      </w:r>
      <w:r>
        <w:t xml:space="preserve"> </w:t>
      </w:r>
      <w:r>
        <w:t xml:space="preserve">needs to be done, the</w:t>
      </w:r>
      <w:r>
        <w:t xml:space="preserve"> </w:t>
      </w:r>
      <w:r>
        <w:rPr>
          <w:bCs/>
          <w:b/>
        </w:rPr>
        <w:t xml:space="preserve">Orchestrator</w:t>
      </w:r>
      <w:r>
        <w:t xml:space="preserve"> </w:t>
      </w:r>
      <w:r>
        <w:t xml:space="preserve">decides</w:t>
      </w:r>
      <w:r>
        <w:t xml:space="preserve"> </w:t>
      </w:r>
      <w:r>
        <w:rPr>
          <w:iCs/>
          <w:i/>
        </w:rPr>
        <w:t xml:space="preserve">who</w:t>
      </w:r>
      <w:r>
        <w:t xml:space="preserve"> </w:t>
      </w:r>
      <w:r>
        <w:t xml:space="preserve">does it and</w:t>
      </w:r>
      <w:r>
        <w:t xml:space="preserve"> </w:t>
      </w:r>
      <w:r>
        <w:rPr>
          <w:iCs/>
          <w:i/>
        </w:rPr>
        <w:t xml:space="preserve">when</w:t>
      </w:r>
      <w:r>
        <w:t xml:space="preserve">. The orchestrator functions as the executive controller of the agentic system, routing tasks to appropriate agents, monitoring progress, resolving conflicts, and merging results into coherent outputs</w:t>
      </w:r>
      <w:r>
        <w:t xml:space="preserve"> </w:t>
      </w:r>
      <w:fldSimple w:instr="NOTEREF _Ref_Footnote_46 \h \f">
        <w:r>
          <w:rPr>
            <w:vertAlign w:val="superscript"/>
          </w:rPr>
          <w:t>46</w:t>
        </w:r>
      </w:fldSimple>
      <w:r>
        <w:t xml:space="preserve"> </w:t>
      </w:r>
      <w:r>
        <w:rPr>
          <w:vertAlign w:val="superscript"/>
        </w:rPr>
        <w:footnoteReference w:id="50"/>
      </w:r>
      <w:r>
        <w:t xml:space="preserve">. This separation of concerns — planning versus execution coordination — is critical because it allows the system to optimize each function independently. A planner might use a large model for complex decomposition while the orchestrator uses a lightweight model for routing decisions, an architecture pattern that directly enables the SLM-first strategies examined in later chapters.</w:t>
      </w:r>
    </w:p>
    <w:bookmarkEnd w:id="42"/>
    <w:bookmarkStart w:id="43" w:name="autonomous-tier-ai-agents-and-tools"/>
    <w:p>
      <w:pPr>
        <w:pStyle w:val="Heading4"/>
      </w:pPr>
      <w:r>
        <w:t xml:space="preserve">2.1.3 Autonomous Tier: AI Agents and Tools</w:t>
      </w:r>
    </w:p>
    <w:p>
      <w:pPr>
        <w:pStyle w:val="FirstParagraph"/>
      </w:pPr>
      <w:r>
        <w:t xml:space="preserve">The Autonomous Tier contains the</w:t>
      </w:r>
      <w:r>
        <w:t xml:space="preserve"> </w:t>
      </w:r>
      <w:r>
        <w:rPr>
          <w:bCs/>
          <w:b/>
        </w:rPr>
        <w:t xml:space="preserve">AI Agents</w:t>
      </w:r>
      <w:r>
        <w:t xml:space="preserve"> </w:t>
      </w:r>
      <w:r>
        <w:t xml:space="preserve">— the workhorses equipped with reasoning capabilities and tool access — and the</w:t>
      </w:r>
      <w:r>
        <w:t xml:space="preserve"> </w:t>
      </w:r>
      <w:r>
        <w:rPr>
          <w:bCs/>
          <w:b/>
        </w:rPr>
        <w:t xml:space="preserve">Tools/APIs</w:t>
      </w:r>
      <w:r>
        <w:t xml:space="preserve"> </w:t>
      </w:r>
      <w:r>
        <w:t xml:space="preserve">that serve as connectors to enterprise systems</w:t>
      </w:r>
      <w:r>
        <w:t xml:space="preserve"> </w:t>
      </w:r>
      <w:fldSimple w:instr="NOTEREF _Ref_Footnote_46 \h \f">
        <w:r>
          <w:rPr>
            <w:vertAlign w:val="superscript"/>
          </w:rPr>
          <w:t>46</w:t>
        </w:r>
      </w:fldSimple>
      <w:r>
        <w:t xml:space="preserve">. Each agent in this tier is an instance of what Anthropic describes as an</w:t>
      </w:r>
      <w:r>
        <w:t xml:space="preserve"> </w:t>
      </w:r>
      <w:r>
        <w:t xml:space="preserve">“</w:t>
      </w:r>
      <w:r>
        <w:t xml:space="preserve">augmented LLM</w:t>
      </w:r>
      <w:r>
        <w:t xml:space="preserve">”</w:t>
      </w:r>
      <w:r>
        <w:t xml:space="preserve">: a language model enhanced with retrieval, tools, and memory, operating in a loop where it uses tools based on environmental feedback</w:t>
      </w:r>
      <w:r>
        <w:t xml:space="preserve"> </w:t>
      </w:r>
      <w:r>
        <w:rPr>
          <w:vertAlign w:val="superscript"/>
        </w:rPr>
        <w:footnoteReference w:id="51"/>
      </w:r>
      <w:r>
        <w:t xml:space="preserve">. The agent tier is where domain specialization occurs: one agent might handle database queries, another generates documents, and a third validates compliance — each with access to different tool sets and operating under different constraints.</w:t>
      </w:r>
    </w:p>
    <w:bookmarkEnd w:id="43"/>
    <w:bookmarkStart w:id="47" w:name="X17eed2eaf0443cb13affdecb10ef4e6d88e2b3d"/>
    <w:p>
      <w:pPr>
        <w:pStyle w:val="Heading4"/>
      </w:pPr>
      <w:r>
        <w:t xml:space="preserve">2.1.4 The Closed Intelligence Loop: Perceive → Plan → Act → Learn</w:t>
      </w:r>
    </w:p>
    <w:p>
      <w:pPr>
        <w:pStyle w:val="FirstParagraph"/>
      </w:pPr>
      <w:r>
        <w:t xml:space="preserve">The three tiers do not operate in isolation. They form a</w:t>
      </w:r>
      <w:r>
        <w:t xml:space="preserve"> </w:t>
      </w:r>
      <w:r>
        <w:rPr>
          <w:bCs/>
          <w:b/>
        </w:rPr>
        <w:t xml:space="preserve">closed intelligence loop</w:t>
      </w:r>
      <w:r>
        <w:t xml:space="preserve"> </w:t>
      </w:r>
      <w:r>
        <w:t xml:space="preserve">that continuously transforms environmental inputs into adaptive behavior</w:t>
      </w:r>
      <w:r>
        <w:t xml:space="preserve"> </w:t>
      </w:r>
      <w:fldSimple w:instr="NOTEREF _Ref_Footnote_46 \h \f">
        <w:r>
          <w:rPr>
            <w:vertAlign w:val="superscript"/>
          </w:rPr>
          <w:t>46</w:t>
        </w:r>
      </w:fldSimple>
      <w:r>
        <w:t xml:space="preserve">. The loop proceeds through four stages:</w:t>
      </w:r>
      <w:r>
        <w:t xml:space="preserve"> </w:t>
      </w:r>
      <w:r>
        <w:rPr>
          <w:bCs/>
          <w:b/>
        </w:rPr>
        <w:t xml:space="preserve">Perceive</w:t>
      </w:r>
      <w:r>
        <w:t xml:space="preserve"> </w:t>
      </w:r>
      <w:r>
        <w:t xml:space="preserve">(gathering context from prompts, files, history, and external sensors),</w:t>
      </w:r>
      <w:r>
        <w:t xml:space="preserve"> </w:t>
      </w:r>
      <w:r>
        <w:rPr>
          <w:bCs/>
          <w:b/>
        </w:rPr>
        <w:t xml:space="preserve">Plan</w:t>
      </w:r>
      <w:r>
        <w:t xml:space="preserve"> </w:t>
      </w:r>
      <w:r>
        <w:t xml:space="preserve">(formulating strategy via the core LLM),</w:t>
      </w:r>
      <w:r>
        <w:t xml:space="preserve"> </w:t>
      </w:r>
      <w:r>
        <w:rPr>
          <w:bCs/>
          <w:b/>
        </w:rPr>
        <w:t xml:space="preserve">Act</w:t>
      </w:r>
      <w:r>
        <w:t xml:space="preserve"> </w:t>
      </w:r>
      <w:r>
        <w:t xml:space="preserve">(executing through digital tools via function calling), and</w:t>
      </w:r>
      <w:r>
        <w:t xml:space="preserve"> </w:t>
      </w:r>
      <w:r>
        <w:rPr>
          <w:bCs/>
          <w:b/>
        </w:rPr>
        <w:t xml:space="preserve">Learn</w:t>
      </w:r>
      <w:r>
        <w:t xml:space="preserve"> </w:t>
      </w:r>
      <w:r>
        <w:t xml:space="preserve">(evaluating outcomes and updating memory or behavioral patterns)</w:t>
      </w:r>
      <w:r>
        <w:t xml:space="preserve"> </w:t>
      </w:r>
      <w:r>
        <w:rPr>
          <w:vertAlign w:val="superscript"/>
        </w:rPr>
        <w:footnoteReference w:id="52"/>
      </w:r>
      <w:r>
        <w:t xml:space="preserve"> </w:t>
      </w:r>
      <w:fldSimple w:instr="NOTEREF _Ref_Footnote_47 \h \f">
        <w:r>
          <w:rPr>
            <w:vertAlign w:val="superscript"/>
          </w:rPr>
          <w:t>47</w:t>
        </w:r>
      </w:fldSimple>
      <w:r>
        <w:t xml:space="preserve">. Salesforce adds a fifth dimension —</w:t>
      </w:r>
      <w:r>
        <w:t xml:space="preserve"> </w:t>
      </w:r>
      <w:r>
        <w:rPr>
          <w:bCs/>
          <w:b/>
        </w:rPr>
        <w:t xml:space="preserve">Iterate &amp; Collaborate</w:t>
      </w:r>
      <w:r>
        <w:t xml:space="preserve"> </w:t>
      </w:r>
      <w:r>
        <w:t xml:space="preserve">— reflecting the reality that complex enterprise problems require multi-agent coordination rather than isolated execution</w:t>
      </w:r>
      <w:r>
        <w:t xml:space="preserve"> </w:t>
      </w:r>
      <w:r>
        <w:rPr>
          <w:vertAlign w:val="superscript"/>
        </w:rPr>
        <w:footnoteReference w:id="53"/>
      </w:r>
      <w:r>
        <w:t xml:space="preserve">.</w:t>
      </w:r>
    </w:p>
    <w:p>
      <w:pPr>
        <w:pStyle w:val="CaptionedFigure"/>
      </w:pPr>
      <w:r>
        <w:drawing>
          <wp:inline>
            <wp:extent cx="5334000" cy="4899635"/>
            <wp:effectExtent b="0" l="0" r="0" t="0"/>
            <wp:docPr descr="Figure 2.1: The Closed Intelligence Loop of Agentic AI — The three-tier model (Foundation, Workflow, Autonomous) encloses a continuous Perceive→Plan→Act→Learn cycle that drives adaptive behavior." title="" id="45" name="Picture"/>
            <a:graphic>
              <a:graphicData uri="http://schemas.openxmlformats.org/drawingml/2006/picture">
                <pic:pic>
                  <pic:nvPicPr>
                    <pic:cNvPr descr="fig_2_1_closed_intelligence_loop.png" id="46" name="Picture"/>
                    <pic:cNvPicPr>
                      <a:picLocks noChangeArrowheads="1" noChangeAspect="1"/>
                    </pic:cNvPicPr>
                  </pic:nvPicPr>
                  <pic:blipFill>
                    <a:blip r:embed="rId44"/>
                    <a:stretch>
                      <a:fillRect/>
                    </a:stretch>
                  </pic:blipFill>
                  <pic:spPr bwMode="auto">
                    <a:xfrm>
                      <a:off x="0" y="0"/>
                      <a:ext cx="5334000" cy="4899635"/>
                    </a:xfrm>
                    <a:prstGeom prst="rect">
                      <a:avLst/>
                    </a:prstGeom>
                    <a:noFill/>
                    <a:ln w="9525">
                      <a:noFill/>
                      <a:headEnd/>
                      <a:tailEnd/>
                    </a:ln>
                  </pic:spPr>
                </pic:pic>
              </a:graphicData>
            </a:graphic>
          </wp:inline>
        </w:drawing>
      </w:r>
    </w:p>
    <w:p>
      <w:pPr>
        <w:pStyle w:val="ImageCaption"/>
      </w:pPr>
      <w:r>
        <w:t xml:space="preserve">Figure 2.1: The Closed Intelligence Loop of Agentic AI — The three-tier model (Foundation, Workflow, Autonomous) encloses a continuous Perceive→Plan→Act→Learn cycle that drives adaptive behavior.</w:t>
      </w:r>
    </w:p>
    <w:p>
      <w:pPr>
        <w:pStyle w:val="BodyText"/>
      </w:pPr>
      <w:r>
        <w:t xml:space="preserve">This loop has deep roots in classical artificial intelligence. The</w:t>
      </w:r>
      <w:r>
        <w:t xml:space="preserve"> </w:t>
      </w:r>
      <w:r>
        <w:rPr>
          <w:bCs/>
          <w:b/>
        </w:rPr>
        <w:t xml:space="preserve">Partially Observable Markov Decision Process (POMDP)</w:t>
      </w:r>
      <w:r>
        <w:t xml:space="preserve"> </w:t>
      </w:r>
      <w:r>
        <w:t xml:space="preserve">framework from decision theory provides the formal foundation: the agent maintains a belief state about a partially observable environment and selects actions to maximize expected reward</w:t>
      </w:r>
      <w:r>
        <w:t xml:space="preserve"> </w:t>
      </w:r>
      <w:fldSimple w:instr="NOTEREF _Ref_Footnote_44 \h \f">
        <w:r>
          <w:rPr>
            <w:vertAlign w:val="superscript"/>
          </w:rPr>
          <w:t>44</w:t>
        </w:r>
      </w:fldSimple>
      <w:r>
        <w:t xml:space="preserve">. In modern implementations, the</w:t>
      </w:r>
      <w:r>
        <w:t xml:space="preserve"> </w:t>
      </w:r>
      <w:r>
        <w:t xml:space="preserve">“</w:t>
      </w:r>
      <w:r>
        <w:t xml:space="preserve">agent brain</w:t>
      </w:r>
      <w:r>
        <w:t xml:space="preserve">”</w:t>
      </w:r>
      <w:r>
        <w:t xml:space="preserve"> </w:t>
      </w:r>
      <w:r>
        <w:t xml:space="preserve">(typically an LLM) transforms each observation into a reasoning trace, supported by dual-stream memory for context retrieval and a tool library for environment interaction</w:t>
      </w:r>
      <w:r>
        <w:t xml:space="preserve"> </w:t>
      </w:r>
      <w:fldSimple w:instr="NOTEREF _Ref_Footnote_44 \h \f">
        <w:r>
          <w:rPr>
            <w:vertAlign w:val="superscript"/>
          </w:rPr>
          <w:t>44</w:t>
        </w:r>
      </w:fldSimple>
      <w:r>
        <w:t xml:space="preserve">. Similarly, the</w:t>
      </w:r>
      <w:r>
        <w:t xml:space="preserve"> </w:t>
      </w:r>
      <w:r>
        <w:rPr>
          <w:bCs/>
          <w:b/>
        </w:rPr>
        <w:t xml:space="preserve">Belief-Desire-Intention (BDI)</w:t>
      </w:r>
      <w:r>
        <w:t xml:space="preserve"> </w:t>
      </w:r>
      <w:r>
        <w:t xml:space="preserve">architecture — which has influenced agent design since the 1980s — maps directly onto this loop: beliefs represent the agent’s model of the world, desires represent goals, and intentions represent committed action plans</w:t>
      </w:r>
      <w:r>
        <w:t xml:space="preserve"> </w:t>
      </w:r>
      <w:fldSimple w:instr="NOTEREF _Ref_Footnote_27 \h \f">
        <w:r>
          <w:rPr>
            <w:vertAlign w:val="superscript"/>
          </w:rPr>
          <w:t>27</w:t>
        </w:r>
      </w:fldSimple>
      <w:r>
        <w:t xml:space="preserve"> </w:t>
      </w:r>
      <w:r>
        <w:rPr>
          <w:vertAlign w:val="superscript"/>
        </w:rPr>
        <w:footnoteReference w:id="54"/>
      </w:r>
      <w:r>
        <w:t xml:space="preserve">.</w:t>
      </w:r>
    </w:p>
    <w:bookmarkEnd w:id="47"/>
    <w:bookmarkEnd w:id="48"/>
    <w:bookmarkStart w:id="54" w:name="core-architectural-components"/>
    <w:p>
      <w:pPr>
        <w:pStyle w:val="Heading3"/>
      </w:pPr>
      <w:r>
        <w:t xml:space="preserve">2.2 Core Architectural Components</w:t>
      </w:r>
    </w:p>
    <w:p>
      <w:pPr>
        <w:pStyle w:val="FirstParagraph"/>
      </w:pPr>
      <w:r>
        <w:t xml:space="preserve">A comprehensive survey of LLM-based agent architectures decomposes the field into six modular dimensions: Core Components (perception, memory, action, profiling), Cognitive Architecture (planning, reflection), Learning, Multi-Agent Systems, Environments, and Evaluation</w:t>
      </w:r>
      <w:r>
        <w:t xml:space="preserve"> </w:t>
      </w:r>
      <w:fldSimple w:instr="NOTEREF _Ref_Footnote_44 \h \f">
        <w:r>
          <w:rPr>
            <w:vertAlign w:val="superscript"/>
          </w:rPr>
          <w:t>44</w:t>
        </w:r>
      </w:fldSimple>
      <w:r>
        <w:t xml:space="preserve">. Within this taxonomy, five components form the minimum viable architecture for production agentic systems.</w:t>
      </w:r>
    </w:p>
    <w:bookmarkStart w:id="49" w:name="X228ec8300dc4f9edce72f478a4c1fa655eb65ec"/>
    <w:p>
      <w:pPr>
        <w:pStyle w:val="Heading4"/>
      </w:pPr>
      <w:r>
        <w:t xml:space="preserve">2.2.1 Perception Module: From Raw Input to Structured Understanding</w:t>
      </w:r>
    </w:p>
    <w:p>
      <w:pPr>
        <w:pStyle w:val="FirstParagraph"/>
      </w:pPr>
      <w:r>
        <w:t xml:space="preserve">The Perception Module serves as the agent’s interface with the external world, ingesting inputs across multiple modalities — text, structured data, API responses, and in multimodal systems, images and audio — and converting them into representations the cognitive core can process</w:t>
      </w:r>
      <w:r>
        <w:t xml:space="preserve"> </w:t>
      </w:r>
      <w:fldSimple w:instr="NOTEREF _Ref_Footnote_50 \h \f">
        <w:r>
          <w:rPr>
            <w:vertAlign w:val="superscript"/>
          </w:rPr>
          <w:t>50</w:t>
        </w:r>
      </w:fldSimple>
      <w:r>
        <w:t xml:space="preserve">. Unlike traditional sensor systems, agentic perception must handle</w:t>
      </w:r>
      <w:r>
        <w:t xml:space="preserve"> </w:t>
      </w:r>
      <w:r>
        <w:rPr>
          <w:iCs/>
          <w:i/>
        </w:rPr>
        <w:t xml:space="preserve">semantic</w:t>
      </w:r>
      <w:r>
        <w:t xml:space="preserve"> </w:t>
      </w:r>
      <w:r>
        <w:t xml:space="preserve">input: a user request like</w:t>
      </w:r>
      <w:r>
        <w:t xml:space="preserve"> </w:t>
      </w:r>
      <w:r>
        <w:t xml:space="preserve">“</w:t>
      </w:r>
      <w:r>
        <w:t xml:space="preserve">prepare the quarterly compliance report</w:t>
      </w:r>
      <w:r>
        <w:t xml:space="preserve">”</w:t>
      </w:r>
      <w:r>
        <w:t xml:space="preserve"> </w:t>
      </w:r>
      <w:r>
        <w:t xml:space="preserve">is not a structured command but an intent that must be parsed, contextualized against the agent’s current state, and translated into actionable parameters. This module also handles environmental feedback after each action, closing the loop between execution and observation</w:t>
      </w:r>
      <w:r>
        <w:t xml:space="preserve"> </w:t>
      </w:r>
      <w:fldSimple w:instr="NOTEREF _Ref_Footnote_52 \h \f">
        <w:r>
          <w:rPr>
            <w:vertAlign w:val="superscript"/>
          </w:rPr>
          <w:t>52</w:t>
        </w:r>
      </w:fldSimple>
      <w:r>
        <w:t xml:space="preserve">.</w:t>
      </w:r>
    </w:p>
    <w:bookmarkEnd w:id="49"/>
    <w:bookmarkStart w:id="50" w:name="X5e96d900e20a38d120badcfe55cf681340d33fb"/>
    <w:p>
      <w:pPr>
        <w:pStyle w:val="Heading4"/>
      </w:pPr>
      <w:r>
        <w:t xml:space="preserve">2.2.2 Cognitive/Reasoning Module: The Agent’s Brain</w:t>
      </w:r>
    </w:p>
    <w:p>
      <w:pPr>
        <w:pStyle w:val="FirstParagraph"/>
      </w:pPr>
      <w:r>
        <w:t xml:space="preserve">The Cognitive Module performs goal representation, decision-making, and problem-solving. At its core sits the LLM, which generates reasoning traces that transform observations into plans</w:t>
      </w:r>
      <w:r>
        <w:t xml:space="preserve"> </w:t>
      </w:r>
      <w:fldSimple w:instr="NOTEREF _Ref_Footnote_44 \h \f">
        <w:r>
          <w:rPr>
            <w:vertAlign w:val="superscript"/>
          </w:rPr>
          <w:t>44</w:t>
        </w:r>
      </w:fldSimple>
      <w:r>
        <w:t xml:space="preserve">. The ReAct (Reasoning + Acting) pattern is the foundational design pattern here, combining chain-of-thought reasoning with external tool use in a continuous feedback loop of Thought → Action → Observation</w:t>
      </w:r>
      <w:r>
        <w:t xml:space="preserve"> </w:t>
      </w:r>
      <w:r>
        <w:rPr>
          <w:vertAlign w:val="superscript"/>
        </w:rPr>
        <w:footnoteReference w:id="55"/>
      </w:r>
      <w:r>
        <w:t xml:space="preserve"> </w:t>
      </w:r>
      <w:r>
        <w:rPr>
          <w:vertAlign w:val="superscript"/>
        </w:rPr>
        <w:footnoteReference w:id="56"/>
      </w:r>
      <w:r>
        <w:t xml:space="preserve">. Introduced by Yao et al. (2022) from Princeton and Google, ReAct became the basis for OpenAI’s function calling, Anthropic’s tool use API, LangChain’s AgentExecutor, and virtually every production agent framework</w:t>
      </w:r>
      <w:r>
        <w:t xml:space="preserve"> </w:t>
      </w:r>
      <w:fldSimple w:instr="NOTEREF _Ref_Footnote_55 \h \f">
        <w:r>
          <w:rPr>
            <w:vertAlign w:val="superscript"/>
          </w:rPr>
          <w:t>55</w:t>
        </w:r>
      </w:fldSimple>
      <w:r>
        <w:t xml:space="preserve">.</w:t>
      </w:r>
    </w:p>
    <w:p>
      <w:pPr>
        <w:pStyle w:val="BodyText"/>
      </w:pPr>
      <w:r>
        <w:t xml:space="preserve">More advanced implementations extend pure ReAct with explicit planning phases. The</w:t>
      </w:r>
      <w:r>
        <w:t xml:space="preserve"> </w:t>
      </w:r>
      <w:r>
        <w:rPr>
          <w:bCs/>
          <w:b/>
        </w:rPr>
        <w:t xml:space="preserve">Plan-and-Execute</w:t>
      </w:r>
      <w:r>
        <w:t xml:space="preserve"> </w:t>
      </w:r>
      <w:r>
        <w:t xml:space="preserve">pattern separates thinking into two distinct phases: a planner that generates a full multi-step plan upfront, and an executor that runs each step in sequence</w:t>
      </w:r>
      <w:r>
        <w:t xml:space="preserve"> </w:t>
      </w:r>
      <w:r>
        <w:rPr>
          <w:vertAlign w:val="superscript"/>
        </w:rPr>
        <w:footnoteReference w:id="57"/>
      </w:r>
      <w:r>
        <w:t xml:space="preserve"> </w:t>
      </w:r>
      <w:fldSimple w:instr="NOTEREF _Ref_Footnote_40 \h \f">
        <w:r>
          <w:rPr>
            <w:vertAlign w:val="superscript"/>
          </w:rPr>
          <w:t>40</w:t>
        </w:r>
      </w:fldSimple>
      <w:r>
        <w:t xml:space="preserve">. This provides global coherence before any irreversible actions are taken, addressing a key limitation of ReAct where early decisions can be invalidated by later reasoning. For cost-sensitive deployments, the</w:t>
      </w:r>
      <w:r>
        <w:t xml:space="preserve"> </w:t>
      </w:r>
      <w:r>
        <w:rPr>
          <w:bCs/>
          <w:b/>
        </w:rPr>
        <w:t xml:space="preserve">ReWOO</w:t>
      </w:r>
      <w:r>
        <w:t xml:space="preserve"> </w:t>
      </w:r>
      <w:r>
        <w:t xml:space="preserve">(Reasoning WithOut Observation) pattern decouples reasoning from execution into Planner, Worker, and Solver phases, reducing token consumption to just two LLM calls regardless of the number of tools invoked</w:t>
      </w:r>
      <w:r>
        <w:t xml:space="preserve"> </w:t>
      </w:r>
      <w:r>
        <w:rPr>
          <w:vertAlign w:val="superscript"/>
        </w:rPr>
        <w:footnoteReference w:id="58"/>
      </w:r>
      <w:r>
        <w:t xml:space="preserve"> </w:t>
      </w:r>
      <w:r>
        <w:rPr>
          <w:vertAlign w:val="superscript"/>
        </w:rPr>
        <w:footnoteReference w:id="59"/>
      </w:r>
      <w:r>
        <w:t xml:space="preserve">.</w:t>
      </w:r>
    </w:p>
    <w:bookmarkEnd w:id="50"/>
    <w:bookmarkStart w:id="51" w:name="X667a3ff14a97e54893d9b0303138315805df006"/>
    <w:p>
      <w:pPr>
        <w:pStyle w:val="Heading4"/>
      </w:pPr>
      <w:r>
        <w:t xml:space="preserve">2.2.3 Memory Systems: From Context Windows to Persistent Knowledge</w:t>
      </w:r>
    </w:p>
    <w:p>
      <w:pPr>
        <w:pStyle w:val="FirstParagraph"/>
      </w:pPr>
      <w:r>
        <w:t xml:space="preserve">Memory is the foundational differentiator between stateless LLMs and agentic AI</w:t>
      </w:r>
      <w:r>
        <w:t xml:space="preserve"> </w:t>
      </w:r>
      <w:r>
        <w:rPr>
          <w:vertAlign w:val="superscript"/>
        </w:rPr>
        <w:footnoteReference w:id="60"/>
      </w:r>
      <w:r>
        <w:t xml:space="preserve">. While a stateless model processes each request as an isolated transaction, agentic systems maintain structured execution state across tasks, tools, and sessions, enabling planning, evaluation, iteration, and governance</w:t>
      </w:r>
      <w:r>
        <w:t xml:space="preserve"> </w:t>
      </w:r>
      <w:fldSimple w:instr="NOTEREF _Ref_Footnote_60 \h \f">
        <w:r>
          <w:rPr>
            <w:vertAlign w:val="superscript"/>
          </w:rPr>
          <w:t>60</w:t>
        </w:r>
      </w:fldSimple>
      <w:r>
        <w:t xml:space="preserve"> </w:t>
      </w:r>
      <w:r>
        <w:rPr>
          <w:vertAlign w:val="superscript"/>
        </w:rPr>
        <w:footnoteReference w:id="61"/>
      </w:r>
      <w:r>
        <w:t xml:space="preserve">. The taxonomy of agent memory draws directly from cognitive science, formalized most notably by Princeton’s CoALA framework, which categorizes memory into four canonical types</w:t>
      </w:r>
      <w:r>
        <w:t xml:space="preserve"> </w:t>
      </w:r>
      <w:r>
        <w:rPr>
          <w:vertAlign w:val="superscript"/>
        </w:rPr>
        <w:footnoteReference w:id="62"/>
      </w:r>
      <w:r>
        <w:t xml:space="preserve"> </w:t>
      </w:r>
      <w:fldSimple w:instr="NOTEREF _Ref_Footnote_49 \h \f">
        <w:r>
          <w:rPr>
            <w:vertAlign w:val="superscript"/>
          </w:rPr>
          <w:t>49</w:t>
        </w:r>
      </w:fldSimple>
      <w:r>
        <w:t xml:space="preserve">:</w:t>
      </w:r>
    </w:p>
    <w:tbl>
      <w:tblPr>
        <w:tblStyle w:val="Table"/>
        <w:tblW w:type="pct" w:w="5000"/>
        <w:tblLook w:firstRow="1" w:lastRow="0" w:firstColumn="0" w:lastColumn="0" w:noHBand="0" w:noVBand="0" w:val="0020"/>
      </w:tblPr>
      <w:tblGrid>
        <w:gridCol w:w="1584"/>
        <w:gridCol w:w="1584"/>
        <w:gridCol w:w="1584"/>
        <w:gridCol w:w="1584"/>
        <w:gridCol w:w="1584"/>
      </w:tblGrid>
      <w:tr>
        <w:trPr>
          <w:tblHeader w:val="true"/>
        </w:trPr>
        <w:tc>
          <w:tcPr/>
          <w:p>
            <w:pPr>
              <w:pStyle w:val="Compact"/>
              <w:jc w:val="left"/>
            </w:pPr>
            <w:r>
              <w:t xml:space="preserve">Memory Type</w:t>
            </w:r>
          </w:p>
        </w:tc>
        <w:tc>
          <w:tcPr/>
          <w:p>
            <w:pPr>
              <w:pStyle w:val="Compact"/>
              <w:jc w:val="left"/>
            </w:pPr>
            <w:r>
              <w:t xml:space="preserve">Timescale</w:t>
            </w:r>
          </w:p>
        </w:tc>
        <w:tc>
          <w:tcPr/>
          <w:p>
            <w:pPr>
              <w:pStyle w:val="Compact"/>
              <w:jc w:val="left"/>
            </w:pPr>
            <w:r>
              <w:t xml:space="preserve">Storage Location</w:t>
            </w:r>
          </w:p>
        </w:tc>
        <w:tc>
          <w:tcPr/>
          <w:p>
            <w:pPr>
              <w:pStyle w:val="Compact"/>
              <w:jc w:val="left"/>
            </w:pPr>
            <w:r>
              <w:t xml:space="preserve">What It Stores</w:t>
            </w:r>
          </w:p>
        </w:tc>
        <w:tc>
          <w:tcPr/>
          <w:p>
            <w:pPr>
              <w:pStyle w:val="Compact"/>
              <w:jc w:val="left"/>
            </w:pPr>
            <w:r>
              <w:t xml:space="preserve">Retrieval Mechanism</w:t>
            </w:r>
          </w:p>
        </w:tc>
      </w:tr>
      <w:tr>
        <w:tc>
          <w:tcPr/>
          <w:p>
            <w:pPr>
              <w:pStyle w:val="Compact"/>
              <w:jc w:val="left"/>
            </w:pPr>
            <w:r>
              <w:t xml:space="preserve">Working / In-Context</w:t>
            </w:r>
          </w:p>
        </w:tc>
        <w:tc>
          <w:tcPr/>
          <w:p>
            <w:pPr>
              <w:pStyle w:val="Compact"/>
              <w:jc w:val="left"/>
            </w:pPr>
            <w:r>
              <w:t xml:space="preserve">Session-bound</w:t>
            </w:r>
          </w:p>
        </w:tc>
        <w:tc>
          <w:tcPr/>
          <w:p>
            <w:pPr>
              <w:pStyle w:val="Compact"/>
              <w:jc w:val="left"/>
            </w:pPr>
            <w:r>
              <w:t xml:space="preserve">LLM context window</w:t>
            </w:r>
          </w:p>
        </w:tc>
        <w:tc>
          <w:tcPr/>
          <w:p>
            <w:pPr>
              <w:pStyle w:val="Compact"/>
              <w:jc w:val="left"/>
            </w:pPr>
            <w:r>
              <w:t xml:space="preserve">Prompt, messages, tool outputs</w:t>
            </w:r>
          </w:p>
        </w:tc>
        <w:tc>
          <w:tcPr/>
          <w:p>
            <w:pPr>
              <w:pStyle w:val="Compact"/>
              <w:jc w:val="left"/>
            </w:pPr>
            <w:r>
              <w:t xml:space="preserve">Direct access (no retrieval needed)</w:t>
            </w:r>
          </w:p>
        </w:tc>
      </w:tr>
      <w:tr>
        <w:tc>
          <w:tcPr/>
          <w:p>
            <w:pPr>
              <w:pStyle w:val="Compact"/>
              <w:jc w:val="left"/>
            </w:pPr>
            <w:r>
              <w:t xml:space="preserve">Episodic</w:t>
            </w:r>
          </w:p>
        </w:tc>
        <w:tc>
          <w:tcPr/>
          <w:p>
            <w:pPr>
              <w:pStyle w:val="Compact"/>
              <w:jc w:val="left"/>
            </w:pPr>
            <w:r>
              <w:t xml:space="preserve">Long-term</w:t>
            </w:r>
          </w:p>
        </w:tc>
        <w:tc>
          <w:tcPr/>
          <w:p>
            <w:pPr>
              <w:pStyle w:val="Compact"/>
              <w:jc w:val="left"/>
            </w:pPr>
            <w:r>
              <w:t xml:space="preserve">Vector database / graph store</w:t>
            </w:r>
          </w:p>
        </w:tc>
        <w:tc>
          <w:tcPr/>
          <w:p>
            <w:pPr>
              <w:pStyle w:val="Compact"/>
              <w:jc w:val="left"/>
            </w:pPr>
            <w:r>
              <w:t xml:space="preserve">Past events, task runs, outcomes</w:t>
            </w:r>
          </w:p>
        </w:tc>
        <w:tc>
          <w:tcPr/>
          <w:p>
            <w:pPr>
              <w:pStyle w:val="Compact"/>
              <w:jc w:val="left"/>
            </w:pPr>
            <w:r>
              <w:t xml:space="preserve">Similarity search + temporal filtering</w:t>
            </w:r>
          </w:p>
        </w:tc>
      </w:tr>
      <w:tr>
        <w:tc>
          <w:tcPr/>
          <w:p>
            <w:pPr>
              <w:pStyle w:val="Compact"/>
              <w:jc w:val="left"/>
            </w:pPr>
            <w:r>
              <w:t xml:space="preserve">Semantic</w:t>
            </w:r>
          </w:p>
        </w:tc>
        <w:tc>
          <w:tcPr/>
          <w:p>
            <w:pPr>
              <w:pStyle w:val="Compact"/>
              <w:jc w:val="left"/>
            </w:pPr>
            <w:r>
              <w:t xml:space="preserve">Long-term</w:t>
            </w:r>
          </w:p>
        </w:tc>
        <w:tc>
          <w:tcPr/>
          <w:p>
            <w:pPr>
              <w:pStyle w:val="Compact"/>
              <w:jc w:val="left"/>
            </w:pPr>
            <w:r>
              <w:t xml:space="preserve">Vector database / knowledge graph</w:t>
            </w:r>
          </w:p>
        </w:tc>
        <w:tc>
          <w:tcPr/>
          <w:p>
            <w:pPr>
              <w:pStyle w:val="Compact"/>
              <w:jc w:val="left"/>
            </w:pPr>
            <w:r>
              <w:t xml:space="preserve">Facts, preferences, domain knowledge</w:t>
            </w:r>
          </w:p>
        </w:tc>
        <w:tc>
          <w:tcPr/>
          <w:p>
            <w:pPr>
              <w:pStyle w:val="Compact"/>
              <w:jc w:val="left"/>
            </w:pPr>
            <w:r>
              <w:t xml:space="preserve">Embedding-based nearest neighbor</w:t>
            </w:r>
          </w:p>
        </w:tc>
      </w:tr>
      <w:tr>
        <w:tc>
          <w:tcPr/>
          <w:p>
            <w:pPr>
              <w:pStyle w:val="Compact"/>
              <w:jc w:val="left"/>
            </w:pPr>
            <w:r>
              <w:t xml:space="preserve">Procedural</w:t>
            </w:r>
          </w:p>
        </w:tc>
        <w:tc>
          <w:tcPr/>
          <w:p>
            <w:pPr>
              <w:pStyle w:val="Compact"/>
              <w:jc w:val="left"/>
            </w:pPr>
            <w:r>
              <w:t xml:space="preserve">Long-term</w:t>
            </w:r>
          </w:p>
        </w:tc>
        <w:tc>
          <w:tcPr/>
          <w:p>
            <w:pPr>
              <w:pStyle w:val="Compact"/>
              <w:jc w:val="left"/>
            </w:pPr>
            <w:r>
              <w:t xml:space="preserve">System prompts / code / weights</w:t>
            </w:r>
          </w:p>
        </w:tc>
        <w:tc>
          <w:tcPr/>
          <w:p>
            <w:pPr>
              <w:pStyle w:val="Compact"/>
              <w:jc w:val="left"/>
            </w:pPr>
            <w:r>
              <w:t xml:space="preserve">Skills, workflows, behavioral rules</w:t>
            </w:r>
          </w:p>
        </w:tc>
        <w:tc>
          <w:tcPr/>
          <w:p>
            <w:pPr>
              <w:pStyle w:val="Compact"/>
              <w:jc w:val="left"/>
            </w:pPr>
            <w:r>
              <w:t xml:space="preserve">Direct invocation or embedding lookup</w:t>
            </w:r>
          </w:p>
        </w:tc>
      </w:tr>
    </w:tbl>
    <w:p>
      <w:pPr>
        <w:pStyle w:val="BodyText"/>
      </w:pPr>
      <w:r>
        <w:t xml:space="preserve">Working memory functions as the agent’s RAM — temporary, bounded by token limits, and cleared when the session ends. It is where all other memory types converge before the agent responds</w:t>
      </w:r>
      <w:r>
        <w:t xml:space="preserve"> </w:t>
      </w:r>
      <w:fldSimple w:instr="NOTEREF _Ref_Footnote_49 \h \f">
        <w:r>
          <w:rPr>
            <w:vertAlign w:val="superscript"/>
          </w:rPr>
          <w:t>49</w:t>
        </w:r>
      </w:fldSimple>
      <w:r>
        <w:t xml:space="preserve">. Episodic memory captures the</w:t>
      </w:r>
      <w:r>
        <w:t xml:space="preserve"> </w:t>
      </w:r>
      <w:r>
        <w:t xml:space="preserve">“</w:t>
      </w:r>
      <w:r>
        <w:t xml:space="preserve">what, when, and where</w:t>
      </w:r>
      <w:r>
        <w:t xml:space="preserve">”</w:t>
      </w:r>
      <w:r>
        <w:t xml:space="preserve"> </w:t>
      </w:r>
      <w:r>
        <w:t xml:space="preserve">of agent interactions, enabling learning from experience; a February 2026 position paper argues that episodic reflection and consolidation is the key mechanism for long-term agent reasoning</w:t>
      </w:r>
      <w:r>
        <w:t xml:space="preserve"> </w:t>
      </w:r>
      <w:fldSimple w:instr="NOTEREF _Ref_Footnote_49 \h \f">
        <w:r>
          <w:rPr>
            <w:vertAlign w:val="superscript"/>
          </w:rPr>
          <w:t>49</w:t>
        </w:r>
      </w:fldSimple>
      <w:r>
        <w:t xml:space="preserve">. Semantic memory stores timeless factual knowledge decoupled from when it was learned — the agent’s organized encyclopedia about a user or topic</w:t>
      </w:r>
      <w:r>
        <w:t xml:space="preserve"> </w:t>
      </w:r>
      <w:fldSimple w:instr="NOTEREF _Ref_Footnote_49 \h \f">
        <w:r>
          <w:rPr>
            <w:vertAlign w:val="superscript"/>
          </w:rPr>
          <w:t>49</w:t>
        </w:r>
      </w:fldSimple>
      <w:r>
        <w:t xml:space="preserve">. Procedural memory encodes learned skills and workflows, often stored in system prompts or agent code rather than retrievable databases.</w:t>
      </w:r>
    </w:p>
    <w:p>
      <w:pPr>
        <w:pStyle w:val="BodyText"/>
      </w:pPr>
      <w:r>
        <w:t xml:space="preserve">Beyond the four-type taxonomy, production systems require a</w:t>
      </w:r>
      <w:r>
        <w:t xml:space="preserve"> </w:t>
      </w:r>
      <w:r>
        <w:rPr>
          <w:bCs/>
          <w:b/>
        </w:rPr>
        <w:t xml:space="preserve">three-layer operational architecture</w:t>
      </w:r>
      <w:r>
        <w:t xml:space="preserve"> </w:t>
      </w:r>
      <w:r>
        <w:t xml:space="preserve">for durable memory</w:t>
      </w:r>
      <w:r>
        <w:t xml:space="preserve"> </w:t>
      </w:r>
      <w:fldSimple w:instr="NOTEREF _Ref_Footnote_32 \h \f">
        <w:r>
          <w:rPr>
            <w:vertAlign w:val="superscript"/>
          </w:rPr>
          <w:t>32</w:t>
        </w:r>
      </w:fldSimple>
      <w:r>
        <w:t xml:space="preserve">: Semantic Memory for immutable reference knowledge (standard RAG is appropriate here), Episodic Memory for records of past events with timestamps, and Core State for active ground truth that should live in a structured store like SQL or a graph database. This distinction matters because standard RAG fails as agent memory — it cannot update state, retrieves based on similarity rather than truth, and lacks temporal reasoning</w:t>
      </w:r>
      <w:r>
        <w:t xml:space="preserve"> </w:t>
      </w:r>
      <w:fldSimple w:instr="NOTEREF _Ref_Footnote_32 \h \f">
        <w:r>
          <w:rPr>
            <w:vertAlign w:val="superscript"/>
          </w:rPr>
          <w:t>32</w:t>
        </w:r>
      </w:fldSimple>
      <w:r>
        <w:t xml:space="preserve">.</w:t>
      </w:r>
    </w:p>
    <w:p>
      <w:pPr>
        <w:pStyle w:val="BodyText"/>
      </w:pPr>
      <w:r>
        <w:t xml:space="preserve">MemGPT (UC Berkeley, 2023) introduced a breakthrough approach:</w:t>
      </w:r>
      <w:r>
        <w:t xml:space="preserve"> </w:t>
      </w:r>
      <w:r>
        <w:rPr>
          <w:bCs/>
          <w:b/>
        </w:rPr>
        <w:t xml:space="preserve">virtual context management</w:t>
      </w:r>
      <w:r>
        <w:t xml:space="preserve"> </w:t>
      </w:r>
      <w:r>
        <w:t xml:space="preserve">inspired by operating system memory hierarchies, enabling LLMs to manage different memory tiers through explicit function calls to achieve effectively unbounded context</w:t>
      </w:r>
      <w:r>
        <w:t xml:space="preserve"> </w:t>
      </w:r>
      <w:r>
        <w:rPr>
          <w:vertAlign w:val="superscript"/>
        </w:rPr>
        <w:footnoteReference w:id="63"/>
      </w:r>
      <w:r>
        <w:t xml:space="preserve"> </w:t>
      </w:r>
      <w:r>
        <w:rPr>
          <w:vertAlign w:val="superscript"/>
        </w:rPr>
        <w:footnoteReference w:id="64"/>
      </w:r>
      <w:r>
        <w:t xml:space="preserve">. MemGPT’s three-tier hierarchy — Main Context (RAM-like working memory), External Context (disk-like recall storage), and Virtual Context (the abstraction layer) — pioneered the concept of agents self-managing their own memory</w:t>
      </w:r>
      <w:r>
        <w:t xml:space="preserve"> </w:t>
      </w:r>
      <w:fldSimple w:instr="NOTEREF _Ref_Footnote_63 \h \f">
        <w:r>
          <w:rPr>
            <w:vertAlign w:val="superscript"/>
          </w:rPr>
          <w:t>63</w:t>
        </w:r>
      </w:fldSimple>
      <w:r>
        <w:t xml:space="preserve">. Its successor, Letta, extends this with Core Memory (always-present working memory), Recall Memory (searchable conversation cache), and Archival Memory (long-term storage), where the agent itself decides what moves between tiers through function calls</w:t>
      </w:r>
      <w:r>
        <w:t xml:space="preserve"> </w:t>
      </w:r>
      <w:fldSimple w:instr="NOTEREF _Ref_Footnote_64 \h \f">
        <w:r>
          <w:rPr>
            <w:vertAlign w:val="superscript"/>
          </w:rPr>
          <w:t>64</w:t>
        </w:r>
      </w:fldSimple>
      <w:r>
        <w:t xml:space="preserve">.</w:t>
      </w:r>
    </w:p>
    <w:bookmarkEnd w:id="51"/>
    <w:bookmarkStart w:id="52" w:name="X899847c1070726af5657bd6e31a52cd85b1e2f8"/>
    <w:p>
      <w:pPr>
        <w:pStyle w:val="Heading4"/>
      </w:pPr>
      <w:r>
        <w:t xml:space="preserve">2.2.4 Action/Execution Module: Bridging Reasoning and Effect</w:t>
      </w:r>
    </w:p>
    <w:p>
      <w:pPr>
        <w:pStyle w:val="FirstParagraph"/>
      </w:pPr>
      <w:r>
        <w:t xml:space="preserve">The Action Module translates cognitive decisions into concrete operations: API calls, database queries, file operations, code execution, and device control</w:t>
      </w:r>
      <w:r>
        <w:t xml:space="preserve"> </w:t>
      </w:r>
      <w:fldSimple w:instr="NOTEREF _Ref_Footnote_50 \h \f">
        <w:r>
          <w:rPr>
            <w:vertAlign w:val="superscript"/>
          </w:rPr>
          <w:t>50</w:t>
        </w:r>
      </w:fldSimple>
      <w:r>
        <w:t xml:space="preserve">. This module implements the</w:t>
      </w:r>
      <w:r>
        <w:t xml:space="preserve"> </w:t>
      </w:r>
      <w:r>
        <w:t xml:space="preserve">“</w:t>
      </w:r>
      <w:r>
        <w:t xml:space="preserve">Act</w:t>
      </w:r>
      <w:r>
        <w:t xml:space="preserve">”</w:t>
      </w:r>
      <w:r>
        <w:t xml:space="preserve"> </w:t>
      </w:r>
      <w:r>
        <w:t xml:space="preserve">phase of the agent loop through tool use — the LLM generates structured function calls that the execution layer invokes against external systems. The sophistication of modern tool-use APIs (OpenAI’s function calling, Anthropic’s tool use, Google’s function declaration) has made this the most standardized component of agent architecture. However, production challenges remain: tool failures must be handled gracefully, API rate limits enforced, and side effects (database writes, email sends) tracked for potential rollback</w:t>
      </w:r>
      <w:r>
        <w:t xml:space="preserve"> </w:t>
      </w:r>
      <w:r>
        <w:rPr>
          <w:vertAlign w:val="superscript"/>
        </w:rPr>
        <w:footnoteReference w:id="65"/>
      </w:r>
      <w:r>
        <w:t xml:space="preserve">.</w:t>
      </w:r>
    </w:p>
    <w:bookmarkEnd w:id="52"/>
    <w:bookmarkStart w:id="53" w:name="X5e856ab0bb63dda1d3873ebb33348caba531cb4"/>
    <w:p>
      <w:pPr>
        <w:pStyle w:val="Heading4"/>
      </w:pPr>
      <w:r>
        <w:t xml:space="preserve">2.2.5 Feedback Loop: Reinforcement Without Retraining</w:t>
      </w:r>
    </w:p>
    <w:p>
      <w:pPr>
        <w:pStyle w:val="FirstParagraph"/>
      </w:pPr>
      <w:r>
        <w:t xml:space="preserve">The Feedback Loop closes the agent cycle by evaluating outcomes and updating future behavior. Critically, this learning occurs</w:t>
      </w:r>
      <w:r>
        <w:t xml:space="preserve"> </w:t>
      </w:r>
      <w:r>
        <w:rPr>
          <w:iCs/>
          <w:i/>
        </w:rPr>
        <w:t xml:space="preserve">without</w:t>
      </w:r>
      <w:r>
        <w:t xml:space="preserve"> </w:t>
      </w:r>
      <w:r>
        <w:t xml:space="preserve">updating model weights — a capability that distinguishes agentic systems from traditional machine learning pipelines. The</w:t>
      </w:r>
      <w:r>
        <w:t xml:space="preserve"> </w:t>
      </w:r>
      <w:r>
        <w:rPr>
          <w:bCs/>
          <w:b/>
        </w:rPr>
        <w:t xml:space="preserve">Reflexion</w:t>
      </w:r>
      <w:r>
        <w:t xml:space="preserve"> </w:t>
      </w:r>
      <w:r>
        <w:t xml:space="preserve">framework demonstrated that agents can reinforce themselves through linguistic feedback: the agent verbally reflects on task feedback signals and maintains reflective text in an episodic memory buffer to induce better decision-making in subsequent trials</w:t>
      </w:r>
      <w:r>
        <w:t xml:space="preserve"> </w:t>
      </w:r>
      <w:r>
        <w:rPr>
          <w:vertAlign w:val="superscript"/>
        </w:rPr>
        <w:footnoteReference w:id="66"/>
      </w:r>
      <w:r>
        <w:t xml:space="preserve">. Reflexion achieved 91% pass@1 accuracy on the HumanEval coding benchmark, surpassing GPT-4’s 80%</w:t>
      </w:r>
      <w:r>
        <w:t xml:space="preserve"> </w:t>
      </w:r>
      <w:fldSimple w:instr="NOTEREF _Ref_Footnote_66 \h \f">
        <w:r>
          <w:rPr>
            <w:vertAlign w:val="superscript"/>
          </w:rPr>
          <w:t>66</w:t>
        </w:r>
      </w:fldSimple>
      <w:r>
        <w:t xml:space="preserve">— a striking result given that no model parameters were updated. Similarly, the</w:t>
      </w:r>
      <w:r>
        <w:t xml:space="preserve"> </w:t>
      </w:r>
      <w:r>
        <w:rPr>
          <w:bCs/>
          <w:b/>
        </w:rPr>
        <w:t xml:space="preserve">Voyager</w:t>
      </w:r>
      <w:r>
        <w:t xml:space="preserve"> </w:t>
      </w:r>
      <w:r>
        <w:t xml:space="preserve">system demonstrated open-ended lifelong learning by accumulating reusable code skills in a skill library indexed by embeddings, obtaining 3.3x more unique items and traveling 2.3x longer distances than prior state-of-the-art in Minecraft — again with no gradient updates</w:t>
      </w:r>
      <w:r>
        <w:t xml:space="preserve"> </w:t>
      </w:r>
      <w:r>
        <w:rPr>
          <w:vertAlign w:val="superscript"/>
        </w:rPr>
        <w:footnoteReference w:id="67"/>
      </w:r>
      <w:r>
        <w:t xml:space="preserve">.</w:t>
      </w:r>
    </w:p>
    <w:bookmarkEnd w:id="53"/>
    <w:bookmarkEnd w:id="54"/>
    <w:bookmarkStart w:id="60" w:name="Xe9c3b3ff748b00645aa0b466b9398873f544f66"/>
    <w:p>
      <w:pPr>
        <w:pStyle w:val="Heading3"/>
      </w:pPr>
      <w:r>
        <w:t xml:space="preserve">2.3 Orchestration Patterns: Four Production Styles</w:t>
      </w:r>
    </w:p>
    <w:p>
      <w:pPr>
        <w:pStyle w:val="FirstParagraph"/>
      </w:pPr>
      <w:r>
        <w:t xml:space="preserve">With the foundational components in place, the architectural question becomes: how should multiple agents coordinate? Four distinct orchestration styles have crystallized as production patterns, each representing a fundamentally different philosophy about control, observability, and flexibility</w:t>
      </w:r>
      <w:r>
        <w:t xml:space="preserve"> </w:t>
      </w:r>
      <w:fldSimple w:instr="NOTEREF _Ref_Footnote_19 \h \f">
        <w:r>
          <w:rPr>
            <w:vertAlign w:val="superscript"/>
          </w:rPr>
          <w:t>19</w:t>
        </w:r>
      </w:fldSimple>
      <w:r>
        <w:t xml:space="preserve">.</w:t>
      </w:r>
    </w:p>
    <w:bookmarkStart w:id="55" w:name="graph-based-orchestration-langgraph"/>
    <w:p>
      <w:pPr>
        <w:pStyle w:val="Heading4"/>
      </w:pPr>
      <w:r>
        <w:t xml:space="preserve">2.3.1 Graph-Based Orchestration (LangGraph)</w:t>
      </w:r>
    </w:p>
    <w:p>
      <w:pPr>
        <w:pStyle w:val="FirstParagraph"/>
      </w:pPr>
      <w:r>
        <w:t xml:space="preserve">LangGraph treats multi-agent workflows as</w:t>
      </w:r>
      <w:r>
        <w:t xml:space="preserve"> </w:t>
      </w:r>
      <w:r>
        <w:rPr>
          <w:bCs/>
          <w:b/>
        </w:rPr>
        <w:t xml:space="preserve">directed graphs where nodes represent agents or functions and edges represent control flow</w:t>
      </w:r>
      <w:r>
        <w:t xml:space="preserve"> </w:t>
      </w:r>
      <w:r>
        <w:rPr>
          <w:vertAlign w:val="superscript"/>
        </w:rPr>
        <w:footnoteReference w:id="68"/>
      </w:r>
      <w:r>
        <w:t xml:space="preserve"> </w:t>
      </w:r>
      <w:fldSimple w:instr="NOTEREF _Ref_Footnote_20 \h \f">
        <w:r>
          <w:rPr>
            <w:vertAlign w:val="superscript"/>
          </w:rPr>
          <w:t>20</w:t>
        </w:r>
      </w:fldSimple>
      <w:r>
        <w:t xml:space="preserve">. Unlike standard LangChain (which is acyclic), LangGraph supports cyclic workflows — essential for ReAct-style reasoning loops where an agent may need to iterate between thinking and acting multiple times</w:t>
      </w:r>
      <w:r>
        <w:t xml:space="preserve"> </w:t>
      </w:r>
      <w:fldSimple w:instr="NOTEREF _Ref_Footnote_20 \h \f">
        <w:r>
          <w:rPr>
            <w:vertAlign w:val="superscript"/>
          </w:rPr>
          <w:t>20</w:t>
        </w:r>
      </w:fldSimple>
      <w:r>
        <w:t xml:space="preserve">.</w:t>
      </w:r>
    </w:p>
    <w:p>
      <w:pPr>
        <w:pStyle w:val="BodyText"/>
      </w:pPr>
      <w:r>
        <w:t xml:space="preserve">The architecture centers on three primitives:</w:t>
      </w:r>
      <w:r>
        <w:t xml:space="preserve"> </w:t>
      </w:r>
      <w:r>
        <w:rPr>
          <w:bCs/>
          <w:b/>
        </w:rPr>
        <w:t xml:space="preserve">Nodes</w:t>
      </w:r>
      <w:r>
        <w:t xml:space="preserve"> </w:t>
      </w:r>
      <w:r>
        <w:t xml:space="preserve">(Python functions representing LLM calls, tool invocations, or processing steps),</w:t>
      </w:r>
      <w:r>
        <w:t xml:space="preserve"> </w:t>
      </w:r>
      <w:r>
        <w:rPr>
          <w:bCs/>
          <w:b/>
        </w:rPr>
        <w:t xml:space="preserve">Edges</w:t>
      </w:r>
      <w:r>
        <w:t xml:space="preserve"> </w:t>
      </w:r>
      <w:r>
        <w:t xml:space="preserve">(static deterministic transitions or conditional dynamic routing based on state), and</w:t>
      </w:r>
      <w:r>
        <w:t xml:space="preserve"> </w:t>
      </w:r>
      <w:r>
        <w:rPr>
          <w:bCs/>
          <w:b/>
        </w:rPr>
        <w:t xml:space="preserve">State</w:t>
      </w:r>
      <w:r>
        <w:t xml:space="preserve"> </w:t>
      </w:r>
      <w:r>
        <w:t xml:space="preserve">(a shared data structure representing the application snapshot that all nodes read from and write to)</w:t>
      </w:r>
      <w:r>
        <w:t xml:space="preserve"> </w:t>
      </w:r>
      <w:r>
        <w:rPr>
          <w:vertAlign w:val="superscript"/>
        </w:rPr>
        <w:footnoteReference w:id="69"/>
      </w:r>
      <w:r>
        <w:t xml:space="preserve"> </w:t>
      </w:r>
      <w:fldSimple w:instr="NOTEREF _Ref_Footnote_1 \h \f">
        <w:r>
          <w:rPr>
            <w:vertAlign w:val="superscript"/>
          </w:rPr>
          <w:t>1</w:t>
        </w:r>
      </w:fldSimple>
      <w:r>
        <w:t xml:space="preserve">. This stateful design enables powerful production capabilities: checkpointing for crash recovery, time-travel debugging (replaying execution from any prior state), and human-in-the-loop breakpoints</w:t>
      </w:r>
      <w:r>
        <w:t xml:space="preserve"> </w:t>
      </w:r>
      <w:fldSimple w:instr="NOTEREF _Ref_Footnote_20 \h \f">
        <w:r>
          <w:rPr>
            <w:vertAlign w:val="superscript"/>
          </w:rPr>
          <w:t>20</w:t>
        </w:r>
      </w:fldSimple>
      <w:r>
        <w:t xml:space="preserve">. LangGraph reached version 1.0 in late 2025 and surpassed CrewAI in GitHub stars in early 2026, driven by enterprise adoption of its graph-based runtime</w:t>
      </w:r>
      <w:r>
        <w:t xml:space="preserve"> </w:t>
      </w:r>
      <w:fldSimple w:instr="NOTEREF _Ref_Footnote_20 \h \f">
        <w:r>
          <w:rPr>
            <w:vertAlign w:val="superscript"/>
          </w:rPr>
          <w:t>20</w:t>
        </w:r>
      </w:fldSimple>
      <w:r>
        <w:t xml:space="preserve">. Production adopters include Uber, LinkedIn, Klarna, and Replit</w:t>
      </w:r>
      <w:r>
        <w:t xml:space="preserve"> </w:t>
      </w:r>
      <w:r>
        <w:rPr>
          <w:vertAlign w:val="superscript"/>
        </w:rPr>
        <w:footnoteReference w:id="70"/>
      </w:r>
      <w:r>
        <w:t xml:space="preserve"> </w:t>
      </w:r>
      <w:r>
        <w:rPr>
          <w:vertAlign w:val="superscript"/>
        </w:rPr>
        <w:footnoteReference w:id="71"/>
      </w:r>
      <w:r>
        <w:t xml:space="preserve">.</w:t>
      </w:r>
    </w:p>
    <w:p>
      <w:pPr>
        <w:pStyle w:val="BodyText"/>
      </w:pPr>
      <w:r>
        <w:t xml:space="preserve">The graph paradigm excels when workflows have complex branching, require deterministic control flow, or operate in regulated environments where every decision path must be auditable. Its primary trade-off is verbosity: simple workflows require significant boilerplate, and the learning curve is estimated at one to two weeks</w:t>
      </w:r>
      <w:r>
        <w:t xml:space="preserve"> </w:t>
      </w:r>
      <w:r>
        <w:rPr>
          <w:vertAlign w:val="superscript"/>
        </w:rPr>
        <w:footnoteReference w:id="72"/>
      </w:r>
      <w:r>
        <w:t xml:space="preserve">.</w:t>
      </w:r>
    </w:p>
    <w:bookmarkEnd w:id="55"/>
    <w:bookmarkStart w:id="56" w:name="role-based-orchestration-crewai"/>
    <w:p>
      <w:pPr>
        <w:pStyle w:val="Heading4"/>
      </w:pPr>
      <w:r>
        <w:t xml:space="preserve">2.3.2 Role-Based Orchestration (CrewAI)</w:t>
      </w:r>
    </w:p>
    <w:p>
      <w:pPr>
        <w:pStyle w:val="FirstParagraph"/>
      </w:pPr>
      <w:r>
        <w:t xml:space="preserve">CrewAI frames multi-agent workflows as</w:t>
      </w:r>
      <w:r>
        <w:t xml:space="preserve"> </w:t>
      </w:r>
      <w:r>
        <w:rPr>
          <w:bCs/>
          <w:b/>
        </w:rPr>
        <w:t xml:space="preserve">human-like teams with defined roles</w:t>
      </w:r>
      <w:r>
        <w:t xml:space="preserve"> </w:t>
      </w:r>
      <w:r>
        <w:t xml:space="preserve">— researcher, writer, manager — each with backstories, goals, and delegation capabilities</w:t>
      </w:r>
      <w:r>
        <w:t xml:space="preserve"> </w:t>
      </w:r>
      <w:fldSimple w:instr="NOTEREF _Ref_Footnote_21 \h \f">
        <w:r>
          <w:rPr>
            <w:vertAlign w:val="superscript"/>
          </w:rPr>
          <w:t>21</w:t>
        </w:r>
      </w:fldSimple>
      <w:r>
        <w:t xml:space="preserve"> </w:t>
      </w:r>
      <w:fldSimple w:instr="NOTEREF _Ref_Footnote_19 \h \f">
        <w:r>
          <w:rPr>
            <w:vertAlign w:val="superscript"/>
          </w:rPr>
          <w:t>19</w:t>
        </w:r>
      </w:fldSimple>
      <w:r>
        <w:t xml:space="preserve">. This metaphor makes CrewAI the fastest framework for prototyping: developers describe agents as characters rather than constructing control graphs.</w:t>
      </w:r>
    </w:p>
    <w:p>
      <w:pPr>
        <w:pStyle w:val="BodyText"/>
      </w:pPr>
      <w:r>
        <w:t xml:space="preserve">CrewAI supports three process types:</w:t>
      </w:r>
      <w:r>
        <w:t xml:space="preserve"> </w:t>
      </w:r>
      <w:r>
        <w:rPr>
          <w:bCs/>
          <w:b/>
        </w:rPr>
        <w:t xml:space="preserve">Sequential</w:t>
      </w:r>
      <w:r>
        <w:t xml:space="preserve"> </w:t>
      </w:r>
      <w:r>
        <w:t xml:space="preserve">(tasks execute in order, output of task N feeds into task N+1),</w:t>
      </w:r>
      <w:r>
        <w:t xml:space="preserve"> </w:t>
      </w:r>
      <w:r>
        <w:rPr>
          <w:bCs/>
          <w:b/>
        </w:rPr>
        <w:t xml:space="preserve">Hierarchical</w:t>
      </w:r>
      <w:r>
        <w:t xml:space="preserve"> </w:t>
      </w:r>
      <w:r>
        <w:t xml:space="preserve">(a manager agent dynamically delegates tasks, validates outputs, and synthesizes the final answer), and</w:t>
      </w:r>
      <w:r>
        <w:t xml:space="preserve"> </w:t>
      </w:r>
      <w:r>
        <w:rPr>
          <w:bCs/>
          <w:b/>
        </w:rPr>
        <w:t xml:space="preserve">Custom</w:t>
      </w:r>
      <w:r>
        <w:t xml:space="preserve"> </w:t>
      </w:r>
      <w:r>
        <w:t xml:space="preserve">(developer-defined orchestration logic)</w:t>
      </w:r>
      <w:r>
        <w:t xml:space="preserve"> </w:t>
      </w:r>
      <w:fldSimple w:instr="NOTEREF _Ref_Footnote_21 \h \f">
        <w:r>
          <w:rPr>
            <w:vertAlign w:val="superscript"/>
          </w:rPr>
          <w:t>21</w:t>
        </w:r>
      </w:fldSimple>
      <w:r>
        <w:t xml:space="preserve"> </w:t>
      </w:r>
      <w:r>
        <w:rPr>
          <w:vertAlign w:val="superscript"/>
        </w:rPr>
        <w:footnoteReference w:id="73"/>
      </w:r>
      <w:r>
        <w:t xml:space="preserve">. The framework’s memory system uses vector-backed composite scoring to enable agents to see each other’s outputs, and built-in guardrails (</w:t>
      </w:r>
      <w:r>
        <w:rPr>
          <w:rStyle w:val="VerbatimChar"/>
        </w:rPr>
        <w:t xml:space="preserve">max_iter</w:t>
      </w:r>
      <w:r>
        <w:t xml:space="preserve"> </w:t>
      </w:r>
      <w:r>
        <w:t xml:space="preserve">defaulting to 20,</w:t>
      </w:r>
      <w:r>
        <w:t xml:space="preserve"> </w:t>
      </w:r>
      <w:r>
        <w:rPr>
          <w:rStyle w:val="VerbatimChar"/>
        </w:rPr>
        <w:t xml:space="preserve">max_retry_limit</w:t>
      </w:r>
      <w:r>
        <w:t xml:space="preserve"> </w:t>
      </w:r>
      <w:r>
        <w:t xml:space="preserve">defaulting to 2) prevent runaway loops</w:t>
      </w:r>
      <w:r>
        <w:t xml:space="preserve"> </w:t>
      </w:r>
      <w:fldSimple w:instr="NOTEREF _Ref_Footnote_19 \h \f">
        <w:r>
          <w:rPr>
            <w:vertAlign w:val="superscript"/>
          </w:rPr>
          <w:t>19</w:t>
        </w:r>
      </w:fldSimple>
      <w:r>
        <w:t xml:space="preserve">.</w:t>
      </w:r>
    </w:p>
    <w:p>
      <w:pPr>
        <w:pStyle w:val="BodyText"/>
      </w:pPr>
      <w:r>
        <w:t xml:space="preserve">With 44,600+ GitHub stars and 450 million monthly workflows as of early 2026, CrewAI has the largest community footprint of any multi-agent framework</w:t>
      </w:r>
      <w:r>
        <w:t xml:space="preserve"> </w:t>
      </w:r>
      <w:r>
        <w:rPr>
          <w:vertAlign w:val="superscript"/>
        </w:rPr>
        <w:footnoteReference w:id="74"/>
      </w:r>
      <w:r>
        <w:t xml:space="preserve">. Its first-class MCP integration and native A2A support (it was the first framework to add Agent-to-Agent protocol support) make it particularly attractive for teams prioritizing protocol interoperability</w:t>
      </w:r>
      <w:r>
        <w:t xml:space="preserve"> </w:t>
      </w:r>
      <w:fldSimple w:instr="NOTEREF _Ref_Footnote_72 \h \f">
        <w:r>
          <w:rPr>
            <w:vertAlign w:val="superscript"/>
          </w:rPr>
          <w:t>72</w:t>
        </w:r>
      </w:fldSimple>
      <w:r>
        <w:t xml:space="preserve">. However, production teams report that CrewAI’s coordination overhead becomes significant beyond approximately ten agents, and its checkpointing granularity is less refined than LangGraph’s</w:t>
      </w:r>
      <w:r>
        <w:t xml:space="preserve"> </w:t>
      </w:r>
      <w:fldSimple w:instr="NOTEREF _Ref_Footnote_72 \h \f">
        <w:r>
          <w:rPr>
            <w:vertAlign w:val="superscript"/>
          </w:rPr>
          <w:t>72</w:t>
        </w:r>
      </w:fldSimple>
      <w:r>
        <w:t xml:space="preserve">.</w:t>
      </w:r>
    </w:p>
    <w:bookmarkEnd w:id="56"/>
    <w:bookmarkStart w:id="57" w:name="X41698e2c0d53807e6855d8d67fcc129510cb1de"/>
    <w:p>
      <w:pPr>
        <w:pStyle w:val="Heading4"/>
      </w:pPr>
      <w:r>
        <w:t xml:space="preserve">2.3.3 Handoff-Based Orchestration (OpenAI Agents SDK)</w:t>
      </w:r>
    </w:p>
    <w:p>
      <w:pPr>
        <w:pStyle w:val="FirstParagraph"/>
      </w:pPr>
      <w:r>
        <w:t xml:space="preserve">The OpenAI Agents SDK reduces coordination to its</w:t>
      </w:r>
      <w:r>
        <w:t xml:space="preserve"> </w:t>
      </w:r>
      <w:r>
        <w:rPr>
          <w:bCs/>
          <w:b/>
        </w:rPr>
        <w:t xml:space="preserve">minimal primitive: the handoff</w:t>
      </w:r>
      <w:r>
        <w:t xml:space="preserve">. Agents transfer control to one another through explicit declarations, with the</w:t>
      </w:r>
      <w:r>
        <w:t xml:space="preserve"> </w:t>
      </w:r>
      <w:r>
        <w:rPr>
          <w:rStyle w:val="VerbatimChar"/>
        </w:rPr>
        <w:t xml:space="preserve">handoffs</w:t>
      </w:r>
      <w:r>
        <w:t xml:space="preserve"> </w:t>
      </w:r>
      <w:r>
        <w:t xml:space="preserve">parameter functioning as a whitelist of delegable agents</w:t>
      </w:r>
      <w:r>
        <w:t xml:space="preserve"> </w:t>
      </w:r>
      <w:r>
        <w:rPr>
          <w:vertAlign w:val="superscript"/>
        </w:rPr>
        <w:footnoteReference w:id="75"/>
      </w:r>
      <w:r>
        <w:t xml:space="preserve"> </w:t>
      </w:r>
      <w:r>
        <w:rPr>
          <w:vertAlign w:val="superscript"/>
        </w:rPr>
        <w:footnoteReference w:id="76"/>
      </w:r>
      <w:r>
        <w:t xml:space="preserve">. Two core patterns emerge:</w:t>
      </w:r>
      <w:r>
        <w:t xml:space="preserve"> </w:t>
      </w:r>
      <w:r>
        <w:rPr>
          <w:bCs/>
          <w:b/>
        </w:rPr>
        <w:t xml:space="preserve">Agents as Tools</w:t>
      </w:r>
      <w:r>
        <w:t xml:space="preserve"> </w:t>
      </w:r>
      <w:r>
        <w:t xml:space="preserve">(a manager calls specialist agents via</w:t>
      </w:r>
      <w:r>
        <w:t xml:space="preserve"> </w:t>
      </w:r>
      <w:r>
        <w:rPr>
          <w:rStyle w:val="VerbatimChar"/>
        </w:rPr>
        <w:t xml:space="preserve">Agent.as_tool()</w:t>
      </w:r>
      <w:r>
        <w:t xml:space="preserve"> </w:t>
      </w:r>
      <w:r>
        <w:t xml:space="preserve">when one agent owns the final answer) and</w:t>
      </w:r>
      <w:r>
        <w:t xml:space="preserve"> </w:t>
      </w:r>
      <w:r>
        <w:rPr>
          <w:bCs/>
          <w:b/>
        </w:rPr>
        <w:t xml:space="preserve">Handoffs</w:t>
      </w:r>
      <w:r>
        <w:t xml:space="preserve"> </w:t>
      </w:r>
      <w:r>
        <w:t xml:space="preserve">(a triage agent routes the conversation to a specialist who becomes the active agent)</w:t>
      </w:r>
      <w:r>
        <w:t xml:space="preserve"> </w:t>
      </w:r>
      <w:fldSimple w:instr="NOTEREF _Ref_Footnote_75 \h \f">
        <w:r>
          <w:rPr>
            <w:vertAlign w:val="superscript"/>
          </w:rPr>
          <w:t>75</w:t>
        </w:r>
      </w:fldSimple>
      <w:r>
        <w:t xml:space="preserve">.</w:t>
      </w:r>
    </w:p>
    <w:p>
      <w:pPr>
        <w:pStyle w:val="BodyText"/>
      </w:pPr>
      <w:r>
        <w:t xml:space="preserve">Handoffs are implemented as function calls — invoking a handoff function immediately starts execution on the target agent with full conversation state transfer</w:t>
      </w:r>
      <w:r>
        <w:t xml:space="preserve"> </w:t>
      </w:r>
      <w:r>
        <w:rPr>
          <w:vertAlign w:val="superscript"/>
        </w:rPr>
        <w:footnoteReference w:id="77"/>
      </w:r>
      <w:r>
        <w:t xml:space="preserve">. The SDK provides built-in guardrails for input/output validation, automatic tracing (collecting LLM generations, tool calls, handoffs, and guardrail events), and full streaming support</w:t>
      </w:r>
      <w:r>
        <w:t xml:space="preserve"> </w:t>
      </w:r>
      <w:r>
        <w:rPr>
          <w:vertAlign w:val="superscript"/>
        </w:rPr>
        <w:footnoteReference w:id="78"/>
      </w:r>
      <w:r>
        <w:t xml:space="preserve"> </w:t>
      </w:r>
      <w:r>
        <w:rPr>
          <w:vertAlign w:val="superscript"/>
        </w:rPr>
        <w:footnoteReference w:id="79"/>
      </w:r>
      <w:r>
        <w:t xml:space="preserve">.</w:t>
      </w:r>
    </w:p>
    <w:p>
      <w:pPr>
        <w:pStyle w:val="BodyText"/>
      </w:pPr>
      <w:r>
        <w:t xml:space="preserve">This minimalism is both strength and limitation. The OpenAI Agents SDK achieves the fastest time to</w:t>
      </w:r>
      <w:r>
        <w:t xml:space="preserve"> </w:t>
      </w:r>
      <w:r>
        <w:t xml:space="preserve">“</w:t>
      </w:r>
      <w:r>
        <w:t xml:space="preserve">hello world</w:t>
      </w:r>
      <w:r>
        <w:t xml:space="preserve">”</w:t>
      </w:r>
      <w:r>
        <w:t xml:space="preserve"> </w:t>
      </w:r>
      <w:r>
        <w:t xml:space="preserve">of any production framework</w:t>
      </w:r>
      <w:r>
        <w:t xml:space="preserve"> </w:t>
      </w:r>
      <w:r>
        <w:rPr>
          <w:vertAlign w:val="superscript"/>
        </w:rPr>
        <w:footnoteReference w:id="80"/>
      </w:r>
      <w:r>
        <w:t xml:space="preserve">, but handoffs are synchronous — a triage agent with four potential handoffs must execute them sequentially, not in parallel</w:t>
      </w:r>
      <w:r>
        <w:t xml:space="preserve"> </w:t>
      </w:r>
      <w:r>
        <w:rPr>
          <w:vertAlign w:val="superscript"/>
        </w:rPr>
        <w:footnoteReference w:id="81"/>
      </w:r>
      <w:r>
        <w:t xml:space="preserve">. There is no built-in checkpointing or crash recovery, and the framework’s native parallel execution capabilities are limited</w:t>
      </w:r>
      <w:r>
        <w:t xml:space="preserve"> </w:t>
      </w:r>
      <w:fldSimple w:instr="NOTEREF _Ref_Footnote_72 \h \f">
        <w:r>
          <w:rPr>
            <w:vertAlign w:val="superscript"/>
          </w:rPr>
          <w:t>72</w:t>
        </w:r>
      </w:fldSimple>
      <w:r>
        <w:t xml:space="preserve">.</w:t>
      </w:r>
    </w:p>
    <w:bookmarkEnd w:id="57"/>
    <w:bookmarkStart w:id="58" w:name="hierarchical-orchestration-google-adk"/>
    <w:p>
      <w:pPr>
        <w:pStyle w:val="Heading4"/>
      </w:pPr>
      <w:r>
        <w:t xml:space="preserve">2.3.4 Hierarchical Orchestration (Google ADK)</w:t>
      </w:r>
    </w:p>
    <w:p>
      <w:pPr>
        <w:pStyle w:val="FirstParagraph"/>
      </w:pPr>
      <w:r>
        <w:t xml:space="preserve">Google’s Agent Development Kit (ADK) organizes agents in</w:t>
      </w:r>
      <w:r>
        <w:t xml:space="preserve"> </w:t>
      </w:r>
      <w:r>
        <w:rPr>
          <w:bCs/>
          <w:b/>
        </w:rPr>
        <w:t xml:space="preserve">parent-child hierarchies</w:t>
      </w:r>
      <w:r>
        <w:t xml:space="preserve"> </w:t>
      </w:r>
      <w:r>
        <w:t xml:space="preserve">and provides three deterministic workflow primitives:</w:t>
      </w:r>
      <w:r>
        <w:t xml:space="preserve"> </w:t>
      </w:r>
      <w:r>
        <w:rPr>
          <w:bCs/>
          <w:b/>
        </w:rPr>
        <w:t xml:space="preserve">SequentialAgent</w:t>
      </w:r>
      <w:r>
        <w:t xml:space="preserve"> </w:t>
      </w:r>
      <w:r>
        <w:t xml:space="preserve">(executes sub-agents one after another),</w:t>
      </w:r>
      <w:r>
        <w:t xml:space="preserve"> </w:t>
      </w:r>
      <w:r>
        <w:rPr>
          <w:bCs/>
          <w:b/>
        </w:rPr>
        <w:t xml:space="preserve">ParallelAgent</w:t>
      </w:r>
      <w:r>
        <w:t xml:space="preserve"> </w:t>
      </w:r>
      <w:r>
        <w:t xml:space="preserve">(executes sub-agents concurrently), and</w:t>
      </w:r>
      <w:r>
        <w:t xml:space="preserve"> </w:t>
      </w:r>
      <w:r>
        <w:rPr>
          <w:bCs/>
          <w:b/>
        </w:rPr>
        <w:t xml:space="preserve">LoopAgent</w:t>
      </w:r>
      <w:r>
        <w:t xml:space="preserve"> </w:t>
      </w:r>
      <w:r>
        <w:t xml:space="preserve">(executes sub-agents iteratively with termination criteria)</w:t>
      </w:r>
      <w:r>
        <w:t xml:space="preserve"> </w:t>
      </w:r>
      <w:r>
        <w:rPr>
          <w:vertAlign w:val="superscript"/>
        </w:rPr>
        <w:footnoteReference w:id="82"/>
      </w:r>
      <w:r>
        <w:t xml:space="preserve"> </w:t>
      </w:r>
      <w:r>
        <w:rPr>
          <w:vertAlign w:val="superscript"/>
        </w:rPr>
        <w:footnoteReference w:id="83"/>
      </w:r>
      <w:r>
        <w:t xml:space="preserve">. This architecture combines the predictability of deterministic workflows with the flexibility of LLM-driven dynamic delegation</w:t>
      </w:r>
      <w:r>
        <w:t xml:space="preserve"> </w:t>
      </w:r>
      <w:r>
        <w:rPr>
          <w:vertAlign w:val="superscript"/>
        </w:rPr>
        <w:footnoteReference w:id="84"/>
      </w:r>
      <w:r>
        <w:t xml:space="preserve">.</w:t>
      </w:r>
    </w:p>
    <w:p>
      <w:pPr>
        <w:pStyle w:val="BodyText"/>
      </w:pPr>
      <w:r>
        <w:t xml:space="preserve">In the ADK pattern, a</w:t>
      </w:r>
      <w:r>
        <w:t xml:space="preserve"> </w:t>
      </w:r>
      <w:r>
        <w:rPr>
          <w:bCs/>
          <w:b/>
        </w:rPr>
        <w:t xml:space="preserve">Root Agent</w:t>
      </w:r>
      <w:r>
        <w:t xml:space="preserve"> </w:t>
      </w:r>
      <w:r>
        <w:t xml:space="preserve">receives all user interactions, analyzes intent, and delegates to specialist children via</w:t>
      </w:r>
      <w:r>
        <w:t xml:space="preserve"> </w:t>
      </w:r>
      <w:r>
        <w:rPr>
          <w:rStyle w:val="VerbatimChar"/>
        </w:rPr>
        <w:t xml:space="preserve">transfer_to_agent</w:t>
      </w:r>
      <w:r>
        <w:t xml:space="preserve"> </w:t>
      </w:r>
      <w:r>
        <w:rPr>
          <w:vertAlign w:val="superscript"/>
        </w:rPr>
        <w:footnoteReference w:id="85"/>
      </w:r>
      <w:r>
        <w:t xml:space="preserve">. Shared session state flows through a</w:t>
      </w:r>
      <w:r>
        <w:t xml:space="preserve"> </w:t>
      </w:r>
      <w:r>
        <w:rPr>
          <w:rStyle w:val="VerbatimChar"/>
        </w:rPr>
        <w:t xml:space="preserve">session.state</w:t>
      </w:r>
      <w:r>
        <w:t xml:space="preserve"> </w:t>
      </w:r>
      <w:r>
        <w:t xml:space="preserve">dictionary accessible to all agents, with</w:t>
      </w:r>
      <w:r>
        <w:t xml:space="preserve"> </w:t>
      </w:r>
      <w:r>
        <w:rPr>
          <w:rStyle w:val="VerbatimChar"/>
        </w:rPr>
        <w:t xml:space="preserve">output_key</w:t>
      </w:r>
      <w:r>
        <w:t xml:space="preserve"> </w:t>
      </w:r>
      <w:r>
        <w:t xml:space="preserve">writes enabling downstream agents to read prior outputs</w:t>
      </w:r>
      <w:r>
        <w:t xml:space="preserve"> </w:t>
      </w:r>
      <w:fldSimple w:instr="NOTEREF _Ref_Footnote_84 \h \f">
        <w:r>
          <w:rPr>
            <w:vertAlign w:val="superscript"/>
          </w:rPr>
          <w:t>84</w:t>
        </w:r>
      </w:fldSimple>
      <w:r>
        <w:t xml:space="preserve">. The generator-critic pattern is a canonical ADK use case: a LoopAgent repeatedly invokes a generator agent (producing drafts) and a critic agent (reviewing and outputting PASS or feedback) until quality criteria are met</w:t>
      </w:r>
      <w:r>
        <w:t xml:space="preserve"> </w:t>
      </w:r>
      <w:fldSimple w:instr="NOTEREF _Ref_Footnote_82 \h \f">
        <w:r>
          <w:rPr>
            <w:vertAlign w:val="superscript"/>
          </w:rPr>
          <w:t>82</w:t>
        </w:r>
      </w:fldSimple>
      <w:r>
        <w:t xml:space="preserve">.</w:t>
      </w:r>
    </w:p>
    <w:p>
      <w:pPr>
        <w:pStyle w:val="BodyText"/>
      </w:pPr>
      <w:r>
        <w:t xml:space="preserve">ADK’s native support for both MCP and A2A protocols, combined with its deep integration into Google Cloud (deployment targets include Cloud Run, GKE, and Vertex AI Agent Engine), positions it as the natural choice for GCP-native enterprises</w:t>
      </w:r>
      <w:r>
        <w:t xml:space="preserve"> </w:t>
      </w:r>
      <w:r>
        <w:rPr>
          <w:vertAlign w:val="superscript"/>
        </w:rPr>
        <w:footnoteReference w:id="86"/>
      </w:r>
      <w:r>
        <w:t xml:space="preserve"> </w:t>
      </w:r>
      <w:r>
        <w:rPr>
          <w:vertAlign w:val="superscript"/>
        </w:rPr>
        <w:footnoteReference w:id="87"/>
      </w:r>
      <w:r>
        <w:t xml:space="preserve">. However, as the newest of the four major frameworks, it has less production evidence than LangGraph or CrewAI</w:t>
      </w:r>
      <w:r>
        <w:t xml:space="preserve"> </w:t>
      </w:r>
      <w:r>
        <w:rPr>
          <w:vertAlign w:val="superscript"/>
        </w:rPr>
        <w:footnoteReference w:id="88"/>
      </w:r>
      <w:r>
        <w:t xml:space="preserve">.</w:t>
      </w:r>
    </w:p>
    <w:bookmarkEnd w:id="58"/>
    <w:bookmarkStart w:id="59" w:name="four-orchestration-styles-compared"/>
    <w:p>
      <w:pPr>
        <w:pStyle w:val="Heading4"/>
      </w:pPr>
      <w:r>
        <w:t xml:space="preserve">2.3.5 Four Orchestration Styles Compared</w:t>
      </w:r>
    </w:p>
    <w:tbl>
      <w:tblPr>
        <w:tblStyle w:val="Table"/>
        <w:tblW w:type="pct" w:w="5000"/>
        <w:tblLook w:firstRow="1" w:lastRow="0" w:firstColumn="0" w:lastColumn="0" w:noHBand="0" w:noVBand="0" w:val="0020"/>
      </w:tblPr>
      <w:tblGrid>
        <w:gridCol w:w="1584"/>
        <w:gridCol w:w="1584"/>
        <w:gridCol w:w="1584"/>
        <w:gridCol w:w="1584"/>
        <w:gridCol w:w="1584"/>
      </w:tblGrid>
      <w:tr>
        <w:trPr>
          <w:tblHeader w:val="true"/>
        </w:trPr>
        <w:tc>
          <w:tcPr/>
          <w:p>
            <w:pPr>
              <w:pStyle w:val="Compact"/>
              <w:jc w:val="left"/>
            </w:pPr>
            <w:r>
              <w:t xml:space="preserve">Dimension</w:t>
            </w:r>
          </w:p>
        </w:tc>
        <w:tc>
          <w:tcPr/>
          <w:p>
            <w:pPr>
              <w:pStyle w:val="Compact"/>
              <w:jc w:val="left"/>
            </w:pPr>
            <w:r>
              <w:t xml:space="preserve">LangGraph (Graph-Based)</w:t>
            </w:r>
          </w:p>
        </w:tc>
        <w:tc>
          <w:tcPr/>
          <w:p>
            <w:pPr>
              <w:pStyle w:val="Compact"/>
              <w:jc w:val="left"/>
            </w:pPr>
            <w:r>
              <w:t xml:space="preserve">CrewAI (Role-Based)</w:t>
            </w:r>
          </w:p>
        </w:tc>
        <w:tc>
          <w:tcPr/>
          <w:p>
            <w:pPr>
              <w:pStyle w:val="Compact"/>
              <w:jc w:val="left"/>
            </w:pPr>
            <w:r>
              <w:t xml:space="preserve">OpenAI Agents SDK (Handoff)</w:t>
            </w:r>
          </w:p>
        </w:tc>
        <w:tc>
          <w:tcPr/>
          <w:p>
            <w:pPr>
              <w:pStyle w:val="Compact"/>
              <w:jc w:val="left"/>
            </w:pPr>
            <w:r>
              <w:t xml:space="preserve">Google ADK (Hierarchical)</w:t>
            </w:r>
          </w:p>
        </w:tc>
      </w:tr>
      <w:tr>
        <w:tc>
          <w:tcPr/>
          <w:p>
            <w:pPr>
              <w:pStyle w:val="Compact"/>
              <w:jc w:val="left"/>
            </w:pPr>
            <w:r>
              <w:rPr>
                <w:bCs/>
                <w:b/>
              </w:rPr>
              <w:t xml:space="preserve">Core abstraction</w:t>
            </w:r>
          </w:p>
        </w:tc>
        <w:tc>
          <w:tcPr/>
          <w:p>
            <w:pPr>
              <w:pStyle w:val="Compact"/>
              <w:jc w:val="left"/>
            </w:pPr>
            <w:r>
              <w:t xml:space="preserve">State machine graph</w:t>
            </w:r>
          </w:p>
        </w:tc>
        <w:tc>
          <w:tcPr/>
          <w:p>
            <w:pPr>
              <w:pStyle w:val="Compact"/>
              <w:jc w:val="left"/>
            </w:pPr>
            <w:r>
              <w:t xml:space="preserve">Role-playing team</w:t>
            </w:r>
          </w:p>
        </w:tc>
        <w:tc>
          <w:tcPr/>
          <w:p>
            <w:pPr>
              <w:pStyle w:val="Compact"/>
              <w:jc w:val="left"/>
            </w:pPr>
            <w:r>
              <w:t xml:space="preserve">Handoff primitive</w:t>
            </w:r>
          </w:p>
        </w:tc>
        <w:tc>
          <w:tcPr/>
          <w:p>
            <w:pPr>
              <w:pStyle w:val="Compact"/>
              <w:jc w:val="left"/>
            </w:pPr>
            <w:r>
              <w:t xml:space="preserve">Parent-child tree + workflow primitives</w:t>
            </w:r>
          </w:p>
        </w:tc>
      </w:tr>
      <w:tr>
        <w:tc>
          <w:tcPr/>
          <w:p>
            <w:pPr>
              <w:pStyle w:val="Compact"/>
              <w:jc w:val="left"/>
            </w:pPr>
            <w:r>
              <w:rPr>
                <w:bCs/>
                <w:b/>
              </w:rPr>
              <w:t xml:space="preserve">Control flow</w:t>
            </w:r>
          </w:p>
        </w:tc>
        <w:tc>
          <w:tcPr/>
          <w:p>
            <w:pPr>
              <w:pStyle w:val="Compact"/>
              <w:jc w:val="left"/>
            </w:pPr>
            <w:r>
              <w:t xml:space="preserve">Nodes, edges, conditional routing</w:t>
            </w:r>
          </w:p>
        </w:tc>
        <w:tc>
          <w:tcPr/>
          <w:p>
            <w:pPr>
              <w:pStyle w:val="Compact"/>
              <w:jc w:val="left"/>
            </w:pPr>
            <w:r>
              <w:t xml:space="preserve">Sequential, hierarchical, or custom process</w:t>
            </w:r>
          </w:p>
        </w:tc>
        <w:tc>
          <w:tcPr/>
          <w:p>
            <w:pPr>
              <w:pStyle w:val="Compact"/>
              <w:jc w:val="left"/>
            </w:pPr>
            <w:r>
              <w:t xml:space="preserve">Triage + handoff chains</w:t>
            </w:r>
          </w:p>
        </w:tc>
        <w:tc>
          <w:tcPr/>
          <w:p>
            <w:pPr>
              <w:pStyle w:val="Compact"/>
              <w:jc w:val="left"/>
            </w:pPr>
            <w:r>
              <w:t xml:space="preserve">SequentialAgent, ParallelAgent, LoopAgent</w:t>
            </w:r>
          </w:p>
        </w:tc>
      </w:tr>
      <w:tr>
        <w:tc>
          <w:tcPr/>
          <w:p>
            <w:pPr>
              <w:pStyle w:val="Compact"/>
              <w:jc w:val="left"/>
            </w:pPr>
            <w:r>
              <w:rPr>
                <w:bCs/>
                <w:b/>
              </w:rPr>
              <w:t xml:space="preserve">State management</w:t>
            </w:r>
          </w:p>
        </w:tc>
        <w:tc>
          <w:tcPr/>
          <w:p>
            <w:pPr>
              <w:pStyle w:val="Compact"/>
              <w:jc w:val="left"/>
            </w:pPr>
            <w:r>
              <w:t xml:space="preserve">Built-in checkpointing, time-travel</w:t>
            </w:r>
          </w:p>
        </w:tc>
        <w:tc>
          <w:tcPr/>
          <w:p>
            <w:pPr>
              <w:pStyle w:val="Compact"/>
              <w:jc w:val="left"/>
            </w:pPr>
            <w:r>
              <w:t xml:space="preserve">Shared vector-backed memory</w:t>
            </w:r>
          </w:p>
        </w:tc>
        <w:tc>
          <w:tcPr/>
          <w:p>
            <w:pPr>
              <w:pStyle w:val="Compact"/>
              <w:jc w:val="left"/>
            </w:pPr>
            <w:r>
              <w:t xml:space="preserve">Session-based, no checkpointing</w:t>
            </w:r>
          </w:p>
        </w:tc>
        <w:tc>
          <w:tcPr/>
          <w:p>
            <w:pPr>
              <w:pStyle w:val="Compact"/>
              <w:jc w:val="left"/>
            </w:pPr>
            <w:r>
              <w:t xml:space="preserve">Shared</w:t>
            </w:r>
            <w:r>
              <w:t xml:space="preserve"> </w:t>
            </w:r>
            <w:r>
              <w:rPr>
                <w:rStyle w:val="VerbatimChar"/>
              </w:rPr>
              <w:t xml:space="preserve">session.state</w:t>
            </w:r>
            <w:r>
              <w:t xml:space="preserve"> </w:t>
            </w:r>
            <w:r>
              <w:t xml:space="preserve">dictionary</w:t>
            </w:r>
          </w:p>
        </w:tc>
      </w:tr>
      <w:tr>
        <w:tc>
          <w:tcPr/>
          <w:p>
            <w:pPr>
              <w:pStyle w:val="Compact"/>
              <w:jc w:val="left"/>
            </w:pPr>
            <w:r>
              <w:rPr>
                <w:bCs/>
                <w:b/>
              </w:rPr>
              <w:t xml:space="preserve">Scalability</w:t>
            </w:r>
          </w:p>
        </w:tc>
        <w:tc>
          <w:tcPr/>
          <w:p>
            <w:pPr>
              <w:pStyle w:val="Compact"/>
              <w:jc w:val="left"/>
            </w:pPr>
            <w:r>
              <w:t xml:space="preserve">Highest (proven at enterprise scale)</w:t>
            </w:r>
          </w:p>
        </w:tc>
        <w:tc>
          <w:tcPr/>
          <w:p>
            <w:pPr>
              <w:pStyle w:val="Compact"/>
              <w:jc w:val="left"/>
            </w:pPr>
            <w:r>
              <w:t xml:space="preserve">Moderate (coordination overhead at 10+ agents)</w:t>
            </w:r>
          </w:p>
        </w:tc>
        <w:tc>
          <w:tcPr/>
          <w:p>
            <w:pPr>
              <w:pStyle w:val="Compact"/>
              <w:jc w:val="left"/>
            </w:pPr>
            <w:r>
              <w:t xml:space="preserve">Limited (synchronous handoffs)</w:t>
            </w:r>
          </w:p>
        </w:tc>
        <w:tc>
          <w:tcPr/>
          <w:p>
            <w:pPr>
              <w:pStyle w:val="Compact"/>
              <w:jc w:val="left"/>
            </w:pPr>
            <w:r>
              <w:t xml:space="preserve">Moderate-High (GCP-native scaling)</w:t>
            </w:r>
          </w:p>
        </w:tc>
      </w:tr>
      <w:tr>
        <w:tc>
          <w:tcPr/>
          <w:p>
            <w:pPr>
              <w:pStyle w:val="Compact"/>
              <w:jc w:val="left"/>
            </w:pPr>
            <w:r>
              <w:rPr>
                <w:bCs/>
                <w:b/>
              </w:rPr>
              <w:t xml:space="preserve">Learning curve</w:t>
            </w:r>
          </w:p>
        </w:tc>
        <w:tc>
          <w:tcPr/>
          <w:p>
            <w:pPr>
              <w:pStyle w:val="Compact"/>
              <w:jc w:val="left"/>
            </w:pPr>
            <w:r>
              <w:t xml:space="preserve">1–2 weeks</w:t>
            </w:r>
            <w:r>
              <w:t xml:space="preserve"> </w:t>
            </w:r>
            <w:fldSimple w:instr="NOTEREF _Ref_Footnote_72 \h \f">
              <w:r>
                <w:rPr>
                  <w:vertAlign w:val="superscript"/>
                </w:rPr>
                <w:t>72</w:t>
              </w:r>
            </w:fldSimple>
          </w:p>
        </w:tc>
        <w:tc>
          <w:tcPr/>
          <w:p>
            <w:pPr>
              <w:pStyle w:val="Compact"/>
              <w:jc w:val="left"/>
            </w:pPr>
            <w:r>
              <w:t xml:space="preserve">Hours</w:t>
            </w:r>
          </w:p>
        </w:tc>
        <w:tc>
          <w:tcPr/>
          <w:p>
            <w:pPr>
              <w:pStyle w:val="Compact"/>
              <w:jc w:val="left"/>
            </w:pPr>
            <w:r>
              <w:t xml:space="preserve">Minutes</w:t>
            </w:r>
            <w:r>
              <w:t xml:space="preserve"> </w:t>
            </w:r>
            <w:fldSimple w:instr="NOTEREF _Ref_Footnote_80 \h \f">
              <w:r>
                <w:rPr>
                  <w:vertAlign w:val="superscript"/>
                </w:rPr>
                <w:t>80</w:t>
              </w:r>
            </w:fldSimple>
          </w:p>
        </w:tc>
        <w:tc>
          <w:tcPr/>
          <w:p>
            <w:pPr>
              <w:pStyle w:val="Compact"/>
              <w:jc w:val="left"/>
            </w:pPr>
            <w:r>
              <w:t xml:space="preserve">Medium</w:t>
            </w:r>
          </w:p>
        </w:tc>
      </w:tr>
      <w:tr>
        <w:tc>
          <w:tcPr/>
          <w:p>
            <w:pPr>
              <w:pStyle w:val="Compact"/>
              <w:jc w:val="left"/>
            </w:pPr>
            <w:r>
              <w:rPr>
                <w:bCs/>
                <w:b/>
              </w:rPr>
              <w:t xml:space="preserve">Best for</w:t>
            </w:r>
          </w:p>
        </w:tc>
        <w:tc>
          <w:tcPr/>
          <w:p>
            <w:pPr>
              <w:pStyle w:val="Compact"/>
              <w:jc w:val="left"/>
            </w:pPr>
            <w:r>
              <w:t xml:space="preserve">Complex branching, regulated workflows, audit trails</w:t>
            </w:r>
          </w:p>
        </w:tc>
        <w:tc>
          <w:tcPr/>
          <w:p>
            <w:pPr>
              <w:pStyle w:val="Compact"/>
              <w:jc w:val="left"/>
            </w:pPr>
            <w:r>
              <w:t xml:space="preserve">Rapid prototyping, multi-agent teams</w:t>
            </w:r>
          </w:p>
        </w:tc>
        <w:tc>
          <w:tcPr/>
          <w:p>
            <w:pPr>
              <w:pStyle w:val="Compact"/>
              <w:jc w:val="left"/>
            </w:pPr>
            <w:r>
              <w:t xml:space="preserve">Simple chains, OpenAI-native stacks</w:t>
            </w:r>
          </w:p>
        </w:tc>
        <w:tc>
          <w:tcPr/>
          <w:p>
            <w:pPr>
              <w:pStyle w:val="Compact"/>
              <w:jc w:val="left"/>
            </w:pPr>
            <w:r>
              <w:t xml:space="preserve">GCP-native, multimodal, iterative refinement</w:t>
            </w:r>
          </w:p>
        </w:tc>
      </w:tr>
      <w:tr>
        <w:tc>
          <w:tcPr/>
          <w:p>
            <w:pPr>
              <w:pStyle w:val="Compact"/>
              <w:jc w:val="left"/>
            </w:pPr>
            <w:r>
              <w:rPr>
                <w:bCs/>
                <w:b/>
              </w:rPr>
              <w:t xml:space="preserve">Notable adopters</w:t>
            </w:r>
          </w:p>
        </w:tc>
        <w:tc>
          <w:tcPr/>
          <w:p>
            <w:pPr>
              <w:pStyle w:val="Compact"/>
              <w:jc w:val="left"/>
            </w:pPr>
            <w:r>
              <w:t xml:space="preserve">Uber, LinkedIn, Klarna, Replit</w:t>
            </w:r>
            <w:r>
              <w:t xml:space="preserve"> </w:t>
            </w:r>
            <w:fldSimple w:instr="NOTEREF _Ref_Footnote_70 \h \f">
              <w:r>
                <w:rPr>
                  <w:vertAlign w:val="superscript"/>
                </w:rPr>
                <w:t>70</w:t>
              </w:r>
            </w:fldSimple>
          </w:p>
        </w:tc>
        <w:tc>
          <w:tcPr/>
          <w:p>
            <w:pPr>
              <w:pStyle w:val="Compact"/>
              <w:jc w:val="left"/>
            </w:pPr>
            <w:r>
              <w:t xml:space="preserve">Content teams, rapid prototyping</w:t>
            </w:r>
          </w:p>
        </w:tc>
        <w:tc>
          <w:tcPr/>
          <w:p>
            <w:pPr>
              <w:pStyle w:val="Compact"/>
              <w:jc w:val="left"/>
            </w:pPr>
            <w:r>
              <w:t xml:space="preserve">OpenAI-optimized deployments</w:t>
            </w:r>
          </w:p>
        </w:tc>
        <w:tc>
          <w:tcPr/>
          <w:p>
            <w:pPr>
              <w:pStyle w:val="Compact"/>
              <w:jc w:val="left"/>
            </w:pPr>
            <w:r>
              <w:t xml:space="preserve">Google Cloud ecosystem</w:t>
            </w:r>
            <w:r>
              <w:t xml:space="preserve"> </w:t>
            </w:r>
            <w:fldSimple w:instr="NOTEREF _Ref_Footnote_88 \h \f">
              <w:r>
                <w:rPr>
                  <w:vertAlign w:val="superscript"/>
                </w:rPr>
                <w:t>88</w:t>
              </w:r>
            </w:fldSimple>
          </w:p>
        </w:tc>
      </w:tr>
      <w:tr>
        <w:tc>
          <w:tcPr/>
          <w:p>
            <w:pPr>
              <w:pStyle w:val="Compact"/>
              <w:jc w:val="left"/>
            </w:pPr>
            <w:r>
              <w:rPr>
                <w:bCs/>
                <w:b/>
              </w:rPr>
              <w:t xml:space="preserve">Protocol support</w:t>
            </w:r>
          </w:p>
        </w:tc>
        <w:tc>
          <w:tcPr/>
          <w:p>
            <w:pPr>
              <w:pStyle w:val="Compact"/>
              <w:jc w:val="left"/>
            </w:pPr>
            <w:r>
              <w:t xml:space="preserve">Community MCP, via LangChain</w:t>
            </w:r>
          </w:p>
        </w:tc>
        <w:tc>
          <w:tcPr/>
          <w:p>
            <w:pPr>
              <w:pStyle w:val="Compact"/>
              <w:jc w:val="left"/>
            </w:pPr>
            <w:r>
              <w:t xml:space="preserve">Native MCP + native A2A</w:t>
            </w:r>
            <w:r>
              <w:t xml:space="preserve"> </w:t>
            </w:r>
            <w:fldSimple w:instr="NOTEREF _Ref_Footnote_72 \h \f">
              <w:r>
                <w:rPr>
                  <w:vertAlign w:val="superscript"/>
                </w:rPr>
                <w:t>72</w:t>
              </w:r>
            </w:fldSimple>
          </w:p>
        </w:tc>
        <w:tc>
          <w:tcPr/>
          <w:p>
            <w:pPr>
              <w:pStyle w:val="Compact"/>
              <w:jc w:val="left"/>
            </w:pPr>
            <w:r>
              <w:t xml:space="preserve">Native MCP (5 transports)</w:t>
            </w:r>
            <w:r>
              <w:t xml:space="preserve"> </w:t>
            </w:r>
            <w:fldSimple w:instr="NOTEREF _Ref_Footnote_72 \h \f">
              <w:r>
                <w:rPr>
                  <w:vertAlign w:val="superscript"/>
                </w:rPr>
                <w:t>72</w:t>
              </w:r>
            </w:fldSimple>
          </w:p>
        </w:tc>
        <w:tc>
          <w:tcPr/>
          <w:p>
            <w:pPr>
              <w:pStyle w:val="Compact"/>
              <w:jc w:val="left"/>
            </w:pPr>
            <w:r>
              <w:t xml:space="preserve">Native MCP + native A2A</w:t>
            </w:r>
            <w:r>
              <w:t xml:space="preserve"> </w:t>
            </w:r>
            <w:fldSimple w:instr="NOTEREF _Ref_Footnote_86 \h \f">
              <w:r>
                <w:rPr>
                  <w:vertAlign w:val="superscript"/>
                </w:rPr>
                <w:t>86</w:t>
              </w:r>
            </w:fldSimple>
          </w:p>
        </w:tc>
      </w:tr>
    </w:tbl>
    <w:p>
      <w:pPr>
        <w:pStyle w:val="BodyText"/>
      </w:pPr>
      <w:r>
        <w:t xml:space="preserve">The framework landscape reveals a clear pattern:</w:t>
      </w:r>
      <w:r>
        <w:t xml:space="preserve"> </w:t>
      </w:r>
      <w:r>
        <w:rPr>
          <w:bCs/>
          <w:b/>
        </w:rPr>
        <w:t xml:space="preserve">orchestration scaffolding frequently matters more than model choice</w:t>
      </w:r>
      <w:r>
        <w:t xml:space="preserve">. The Princeton HAL benchmark demonstrates that the same model can score 30–50 percentage points apart on identical tasks depending on the scaffolding around it</w:t>
      </w:r>
      <w:r>
        <w:t xml:space="preserve"> </w:t>
      </w:r>
      <w:fldSimple w:instr="NOTEREF _Ref_Footnote_22 \h \f">
        <w:r>
          <w:rPr>
            <w:vertAlign w:val="superscript"/>
          </w:rPr>
          <w:t>22</w:t>
        </w:r>
      </w:fldSimple>
      <w:r>
        <w:t xml:space="preserve"> </w:t>
      </w:r>
      <w:fldSimple w:instr="NOTEREF _Ref_Footnote_15 \h \f">
        <w:r>
          <w:rPr>
            <w:vertAlign w:val="superscript"/>
          </w:rPr>
          <w:t>15</w:t>
        </w:r>
      </w:fldSimple>
      <w:r>
        <w:t xml:space="preserve">. On the GAIA benchmark, the scaffolded HAL system scored 74.6% with Claude Sonnet 4.5, while the bare model achieved only 44.8% — a 29.8-point gap attributable entirely to orchestration, tool access, and memory architecture</w:t>
      </w:r>
      <w:r>
        <w:t xml:space="preserve"> </w:t>
      </w:r>
      <w:fldSimple w:instr="NOTEREF _Ref_Footnote_15 \h \f">
        <w:r>
          <w:rPr>
            <w:vertAlign w:val="superscript"/>
          </w:rPr>
          <w:t>15</w:t>
        </w:r>
      </w:fldSimple>
      <w:r>
        <w:t xml:space="preserve">. This finding inverts conventional procurement wisdom: enterprises should invest in framework selection and prompt engineering before pursuing larger model deployments.</w:t>
      </w:r>
    </w:p>
    <w:p>
      <w:pPr>
        <w:pStyle w:val="BodyText"/>
      </w:pPr>
      <w:r>
        <w:t xml:space="preserve">A recognized best practice has emerged in response to these trade-offs. Teams prototype in CrewAI to validate agent architecture and task decomposition, then migrate production-critical paths to LangGraph for checkpointing, error recovery, and observability</w:t>
      </w:r>
      <w:r>
        <w:t xml:space="preserve"> </w:t>
      </w:r>
      <w:fldSimple w:instr="NOTEREF _Ref_Footnote_72 \h \f">
        <w:r>
          <w:rPr>
            <w:vertAlign w:val="superscript"/>
          </w:rPr>
          <w:t>72</w:t>
        </w:r>
      </w:fldSimple>
      <w:r>
        <w:t xml:space="preserve">. This</w:t>
      </w:r>
      <w:r>
        <w:t xml:space="preserve"> </w:t>
      </w:r>
      <w:r>
        <w:t xml:space="preserve">“</w:t>
      </w:r>
      <w:r>
        <w:t xml:space="preserve">prototype then migrate</w:t>
      </w:r>
      <w:r>
        <w:t xml:space="preserve">”</w:t>
      </w:r>
      <w:r>
        <w:t xml:space="preserve"> </w:t>
      </w:r>
      <w:r>
        <w:t xml:space="preserve">pattern acknowledges that the optimal architecture often combines multiple orchestration styles within the same system.</w:t>
      </w:r>
    </w:p>
    <w:bookmarkEnd w:id="59"/>
    <w:bookmarkEnd w:id="60"/>
    <w:bookmarkStart w:id="65" w:name="the-protocol-layer-mcp-and-a2a"/>
    <w:p>
      <w:pPr>
        <w:pStyle w:val="Heading3"/>
      </w:pPr>
      <w:r>
        <w:t xml:space="preserve">2.4 The Protocol Layer: MCP and A2A</w:t>
      </w:r>
    </w:p>
    <w:p>
      <w:pPr>
        <w:pStyle w:val="FirstParagraph"/>
      </w:pPr>
      <w:r>
        <w:t xml:space="preserve">Beneath the orchestration frameworks lies a rapidly maturing protocol layer that is transforming agentic AI from a collection of framework-specific silos into an interoperable ecosystem. Two protocols — the Model Context Protocol (MCP) for vertical tool integration and the Agent-to-Agent (A2A) Protocol for horizontal agent collaboration — have achieved sufficient adoption and governance maturity to be considered foundational infrastructure.</w:t>
      </w:r>
    </w:p>
    <w:bookmarkStart w:id="61" w:name="mcp-the-usb-c-for-ai-tool-integration"/>
    <w:p>
      <w:pPr>
        <w:pStyle w:val="Heading4"/>
      </w:pPr>
      <w:r>
        <w:t xml:space="preserve">2.4.1 MCP: The USB-C for AI Tool Integration</w:t>
      </w:r>
    </w:p>
    <w:p>
      <w:pPr>
        <w:pStyle w:val="FirstParagraph"/>
      </w:pPr>
      <w:r>
        <w:t xml:space="preserve">The Model Context Protocol, created by Anthropic and launched in November 2024, standardizes how AI agents access external tools, data sources, and services</w:t>
      </w:r>
      <w:r>
        <w:t xml:space="preserve"> </w:t>
      </w:r>
      <w:r>
        <w:rPr>
          <w:vertAlign w:val="superscript"/>
        </w:rPr>
        <w:footnoteReference w:id="89"/>
      </w:r>
      <w:r>
        <w:t xml:space="preserve"> </w:t>
      </w:r>
      <w:r>
        <w:rPr>
          <w:vertAlign w:val="superscript"/>
        </w:rPr>
        <w:footnoteReference w:id="90"/>
      </w:r>
      <w:r>
        <w:t xml:space="preserve">. It uses a client-server architecture where MCP Clients (AI applications) request tool access from MCP Servers (lightweight adapters exposing tools via JSON-RPC 2.0), with three interfaces: Prompts, Tools, and Resources</w:t>
      </w:r>
      <w:r>
        <w:t xml:space="preserve"> </w:t>
      </w:r>
      <w:r>
        <w:rPr>
          <w:vertAlign w:val="superscript"/>
        </w:rPr>
        <w:footnoteReference w:id="91"/>
      </w:r>
      <w:r>
        <w:t xml:space="preserve">.</w:t>
      </w:r>
    </w:p>
    <w:p>
      <w:pPr>
        <w:pStyle w:val="BodyText"/>
      </w:pPr>
      <w:r>
        <w:t xml:space="preserve">The adoption metrics are striking. By December 2025, MCP had surpassed</w:t>
      </w:r>
      <w:r>
        <w:t xml:space="preserve"> </w:t>
      </w:r>
      <w:r>
        <w:rPr>
          <w:bCs/>
          <w:b/>
        </w:rPr>
        <w:t xml:space="preserve">97 million monthly SDK downloads</w:t>
      </w:r>
      <w:r>
        <w:t xml:space="preserve"> </w:t>
      </w:r>
      <w:r>
        <w:t xml:space="preserve">and</w:t>
      </w:r>
      <w:r>
        <w:t xml:space="preserve"> </w:t>
      </w:r>
      <w:r>
        <w:rPr>
          <w:bCs/>
          <w:b/>
        </w:rPr>
        <w:t xml:space="preserve">10,000 active servers</w:t>
      </w:r>
      <w:r>
        <w:t xml:space="preserve">, with native support across ChatGPT, Claude, Cursor, Gemini, Microsoft Copilot, and VS Code</w:t>
      </w:r>
      <w:r>
        <w:t xml:space="preserve"> </w:t>
      </w:r>
      <w:fldSimple w:instr="NOTEREF _Ref_Footnote_23 \h \f">
        <w:r>
          <w:rPr>
            <w:vertAlign w:val="superscript"/>
          </w:rPr>
          <w:t>23</w:t>
        </w:r>
      </w:fldSimple>
      <w:r>
        <w:t xml:space="preserve">. Every major framework now supports MCP: CrewAI and PydanticAI offer first-class native integration; OpenAI SDK provides five transport options; Google ADK and LangGraph support it through native or community integrations</w:t>
      </w:r>
      <w:r>
        <w:t xml:space="preserve"> </w:t>
      </w:r>
      <w:fldSimple w:instr="NOTEREF _Ref_Footnote_72 \h \f">
        <w:r>
          <w:rPr>
            <w:vertAlign w:val="superscript"/>
          </w:rPr>
          <w:t>72</w:t>
        </w:r>
      </w:fldSimple>
      <w:r>
        <w:t xml:space="preserve"> </w:t>
      </w:r>
      <w:fldSimple w:instr="NOTEREF _Ref_Footnote_86 \h \f">
        <w:r>
          <w:rPr>
            <w:vertAlign w:val="superscript"/>
          </w:rPr>
          <w:t>86</w:t>
        </w:r>
      </w:fldSimple>
      <w:r>
        <w:t xml:space="preserve">. This level of cross-platform adoption makes MCP the most successful open standard in AI history by adoption velocity.</w:t>
      </w:r>
    </w:p>
    <w:bookmarkEnd w:id="61"/>
    <w:bookmarkStart w:id="62" w:name="X1e2fb9151b56d02d768d9bfcc1f7cdd76db2d0c"/>
    <w:p>
      <w:pPr>
        <w:pStyle w:val="Heading4"/>
      </w:pPr>
      <w:r>
        <w:t xml:space="preserve">2.4.2 A2A Protocol: Horizontal Agent-to-Agent Communication</w:t>
      </w:r>
    </w:p>
    <w:p>
      <w:pPr>
        <w:pStyle w:val="FirstParagraph"/>
      </w:pPr>
      <w:r>
        <w:t xml:space="preserve">Where MCP solves the</w:t>
      </w:r>
      <w:r>
        <w:t xml:space="preserve"> </w:t>
      </w:r>
      <w:r>
        <w:t xml:space="preserve">“</w:t>
      </w:r>
      <w:r>
        <w:t xml:space="preserve">vertical</w:t>
      </w:r>
      <w:r>
        <w:t xml:space="preserve">”</w:t>
      </w:r>
      <w:r>
        <w:t xml:space="preserve"> </w:t>
      </w:r>
      <w:r>
        <w:t xml:space="preserve">problem (connecting one agent to tools), Google’s Agent-to-Agent Protocol solves the</w:t>
      </w:r>
      <w:r>
        <w:t xml:space="preserve"> </w:t>
      </w:r>
      <w:r>
        <w:t xml:space="preserve">“</w:t>
      </w:r>
      <w:r>
        <w:t xml:space="preserve">horizontal</w:t>
      </w:r>
      <w:r>
        <w:t xml:space="preserve">”</w:t>
      </w:r>
      <w:r>
        <w:t xml:space="preserve"> </w:t>
      </w:r>
      <w:r>
        <w:t xml:space="preserve">problem (enabling agents built on different frameworks to discover, authenticate, and collaborate with each other)</w:t>
      </w:r>
      <w:r>
        <w:t xml:space="preserve"> </w:t>
      </w:r>
      <w:r>
        <w:rPr>
          <w:vertAlign w:val="superscript"/>
        </w:rPr>
        <w:footnoteReference w:id="92"/>
      </w:r>
      <w:r>
        <w:t xml:space="preserve"> </w:t>
      </w:r>
      <w:fldSimple w:instr="NOTEREF _Ref_Footnote_24 \h \f">
        <w:r>
          <w:rPr>
            <w:vertAlign w:val="superscript"/>
          </w:rPr>
          <w:t>24</w:t>
        </w:r>
      </w:fldSimple>
      <w:r>
        <w:t xml:space="preserve">. A2A is designed to let agents collaborate in their natural, unstructured modalities even when they do not share memory, tools, or context</w:t>
      </w:r>
      <w:r>
        <w:t xml:space="preserve"> </w:t>
      </w:r>
      <w:fldSimple w:instr="NOTEREF _Ref_Footnote_24 \h \f">
        <w:r>
          <w:rPr>
            <w:vertAlign w:val="superscript"/>
          </w:rPr>
          <w:t>24</w:t>
        </w:r>
      </w:fldSimple>
      <w:r>
        <w:t xml:space="preserve">.</w:t>
      </w:r>
    </w:p>
    <w:p>
      <w:pPr>
        <w:pStyle w:val="BodyText"/>
      </w:pPr>
      <w:r>
        <w:t xml:space="preserve">The protocol’s core mechanism is the</w:t>
      </w:r>
      <w:r>
        <w:t xml:space="preserve"> </w:t>
      </w:r>
      <w:r>
        <w:rPr>
          <w:bCs/>
          <w:b/>
        </w:rPr>
        <w:t xml:space="preserve">Agent Card</w:t>
      </w:r>
      <w:r>
        <w:t xml:space="preserve">: a JSON-LD metadata document served at</w:t>
      </w:r>
      <w:r>
        <w:t xml:space="preserve"> </w:t>
      </w:r>
      <w:r>
        <w:rPr>
          <w:rStyle w:val="VerbatimChar"/>
        </w:rPr>
        <w:t xml:space="preserve">/.well-known/agent.json</w:t>
      </w:r>
      <w:r>
        <w:t xml:space="preserve"> </w:t>
      </w:r>
      <w:r>
        <w:t xml:space="preserve">describing an agent’s capabilities, supported task types, and authentication requirements</w:t>
      </w:r>
      <w:r>
        <w:t xml:space="preserve"> </w:t>
      </w:r>
      <w:fldSimple w:instr="NOTEREF _Ref_Footnote_89 \h \f">
        <w:r>
          <w:rPr>
            <w:vertAlign w:val="superscript"/>
          </w:rPr>
          <w:t>89</w:t>
        </w:r>
      </w:fldSimple>
      <w:r>
        <w:t xml:space="preserve">. Agents discover peers through these cards, then communicate via structured Task Objects (with lifecycle states: submitted → working → completed/failed/canceled) and Artifact outputs containing results in multiple formats</w:t>
      </w:r>
      <w:r>
        <w:t xml:space="preserve"> </w:t>
      </w:r>
      <w:fldSimple w:instr="NOTEREF _Ref_Footnote_24 \h \f">
        <w:r>
          <w:rPr>
            <w:vertAlign w:val="superscript"/>
          </w:rPr>
          <w:t>24</w:t>
        </w:r>
      </w:fldSimple>
      <w:r>
        <w:t xml:space="preserve"> </w:t>
      </w:r>
      <w:r>
        <w:rPr>
          <w:vertAlign w:val="superscript"/>
        </w:rPr>
        <w:footnoteReference w:id="93"/>
      </w:r>
      <w:r>
        <w:t xml:space="preserve">. At launch in April 2025, A2A had 50+ partners including Salesforce, PayPal, Atlassian, SAP, and ServiceNow, plus major consulting firms (Accenture, BCG, Deloitte, McKinsey, PwC)</w:t>
      </w:r>
      <w:r>
        <w:t xml:space="preserve"> </w:t>
      </w:r>
      <w:fldSimple w:instr="NOTEREF _Ref_Footnote_24 \h \f">
        <w:r>
          <w:rPr>
            <w:vertAlign w:val="superscript"/>
          </w:rPr>
          <w:t>24</w:t>
        </w:r>
      </w:fldSimple>
      <w:r>
        <w:t xml:space="preserve">.</w:t>
      </w:r>
    </w:p>
    <w:tbl>
      <w:tblPr>
        <w:tblStyle w:val="Table"/>
        <w:tblW w:type="pct" w:w="5000"/>
        <w:tblLook w:firstRow="1" w:lastRow="0" w:firstColumn="0" w:lastColumn="0" w:noHBand="0" w:noVBand="0" w:val="0020"/>
      </w:tblPr>
      <w:tblGrid>
        <w:gridCol w:w="2640"/>
        <w:gridCol w:w="2640"/>
        <w:gridCol w:w="2640"/>
      </w:tblGrid>
      <w:tr>
        <w:trPr>
          <w:tblHeader w:val="true"/>
        </w:trPr>
        <w:tc>
          <w:tcPr/>
          <w:p>
            <w:pPr>
              <w:pStyle w:val="Compact"/>
              <w:jc w:val="left"/>
            </w:pPr>
            <w:r>
              <w:t xml:space="preserve">Dimension</w:t>
            </w:r>
          </w:p>
        </w:tc>
        <w:tc>
          <w:tcPr/>
          <w:p>
            <w:pPr>
              <w:pStyle w:val="Compact"/>
              <w:jc w:val="left"/>
            </w:pPr>
            <w:r>
              <w:t xml:space="preserve">MCP (Model Context Protocol)</w:t>
            </w:r>
          </w:p>
        </w:tc>
        <w:tc>
          <w:tcPr/>
          <w:p>
            <w:pPr>
              <w:pStyle w:val="Compact"/>
              <w:jc w:val="left"/>
            </w:pPr>
            <w:r>
              <w:t xml:space="preserve">A2A (Agent-to-Agent Protocol)</w:t>
            </w:r>
          </w:p>
        </w:tc>
      </w:tr>
      <w:tr>
        <w:tc>
          <w:tcPr/>
          <w:p>
            <w:pPr>
              <w:pStyle w:val="Compact"/>
              <w:jc w:val="left"/>
            </w:pPr>
            <w:r>
              <w:rPr>
                <w:bCs/>
                <w:b/>
              </w:rPr>
              <w:t xml:space="preserve">Layer</w:t>
            </w:r>
          </w:p>
        </w:tc>
        <w:tc>
          <w:tcPr/>
          <w:p>
            <w:pPr>
              <w:pStyle w:val="Compact"/>
              <w:jc w:val="left"/>
            </w:pPr>
            <w:r>
              <w:t xml:space="preserve">Vertical: agent-to-tool</w:t>
            </w:r>
          </w:p>
        </w:tc>
        <w:tc>
          <w:tcPr/>
          <w:p>
            <w:pPr>
              <w:pStyle w:val="Compact"/>
              <w:jc w:val="left"/>
            </w:pPr>
            <w:r>
              <w:t xml:space="preserve">Horizontal: agent-to-agent</w:t>
            </w:r>
          </w:p>
        </w:tc>
      </w:tr>
      <w:tr>
        <w:tc>
          <w:tcPr/>
          <w:p>
            <w:pPr>
              <w:pStyle w:val="Compact"/>
              <w:jc w:val="left"/>
            </w:pPr>
            <w:r>
              <w:rPr>
                <w:bCs/>
                <w:b/>
              </w:rPr>
              <w:t xml:space="preserve">Problem solved</w:t>
            </w:r>
          </w:p>
        </w:tc>
        <w:tc>
          <w:tcPr/>
          <w:p>
            <w:pPr>
              <w:pStyle w:val="Compact"/>
              <w:jc w:val="left"/>
            </w:pPr>
            <w:r>
              <w:t xml:space="preserve">Tool/data integration</w:t>
            </w:r>
          </w:p>
        </w:tc>
        <w:tc>
          <w:tcPr/>
          <w:p>
            <w:pPr>
              <w:pStyle w:val="Compact"/>
              <w:jc w:val="left"/>
            </w:pPr>
            <w:r>
              <w:t xml:space="preserve">Cross-agent collaboration</w:t>
            </w:r>
          </w:p>
        </w:tc>
      </w:tr>
      <w:tr>
        <w:tc>
          <w:tcPr/>
          <w:p>
            <w:pPr>
              <w:pStyle w:val="Compact"/>
              <w:jc w:val="left"/>
            </w:pPr>
            <w:r>
              <w:rPr>
                <w:bCs/>
                <w:b/>
              </w:rPr>
              <w:t xml:space="preserve">Architecture</w:t>
            </w:r>
          </w:p>
        </w:tc>
        <w:tc>
          <w:tcPr/>
          <w:p>
            <w:pPr>
              <w:pStyle w:val="Compact"/>
              <w:jc w:val="left"/>
            </w:pPr>
            <w:r>
              <w:t xml:space="preserve">Client-server (JSON-RPC 2.0)</w:t>
            </w:r>
          </w:p>
        </w:tc>
        <w:tc>
          <w:tcPr/>
          <w:p>
            <w:pPr>
              <w:pStyle w:val="Compact"/>
              <w:jc w:val="left"/>
            </w:pPr>
            <w:r>
              <w:t xml:space="preserve">Peer-to-peer (HTTP, SSE)</w:t>
            </w:r>
          </w:p>
        </w:tc>
      </w:tr>
      <w:tr>
        <w:tc>
          <w:tcPr/>
          <w:p>
            <w:pPr>
              <w:pStyle w:val="Compact"/>
              <w:jc w:val="left"/>
            </w:pPr>
            <w:r>
              <w:rPr>
                <w:bCs/>
                <w:b/>
              </w:rPr>
              <w:t xml:space="preserve">Core primitive</w:t>
            </w:r>
          </w:p>
        </w:tc>
        <w:tc>
          <w:tcPr/>
          <w:p>
            <w:pPr>
              <w:pStyle w:val="Compact"/>
              <w:jc w:val="left"/>
            </w:pPr>
            <w:r>
              <w:t xml:space="preserve">Tools, Resources, Prompts</w:t>
            </w:r>
          </w:p>
        </w:tc>
        <w:tc>
          <w:tcPr/>
          <w:p>
            <w:pPr>
              <w:pStyle w:val="Compact"/>
              <w:jc w:val="left"/>
            </w:pPr>
            <w:r>
              <w:t xml:space="preserve">Agent Cards, Task Objects, Artifacts</w:t>
            </w:r>
          </w:p>
        </w:tc>
      </w:tr>
      <w:tr>
        <w:tc>
          <w:tcPr/>
          <w:p>
            <w:pPr>
              <w:pStyle w:val="Compact"/>
              <w:jc w:val="left"/>
            </w:pPr>
            <w:r>
              <w:rPr>
                <w:bCs/>
                <w:b/>
              </w:rPr>
              <w:t xml:space="preserve">Monthly adoption</w:t>
            </w:r>
          </w:p>
        </w:tc>
        <w:tc>
          <w:tcPr/>
          <w:p>
            <w:pPr>
              <w:pStyle w:val="Compact"/>
              <w:jc w:val="left"/>
            </w:pPr>
            <w:r>
              <w:t xml:space="preserve">97M+ SDK downloads</w:t>
            </w:r>
            <w:r>
              <w:t xml:space="preserve"> </w:t>
            </w:r>
            <w:fldSimple w:instr="NOTEREF _Ref_Footnote_23 \h \f">
              <w:r>
                <w:rPr>
                  <w:vertAlign w:val="superscript"/>
                </w:rPr>
                <w:t>23</w:t>
              </w:r>
            </w:fldSimple>
          </w:p>
        </w:tc>
        <w:tc>
          <w:tcPr/>
          <w:p>
            <w:pPr>
              <w:pStyle w:val="Compact"/>
              <w:jc w:val="left"/>
            </w:pPr>
            <w:r>
              <w:t xml:space="preserve">50+ launch partners</w:t>
            </w:r>
            <w:r>
              <w:t xml:space="preserve"> </w:t>
            </w:r>
            <w:fldSimple w:instr="NOTEREF _Ref_Footnote_24 \h \f">
              <w:r>
                <w:rPr>
                  <w:vertAlign w:val="superscript"/>
                </w:rPr>
                <w:t>24</w:t>
              </w:r>
            </w:fldSimple>
          </w:p>
        </w:tc>
      </w:tr>
      <w:tr>
        <w:tc>
          <w:tcPr/>
          <w:p>
            <w:pPr>
              <w:pStyle w:val="Compact"/>
              <w:jc w:val="left"/>
            </w:pPr>
            <w:r>
              <w:rPr>
                <w:bCs/>
                <w:b/>
              </w:rPr>
              <w:t xml:space="preserve">Active servers/endpoints</w:t>
            </w:r>
          </w:p>
        </w:tc>
        <w:tc>
          <w:tcPr/>
          <w:p>
            <w:pPr>
              <w:pStyle w:val="Compact"/>
              <w:jc w:val="left"/>
            </w:pPr>
            <w:r>
              <w:t xml:space="preserve">10,000+ MCP servers</w:t>
            </w:r>
            <w:r>
              <w:t xml:space="preserve"> </w:t>
            </w:r>
            <w:fldSimple w:instr="NOTEREF _Ref_Footnote_23 \h \f">
              <w:r>
                <w:rPr>
                  <w:vertAlign w:val="superscript"/>
                </w:rPr>
                <w:t>23</w:t>
              </w:r>
            </w:fldSimple>
          </w:p>
        </w:tc>
        <w:tc>
          <w:tcPr/>
          <w:p>
            <w:pPr>
              <w:pStyle w:val="Compact"/>
              <w:jc w:val="left"/>
            </w:pPr>
            <w:r>
              <w:t xml:space="preserve">Growing via partner integrations</w:t>
            </w:r>
          </w:p>
        </w:tc>
      </w:tr>
      <w:tr>
        <w:tc>
          <w:tcPr/>
          <w:p>
            <w:pPr>
              <w:pStyle w:val="Compact"/>
              <w:jc w:val="left"/>
            </w:pPr>
            <w:r>
              <w:rPr>
                <w:bCs/>
                <w:b/>
              </w:rPr>
              <w:t xml:space="preserve">Framework support</w:t>
            </w:r>
          </w:p>
        </w:tc>
        <w:tc>
          <w:tcPr/>
          <w:p>
            <w:pPr>
              <w:pStyle w:val="Compact"/>
              <w:jc w:val="left"/>
            </w:pPr>
            <w:r>
              <w:t xml:space="preserve">All major frameworks</w:t>
            </w:r>
            <w:r>
              <w:t xml:space="preserve"> </w:t>
            </w:r>
            <w:fldSimple w:instr="NOTEREF _Ref_Footnote_72 \h \f">
              <w:r>
                <w:rPr>
                  <w:vertAlign w:val="superscript"/>
                </w:rPr>
                <w:t>72</w:t>
              </w:r>
            </w:fldSimple>
          </w:p>
        </w:tc>
        <w:tc>
          <w:tcPr/>
          <w:p>
            <w:pPr>
              <w:pStyle w:val="Compact"/>
              <w:jc w:val="left"/>
            </w:pPr>
            <w:r>
              <w:t xml:space="preserve">Native in Google ADK, CrewAI; compatible with Semantic Kernel</w:t>
            </w:r>
            <w:r>
              <w:t xml:space="preserve"> </w:t>
            </w:r>
            <w:fldSimple w:instr="NOTEREF _Ref_Footnote_92 \h \f">
              <w:r>
                <w:rPr>
                  <w:vertAlign w:val="superscript"/>
                </w:rPr>
                <w:t>92</w:t>
              </w:r>
            </w:fldSimple>
          </w:p>
        </w:tc>
      </w:tr>
      <w:tr>
        <w:tc>
          <w:tcPr/>
          <w:p>
            <w:pPr>
              <w:pStyle w:val="Compact"/>
              <w:jc w:val="left"/>
            </w:pPr>
            <w:r>
              <w:rPr>
                <w:bCs/>
                <w:b/>
              </w:rPr>
              <w:t xml:space="preserve">Analogy</w:t>
            </w:r>
          </w:p>
        </w:tc>
        <w:tc>
          <w:tcPr/>
          <w:p>
            <w:pPr>
              <w:pStyle w:val="Compact"/>
              <w:jc w:val="left"/>
            </w:pPr>
            <w:r>
              <w:t xml:space="preserve">USB-C for AI</w:t>
            </w:r>
          </w:p>
        </w:tc>
        <w:tc>
          <w:tcPr/>
          <w:p>
            <w:pPr>
              <w:pStyle w:val="Compact"/>
              <w:jc w:val="left"/>
            </w:pPr>
            <w:r>
              <w:t xml:space="preserve">HTTP for agents</w:t>
            </w:r>
          </w:p>
        </w:tc>
      </w:tr>
    </w:tbl>
    <w:p>
      <w:pPr>
        <w:pStyle w:val="BodyText"/>
      </w:pPr>
      <w:r>
        <w:t xml:space="preserve">These protocols are</w:t>
      </w:r>
      <w:r>
        <w:t xml:space="preserve"> </w:t>
      </w:r>
      <w:r>
        <w:rPr>
          <w:bCs/>
          <w:b/>
        </w:rPr>
        <w:t xml:space="preserve">complementary, not competing</w:t>
      </w:r>
      <w:r>
        <w:t xml:space="preserve"> </w:t>
      </w:r>
      <w:r>
        <w:rPr>
          <w:vertAlign w:val="superscript"/>
        </w:rPr>
        <w:footnoteReference w:id="94"/>
      </w:r>
      <w:r>
        <w:t xml:space="preserve">. A typical production workflow uses A2A to delegate subtasks between specialized agents, with each specialist using MCP internally to invoke tools (database queries, search, API calls). Results return as artifacts via A2A, enabling end-to-end collaboration with modular tool access</w:t>
      </w:r>
      <w:r>
        <w:t xml:space="preserve"> </w:t>
      </w:r>
      <w:fldSimple w:instr="NOTEREF _Ref_Footnote_94 \h \f">
        <w:r>
          <w:rPr>
            <w:vertAlign w:val="superscript"/>
          </w:rPr>
          <w:t>94</w:t>
        </w:r>
      </w:fldSimple>
      <w:r>
        <w:t xml:space="preserve">. Google explicitly positioned A2A as complementary to MCP, and Microsoft confirmed this architectural pattern at Build 2025 with Azure AI Foundry supporting both protocols simultaneously</w:t>
      </w:r>
      <w:r>
        <w:t xml:space="preserve"> </w:t>
      </w:r>
      <w:fldSimple w:instr="NOTEREF _Ref_Footnote_89 \h \f">
        <w:r>
          <w:rPr>
            <w:vertAlign w:val="superscript"/>
          </w:rPr>
          <w:t>89</w:t>
        </w:r>
      </w:fldSimple>
      <w:r>
        <w:t xml:space="preserve">.</w:t>
      </w:r>
    </w:p>
    <w:bookmarkEnd w:id="62"/>
    <w:bookmarkStart w:id="63" w:name="linux-foundation-stewardship"/>
    <w:p>
      <w:pPr>
        <w:pStyle w:val="Heading4"/>
      </w:pPr>
      <w:r>
        <w:t xml:space="preserve">2.4.3 Linux Foundation Stewardship</w:t>
      </w:r>
    </w:p>
    <w:p>
      <w:pPr>
        <w:pStyle w:val="FirstParagraph"/>
      </w:pPr>
      <w:r>
        <w:t xml:space="preserve">Both protocols have achieved critical governance milestones under the Linux Foundation. On December 9, 2025, Anthropic donated MCP to the</w:t>
      </w:r>
      <w:r>
        <w:t xml:space="preserve"> </w:t>
      </w:r>
      <w:r>
        <w:rPr>
          <w:bCs/>
          <w:b/>
        </w:rPr>
        <w:t xml:space="preserve">Agentic AI Foundation (AAIF)</w:t>
      </w:r>
      <w:r>
        <w:t xml:space="preserve">, a Linux Foundation project co-founded by Anthropic, Block, and OpenAI, with platinum founding members including AWS, Bloomberg, Cloudflare, Google, and Microsoft</w:t>
      </w:r>
      <w:r>
        <w:t xml:space="preserve"> </w:t>
      </w:r>
      <w:fldSimple w:instr="NOTEREF _Ref_Footnote_25 \h \f">
        <w:r>
          <w:rPr>
            <w:vertAlign w:val="superscript"/>
          </w:rPr>
          <w:t>25</w:t>
        </w:r>
      </w:fldSimple>
      <w:r>
        <w:t xml:space="preserve"> </w:t>
      </w:r>
      <w:r>
        <w:rPr>
          <w:vertAlign w:val="superscript"/>
        </w:rPr>
        <w:footnoteReference w:id="95"/>
      </w:r>
      <w:r>
        <w:t xml:space="preserve">. On June 23, 2025, the Linux Foundation formally launched the A2A project with 100+ technology companies</w:t>
      </w:r>
      <w:r>
        <w:t xml:space="preserve"> </w:t>
      </w:r>
      <w:fldSimple w:instr="NOTEREF _Ref_Footnote_26 \h \f">
        <w:r>
          <w:rPr>
            <w:vertAlign w:val="superscript"/>
          </w:rPr>
          <w:t>26</w:t>
        </w:r>
      </w:fldSimple>
      <w:r>
        <w:t xml:space="preserve">.</w:t>
      </w:r>
    </w:p>
    <w:p>
      <w:pPr>
        <w:pStyle w:val="BodyText"/>
      </w:pPr>
      <w:r>
        <w:t xml:space="preserve">This governance structure matters for enterprise adoption. Linux Foundation stewardship ensures vendor-neutrality, long-term independence, and the same neutral governance model that supports Kubernetes, PyTorch, and Node.js</w:t>
      </w:r>
      <w:r>
        <w:t xml:space="preserve"> </w:t>
      </w:r>
      <w:fldSimple w:instr="NOTEREF _Ref_Footnote_23 \h \f">
        <w:r>
          <w:rPr>
            <w:vertAlign w:val="superscript"/>
          </w:rPr>
          <w:t>23</w:t>
        </w:r>
      </w:fldSimple>
      <w:r>
        <w:t xml:space="preserve">. Membership is individual rather than corporate — no seats are reserved for specific companies — and maintainers use the same contribution process as external contributors</w:t>
      </w:r>
      <w:r>
        <w:t xml:space="preserve"> </w:t>
      </w:r>
      <w:fldSimple w:instr="NOTEREF _Ref_Footnote_25 \h \f">
        <w:r>
          <w:rPr>
            <w:vertAlign w:val="superscript"/>
          </w:rPr>
          <w:t>25</w:t>
        </w:r>
      </w:fldSimple>
      <w:r>
        <w:t xml:space="preserve">. For procurement teams, this reduces strategic risk: investing in MCP or A2A compliance no longer means betting on a single vendor’s roadmap.</w:t>
      </w:r>
    </w:p>
    <w:bookmarkEnd w:id="63"/>
    <w:bookmarkStart w:id="64" w:name="Xbb4b520e38e62e4e4a391ab51961dbc96676da0"/>
    <w:p>
      <w:pPr>
        <w:pStyle w:val="Heading4"/>
      </w:pPr>
      <w:r>
        <w:t xml:space="preserve">2.4.4 The Shift from Framework-Specific to Protocol-Driven Architectures</w:t>
      </w:r>
    </w:p>
    <w:p>
      <w:pPr>
        <w:pStyle w:val="FirstParagraph"/>
      </w:pPr>
      <w:r>
        <w:t xml:space="preserve">The emergence of MCP and A2A as cross-framework standards signals a fundamental architectural evolution. The industry is converging on a layered architecture where</w:t>
      </w:r>
      <w:r>
        <w:t xml:space="preserve"> </w:t>
      </w:r>
      <w:r>
        <w:rPr>
          <w:bCs/>
          <w:b/>
        </w:rPr>
        <w:t xml:space="preserve">protocols, not frameworks, define interoperability</w:t>
      </w:r>
      <w:r>
        <w:t xml:space="preserve"> </w:t>
      </w:r>
      <w:r>
        <w:rPr>
          <w:vertAlign w:val="superscript"/>
        </w:rPr>
        <w:footnoteReference w:id="96"/>
      </w:r>
      <w:r>
        <w:t xml:space="preserve"> </w:t>
      </w:r>
      <w:r>
        <w:rPr>
          <w:vertAlign w:val="superscript"/>
        </w:rPr>
        <w:footnoteReference w:id="97"/>
      </w:r>
      <w:r>
        <w:t xml:space="preserve">. This represents the third phase of agentic AI evolution: from symbolic foundations (KQML, FIPA-ACL in the 1990s–2000s), through retrieval and in-model action (RAG, function calling, ReAct, 2020–2023), to protocol-oriented interoperability (MCP, A2A, 2024–2025)</w:t>
      </w:r>
      <w:r>
        <w:t xml:space="preserve"> </w:t>
      </w:r>
      <w:r>
        <w:rPr>
          <w:vertAlign w:val="superscript"/>
        </w:rPr>
        <w:footnoteReference w:id="98"/>
      </w:r>
      <w:r>
        <w:t xml:space="preserve">.</w:t>
      </w:r>
    </w:p>
    <w:p>
      <w:pPr>
        <w:pStyle w:val="BodyText"/>
      </w:pPr>
      <w:r>
        <w:t xml:space="preserve">The implications are substantial. Frameworks are evolving from monolithic platforms to protocol-compliant runtime environments</w:t>
      </w:r>
      <w:r>
        <w:t xml:space="preserve"> </w:t>
      </w:r>
      <w:r>
        <w:rPr>
          <w:vertAlign w:val="superscript"/>
        </w:rPr>
        <w:footnoteReference w:id="99"/>
      </w:r>
      <w:r>
        <w:t xml:space="preserve">. LangGraph positions itself as the durable execution layer; CrewAI differentiates through native protocol support; OpenAI SDK expands via LiteLLM for model flexibility; Google ADK uses protocols as ecosystem enablers. For enterprises, protocol compatibility is now a first-class selection criterion — frameworks without native MCP and A2A support face ecosystem isolation as the protocol stack becomes as fundamental as HTTP and REST for application architecture.</w:t>
      </w:r>
    </w:p>
    <w:p>
      <w:pPr>
        <w:pStyle w:val="BodyText"/>
      </w:pPr>
      <w:r>
        <w:t xml:space="preserve">Yet a critical gap persists. Protocols route tasks but do not govern context quality. As one analysis observed,</w:t>
      </w:r>
      <w:r>
        <w:t xml:space="preserve"> </w:t>
      </w:r>
      <w:r>
        <w:t xml:space="preserve">“</w:t>
      </w:r>
      <w:r>
        <w:t xml:space="preserve">an agent stack built on unversioned, unowned, ungoverned context will not become more accurate as you add more agents; it will become less accurate, because each new agent introduces a new surface for definition drift</w:t>
      </w:r>
      <w:r>
        <w:t xml:space="preserve">”</w:t>
      </w:r>
      <w:r>
        <w:t xml:space="preserve"> </w:t>
      </w:r>
      <w:fldSimple w:instr="NOTEREF _Ref_Footnote_89 \h \f">
        <w:r>
          <w:rPr>
            <w:vertAlign w:val="superscript"/>
          </w:rPr>
          <w:t>89</w:t>
        </w:r>
      </w:fldSimple>
      <w:r>
        <w:t xml:space="preserve">. This governance gap — spanning context versioning, MCP gateway security, and non-human identity management — represents the next frontier that must be addressed as the protocol layer matures.</w:t>
      </w:r>
    </w:p>
    <w:p>
      <w:r>
        <w:pict>
          <v:rect style="width:0;height:1.5pt" o:hralign="center" o:hrstd="t" o:hr="t"/>
        </w:pict>
      </w:r>
    </w:p>
    <w:bookmarkEnd w:id="64"/>
    <w:bookmarkEnd w:id="65"/>
    <w:bookmarkEnd w:id="66"/>
    <w:bookmarkStart w:id="84" w:name="X2778df789d1ca3f4bf7e233fd66e5dbc899269c"/>
    <w:p>
      <w:pPr>
        <w:pStyle w:val="Heading2"/>
      </w:pPr>
      <w:r>
        <w:t xml:space="preserve">3. SLM Capabilities and Constraints in Agentic Contexts</w:t>
      </w:r>
    </w:p>
    <w:p>
      <w:pPr>
        <w:pStyle w:val="FirstParagraph"/>
      </w:pPr>
      <w:r>
        <w:t xml:space="preserve">The selection of a language model for an agentic node is not simply a question of picking the largest parameter count that fits the budget. Rather, it is a constrained optimization problem in which inference latency, schema adherence, reasoning depth, and token cost trade off against one another in ways that vary by task type. Small language models—defined here as those between 0.5B and approximately 14B parameters—have emerged as viable primary compute units for a large fraction of agentic workloads, provided their capabilities and limitations are understood with precision.</w:t>
      </w:r>
    </w:p>
    <w:p>
      <w:pPr>
        <w:pStyle w:val="BodyText"/>
      </w:pPr>
      <w:r>
        <w:t xml:space="preserve">This chapter maps the SLM landscape as of mid-2026, profiles the five model families most frequently deployed in agentic systems, and provides a rigorous, evidence-based assessment of what these models can and cannot do. The analysis is grounded in the Berkeley Function Calling Leaderboard (BFCL) v4—the de facto standard for evaluating agentic tool use—and complemented by hallucination benchmarks, on-device deployment studies, and production case data. The core finding is that SLMs excel at narrow, schema-bound, repetitive tasks and match or exceed frontier LLMs on such workloads at 10–100x lower token cost, but they degrade sharply on multi-step reasoning, open-ended problem solving, and novel task generalization</w:t>
      </w:r>
      <w:r>
        <w:t xml:space="preserve"> </w:t>
      </w:r>
      <w:fldSimple w:instr="NOTEREF _Ref_Footnote_5 \h \f">
        <w:r>
          <w:rPr>
            <w:vertAlign w:val="superscript"/>
          </w:rPr>
          <w:t>5</w:t>
        </w:r>
      </w:fldSimple>
      <w:r>
        <w:t xml:space="preserve"> </w:t>
      </w:r>
      <w:r>
        <w:rPr>
          <w:vertAlign w:val="superscript"/>
        </w:rPr>
        <w:footnoteReference w:id="100"/>
      </w:r>
      <w:r>
        <w:t xml:space="preserve">.</w:t>
      </w:r>
    </w:p>
    <w:bookmarkStart w:id="72" w:name="X134efc9ee04689cd99b02caf3977c1031ec29cb"/>
    <w:p>
      <w:pPr>
        <w:pStyle w:val="Heading3"/>
      </w:pPr>
      <w:r>
        <w:t xml:space="preserve">3.1 The SLM Landscape: Key Models for Agentic Deployment</w:t>
      </w:r>
    </w:p>
    <w:p>
      <w:pPr>
        <w:pStyle w:val="FirstParagraph"/>
      </w:pPr>
      <w:r>
        <w:t xml:space="preserve">The SLM ecosystem has matured rapidly. In 2024, the category was dominated by a handful of research releases with limited tool-calling support. By mid-2026, every major model family ships variants with native function-calling (FC) tokens, granular size gradations, and BFCL-evaluated performance. The five families below represent the most common selections in production agentic stacks.</w:t>
      </w:r>
    </w:p>
    <w:bookmarkStart w:id="67" w:name="X908669cf2e5295b622e4827280f75d7bcb93a69"/>
    <w:p>
      <w:pPr>
        <w:pStyle w:val="Heading4"/>
      </w:pPr>
      <w:r>
        <w:t xml:space="preserve">3.1.1 Microsoft Phi-4 (14B) and Phi-4-mini (3.8B): Strongest Reasoning in the Small Bracket</w:t>
      </w:r>
    </w:p>
    <w:p>
      <w:pPr>
        <w:pStyle w:val="FirstParagraph"/>
      </w:pPr>
      <w:r>
        <w:t xml:space="preserve">Phi-4 (14B) occupies the upper boundary of the SLM range but punches above its weight on reasoning-intensive benchmarks. It records 84.8% on MMLU, 80.4% on MATH, 82.6% on HumanEval, and 56.1% on GPQA Diamond—outperforming GPT-4o on the latter two benchmarks (GPT-4o scores 76.6% on MATH and 53.6% on GPQA Diamond)</w:t>
      </w:r>
      <w:r>
        <w:t xml:space="preserve"> </w:t>
      </w:r>
      <w:r>
        <w:rPr>
          <w:vertAlign w:val="superscript"/>
        </w:rPr>
        <w:footnoteReference w:id="101"/>
      </w:r>
      <w:r>
        <w:t xml:space="preserve">. These figures make Phi-4 the strongest open-weight model in the sub-15B bracket for tasks requiring mathematical reasoning, code generation, and structured planning.</w:t>
      </w:r>
    </w:p>
    <w:p>
      <w:pPr>
        <w:pStyle w:val="BodyText"/>
      </w:pPr>
      <w:r>
        <w:t xml:space="preserve">However, the base Phi-4 model has two notable constraints for agentic deployment. First, it lacks native function-calling tokens; its BFCL v4 score of 27.81 is achieved in prompt mode, which is inherently less robust to input-format fluctuations than FC-native models</w:t>
      </w:r>
      <w:r>
        <w:t xml:space="preserve"> </w:t>
      </w:r>
      <w:r>
        <w:rPr>
          <w:vertAlign w:val="superscript"/>
        </w:rPr>
        <w:footnoteReference w:id="102"/>
      </w:r>
      <w:r>
        <w:t xml:space="preserve">. Second, its 16K context window is</w:t>
      </w:r>
      <w:r>
        <w:t xml:space="preserve"> </w:t>
      </w:r>
      <w:r>
        <w:t xml:space="preserve">“</w:t>
      </w:r>
      <w:r>
        <w:t xml:space="preserve">severely limited</w:t>
      </w:r>
      <w:r>
        <w:t xml:space="preserve">”</w:t>
      </w:r>
      <w:r>
        <w:t xml:space="preserve"> </w:t>
      </w:r>
      <w:r>
        <w:t xml:space="preserve">for multi-turn agentic conversations, RAG pipelines processing full documents, or document classification at scale</w:t>
      </w:r>
      <w:r>
        <w:t xml:space="preserve"> </w:t>
      </w:r>
      <w:fldSimple w:instr="NOTEREF _Ref_Footnote_101 \h \f">
        <w:r>
          <w:rPr>
            <w:vertAlign w:val="superscript"/>
          </w:rPr>
          <w:t>101</w:t>
        </w:r>
      </w:fldSimple>
      <w:r>
        <w:t xml:space="preserve">.</w:t>
      </w:r>
    </w:p>
    <w:p>
      <w:pPr>
        <w:pStyle w:val="BodyText"/>
      </w:pPr>
      <w:r>
        <w:t xml:space="preserve">Phi-4-mini (3.8B) addresses the first of these gaps. It ships with native function-calling support and achieves a BFCL score of 70.3 in FC mode—more than doubling the base model’s prompt-based score and placing it among the top sub-7B models on the leaderboard</w:t>
      </w:r>
      <w:r>
        <w:t xml:space="preserve"> </w:t>
      </w:r>
      <w:r>
        <w:rPr>
          <w:vertAlign w:val="superscript"/>
        </w:rPr>
        <w:footnoteReference w:id="103"/>
      </w:r>
      <w:r>
        <w:t xml:space="preserve">. The mini variant also extends the context window to 128K, making it suitable for most agentic use cases. Post-deployment studies show that fine-tuned Phi-4-mini achieves greater than 95% accuracy on 5-tool function-calling tasks, with mobile inference latency of approximately 35–40 tokens per second on an iPhone 14 Pro and 27–30 tokens per second on a Pixel 8</w:t>
      </w:r>
      <w:r>
        <w:t xml:space="preserve"> </w:t>
      </w:r>
      <w:fldSimple w:instr="NOTEREF _Ref_Footnote_13 \h \f">
        <w:r>
          <w:rPr>
            <w:vertAlign w:val="superscript"/>
          </w:rPr>
          <w:t>13</w:t>
        </w:r>
      </w:fldSimple>
      <w:r>
        <w:t xml:space="preserve">.</w:t>
      </w:r>
    </w:p>
    <w:bookmarkEnd w:id="67"/>
    <w:bookmarkStart w:id="68" w:name="Xf50cc6f22cf137ee108713cd47de6b38b86a5a9"/>
    <w:p>
      <w:pPr>
        <w:pStyle w:val="Heading4"/>
      </w:pPr>
      <w:r>
        <w:t xml:space="preserve">3.1.2 Meta Llama 3.2 (1B/3B): On-Device Deployment Leader with Tool Calling</w:t>
      </w:r>
    </w:p>
    <w:p>
      <w:pPr>
        <w:pStyle w:val="FirstParagraph"/>
      </w:pPr>
      <w:r>
        <w:t xml:space="preserve">Meta’s Llama 3.2 family is explicitly designed for on-device, privacy-preserving agentic applications. The 1B and 3B models offer multilingual text generation and native tool-calling capabilities, positioning them as the default choice for applications where data must not leave the device</w:t>
      </w:r>
      <w:r>
        <w:t xml:space="preserve"> </w:t>
      </w:r>
      <w:r>
        <w:rPr>
          <w:vertAlign w:val="superscript"/>
        </w:rPr>
        <w:footnoteReference w:id="104"/>
      </w:r>
      <w:r>
        <w:t xml:space="preserve">. The 3B variant records a BFCL V2 score of 67.0, a Nexus score of 77.7, and an IFEval (instruction following) score of 77.4</w:t>
      </w:r>
      <w:r>
        <w:t xml:space="preserve"> </w:t>
      </w:r>
      <w:r>
        <w:rPr>
          <w:vertAlign w:val="superscript"/>
        </w:rPr>
        <w:footnoteReference w:id="105"/>
      </w:r>
      <w:r>
        <w:t xml:space="preserve">. On BFCL v4, the 3B model scores 20.88 in FC mode</w:t>
      </w:r>
      <w:r>
        <w:t xml:space="preserve"> </w:t>
      </w:r>
      <w:r>
        <w:rPr>
          <w:vertAlign w:val="superscript"/>
        </w:rPr>
        <w:footnoteReference w:id="106"/>
      </w:r>
      <w:r>
        <w:t xml:space="preserve">.</w:t>
      </w:r>
    </w:p>
    <w:p>
      <w:pPr>
        <w:pStyle w:val="BodyText"/>
      </w:pPr>
      <w:r>
        <w:t xml:space="preserve">Llama 3.2’s architectural significance lies in its balance of capability and deployability. The 3B model runs on CPU-equipped laptops with INT4 quantization via the GGUF format, achieving a 68.66% size reduction (from 6.00 GB to 1.88 GB) while retaining competitive MMLU performance</w:t>
      </w:r>
      <w:r>
        <w:t xml:space="preserve"> </w:t>
      </w:r>
      <w:fldSimple w:instr="NOTEREF _Ref_Footnote_100 \h \f">
        <w:r>
          <w:rPr>
            <w:vertAlign w:val="superscript"/>
          </w:rPr>
          <w:t>100</w:t>
        </w:r>
      </w:fldSimple>
      <w:r>
        <w:t xml:space="preserve"> </w:t>
      </w:r>
      <w:r>
        <w:rPr>
          <w:vertAlign w:val="superscript"/>
        </w:rPr>
        <w:footnoteReference w:id="107"/>
      </w:r>
      <w:r>
        <w:t xml:space="preserve">. This makes it a common choice for routing, classification, and short-form chat in production agent stacks where edge deployment is a hard requirement</w:t>
      </w:r>
      <w:r>
        <w:t xml:space="preserve"> </w:t>
      </w:r>
      <w:fldSimple w:instr="NOTEREF _Ref_Footnote_100 \h \f">
        <w:r>
          <w:rPr>
            <w:vertAlign w:val="superscript"/>
          </w:rPr>
          <w:t>100</w:t>
        </w:r>
      </w:fldSimple>
      <w:r>
        <w:t xml:space="preserve">. The 1B variant serves as the entry point for true edge inference on memory-constrained devices, though its reasoning capabilities are more limited.</w:t>
      </w:r>
    </w:p>
    <w:bookmarkEnd w:id="68"/>
    <w:bookmarkStart w:id="69" w:name="X00b14c8779b38d615997f02cff6006a367e38dd"/>
    <w:p>
      <w:pPr>
        <w:pStyle w:val="Heading4"/>
      </w:pPr>
      <w:r>
        <w:t xml:space="preserve">3.1.3 Qwen 2.5 (0.5B–72B): Granular Sizing Lineup with Strong JSON and Instruction Following</w:t>
      </w:r>
    </w:p>
    <w:p>
      <w:pPr>
        <w:pStyle w:val="FirstParagraph"/>
      </w:pPr>
      <w:r>
        <w:t xml:space="preserve">Alibaba’s Qwen 2.5 series offers the most granular parameter sizing of any major model family, spanning 0.5B, 1.5B, 3B, 7B, 14B, 32B, and 72B variants. The small end—0.5B, 1.5B, and 3B—is particularly valuable for agentic workflows because it allows engineers to size each agent node precisely, avoiding the cost of over-provisioning</w:t>
      </w:r>
      <w:r>
        <w:t xml:space="preserve"> </w:t>
      </w:r>
      <w:fldSimple w:instr="NOTEREF _Ref_Footnote_100 \h \f">
        <w:r>
          <w:rPr>
            <w:vertAlign w:val="superscript"/>
          </w:rPr>
          <w:t>100</w:t>
        </w:r>
      </w:fldSimple>
      <w:r>
        <w:t xml:space="preserve">. Qwen2.5-7B records 74.2% on MMLU and 49.8% on MATH, while the 3B variant matches the performance of the previous generation’s 7B model, demonstrating significant architectural optimization</w:t>
      </w:r>
      <w:r>
        <w:t xml:space="preserve"> </w:t>
      </w:r>
      <w:r>
        <w:rPr>
          <w:vertAlign w:val="superscript"/>
        </w:rPr>
        <w:footnoteReference w:id="108"/>
      </w:r>
      <w:r>
        <w:t xml:space="preserve"> </w:t>
      </w:r>
      <w:r>
        <w:rPr>
          <w:vertAlign w:val="superscript"/>
        </w:rPr>
        <w:footnoteReference w:id="109"/>
      </w:r>
      <w:r>
        <w:t xml:space="preserve">.</w:t>
      </w:r>
    </w:p>
    <w:p>
      <w:pPr>
        <w:pStyle w:val="BodyText"/>
      </w:pPr>
      <w:r>
        <w:t xml:space="preserve">Qwen 2.5’s standout strength for agentic use is structured output generation. The model family achieved significant improvements in JSON generation and instruction following compared to its predecessors, making it a reliable choice for API orchestration nodes where schema validity is non-negotiable</w:t>
      </w:r>
      <w:r>
        <w:t xml:space="preserve"> </w:t>
      </w:r>
      <w:fldSimple w:instr="NOTEREF _Ref_Footnote_109 \h \f">
        <w:r>
          <w:rPr>
            <w:vertAlign w:val="superscript"/>
          </w:rPr>
          <w:t>109</w:t>
        </w:r>
      </w:fldSimple>
      <w:r>
        <w:t xml:space="preserve">. In production pipelines, a fine-tuned Qwen 2.5 1.5B frequently serves as the router agent, trained on (query, target_tool) pairs to classify incoming requests and dispatch them to specialist agents downstream</w:t>
      </w:r>
      <w:r>
        <w:t xml:space="preserve"> </w:t>
      </w:r>
      <w:fldSimple w:instr="NOTEREF _Ref_Footnote_100 \h \f">
        <w:r>
          <w:rPr>
            <w:vertAlign w:val="superscript"/>
          </w:rPr>
          <w:t>100</w:t>
        </w:r>
      </w:fldSimple>
      <w:r>
        <w:t xml:space="preserve">. The 0.5B Instruct variant, despite its minimal footprint, has been validated as an effective router agent for intent-based workflows when fine-tuned with LoRA rank 8–32</w:t>
      </w:r>
      <w:r>
        <w:t xml:space="preserve"> </w:t>
      </w:r>
      <w:fldSimple w:instr="NOTEREF _Ref_Footnote_18 \h \f">
        <w:r>
          <w:rPr>
            <w:vertAlign w:val="superscript"/>
          </w:rPr>
          <w:t>18</w:t>
        </w:r>
      </w:fldSimple>
      <w:r>
        <w:t xml:space="preserve">.</w:t>
      </w:r>
    </w:p>
    <w:bookmarkEnd w:id="69"/>
    <w:bookmarkStart w:id="70" w:name="X579845042f21b203fc62318a358affb25d58d55"/>
    <w:p>
      <w:pPr>
        <w:pStyle w:val="Heading4"/>
      </w:pPr>
      <w:r>
        <w:t xml:space="preserve">3.1.4 Mistral Ministral (3B/8B): Notably Strong Tool-Caller</w:t>
      </w:r>
    </w:p>
    <w:p>
      <w:pPr>
        <w:pStyle w:val="FirstParagraph"/>
      </w:pPr>
      <w:r>
        <w:t xml:space="preserve">Mistral’s Ministral 3B and 8B models are positioned as tool-calling specialists. The 8B variant scores 26.77 on BFCL v4 in FC mode and is described in deployment literature as</w:t>
      </w:r>
      <w:r>
        <w:t xml:space="preserve"> </w:t>
      </w:r>
      <w:r>
        <w:t xml:space="preserve">“</w:t>
      </w:r>
      <w:r>
        <w:t xml:space="preserve">a notably strong tool-caller for its size</w:t>
      </w:r>
      <w:r>
        <w:t xml:space="preserve">”</w:t>
      </w:r>
      <w:r>
        <w:t xml:space="preserve"> </w:t>
      </w:r>
      <w:r>
        <w:t xml:space="preserve">and</w:t>
      </w:r>
      <w:r>
        <w:t xml:space="preserve"> </w:t>
      </w:r>
      <w:r>
        <w:t xml:space="preserve">“</w:t>
      </w:r>
      <w:r>
        <w:t xml:space="preserve">a common choice for the function-routing agent inside a multi-agent system</w:t>
      </w:r>
      <w:r>
        <w:t xml:space="preserve">”</w:t>
      </w:r>
      <w:r>
        <w:t xml:space="preserve"> </w:t>
      </w:r>
      <w:fldSimple w:instr="NOTEREF _Ref_Footnote_100 \h \f">
        <w:r>
          <w:rPr>
            <w:vertAlign w:val="superscript"/>
          </w:rPr>
          <w:t>100</w:t>
        </w:r>
      </w:fldSimple>
      <w:r>
        <w:t xml:space="preserve"> </w:t>
      </w:r>
      <w:fldSimple w:instr="NOTEREF _Ref_Footnote_102 \h \f">
        <w:r>
          <w:rPr>
            <w:vertAlign w:val="superscript"/>
          </w:rPr>
          <w:t>102</w:t>
        </w:r>
      </w:fldSimple>
      <w:r>
        <w:t xml:space="preserve">. Mistral 7B (the precursor to the Ministral line) achieves over 60% of the performance of models 10 times its size on reasoning and knowledge tasks, establishing a favorable capability-to-parameter ratio</w:t>
      </w:r>
      <w:r>
        <w:t xml:space="preserve"> </w:t>
      </w:r>
      <w:r>
        <w:rPr>
          <w:vertAlign w:val="superscript"/>
        </w:rPr>
        <w:footnoteReference w:id="110"/>
      </w:r>
      <w:r>
        <w:t xml:space="preserve">.</w:t>
      </w:r>
    </w:p>
    <w:p>
      <w:pPr>
        <w:pStyle w:val="BodyText"/>
      </w:pPr>
      <w:r>
        <w:t xml:space="preserve">Context window varies by Ministral variant, ranging from 32K to 128K, which provides flexibility for different agentic roles</w:t>
      </w:r>
      <w:r>
        <w:t xml:space="preserve"> </w:t>
      </w:r>
      <w:fldSimple w:instr="NOTEREF _Ref_Footnote_100 \h \f">
        <w:r>
          <w:rPr>
            <w:vertAlign w:val="superscript"/>
          </w:rPr>
          <w:t>100</w:t>
        </w:r>
      </w:fldSimple>
      <w:r>
        <w:t xml:space="preserve">. The Ministral 8B is frequently deployed as a verifier agent—fine-tuned to validate outputs from other agents—where its strong tool-calling consistency and moderate reasoning capability combine to provide reliable quality control without the cost of a frontier LLM</w:t>
      </w:r>
      <w:r>
        <w:t xml:space="preserve"> </w:t>
      </w:r>
      <w:fldSimple w:instr="NOTEREF _Ref_Footnote_100 \h \f">
        <w:r>
          <w:rPr>
            <w:vertAlign w:val="superscript"/>
          </w:rPr>
          <w:t>100</w:t>
        </w:r>
      </w:fldSimple>
      <w:r>
        <w:t xml:space="preserve">.</w:t>
      </w:r>
    </w:p>
    <w:bookmarkEnd w:id="70"/>
    <w:bookmarkStart w:id="71" w:name="X1deeac7fe07269c33d745bfbf1a7f44f84db894"/>
    <w:p>
      <w:pPr>
        <w:pStyle w:val="Heading4"/>
      </w:pPr>
      <w:r>
        <w:t xml:space="preserve">3.1.5 SLM Comparison: Parameters, Context Window, BFCL Score, License, and Optimal Agentic Role</w:t>
      </w:r>
    </w:p>
    <w:tbl>
      <w:tblPr>
        <w:tblStyle w:val="Table"/>
        <w:tblW w:type="pct" w:w="5000"/>
        <w:tblLook w:firstRow="1" w:lastRow="0" w:firstColumn="0" w:lastColumn="0" w:noHBand="0" w:noVBand="0" w:val="0020"/>
      </w:tblPr>
      <w:tblGrid>
        <w:gridCol w:w="652"/>
        <w:gridCol w:w="1024"/>
        <w:gridCol w:w="1490"/>
        <w:gridCol w:w="1956"/>
        <w:gridCol w:w="838"/>
        <w:gridCol w:w="1956"/>
      </w:tblGrid>
      <w:tr>
        <w:trPr>
          <w:tblHeader w:val="true"/>
        </w:trPr>
        <w:tc>
          <w:tcPr/>
          <w:p>
            <w:pPr>
              <w:pStyle w:val="Compact"/>
              <w:jc w:val="left"/>
            </w:pPr>
            <w:r>
              <w:t xml:space="preserve">Model</w:t>
            </w:r>
          </w:p>
        </w:tc>
        <w:tc>
          <w:tcPr/>
          <w:p>
            <w:pPr>
              <w:pStyle w:val="Compact"/>
              <w:jc w:val="left"/>
            </w:pPr>
            <w:r>
              <w:t xml:space="preserve">Parameters</w:t>
            </w:r>
          </w:p>
        </w:tc>
        <w:tc>
          <w:tcPr/>
          <w:p>
            <w:pPr>
              <w:pStyle w:val="Compact"/>
              <w:jc w:val="left"/>
            </w:pPr>
            <w:r>
              <w:t xml:space="preserve">Context Window</w:t>
            </w:r>
          </w:p>
        </w:tc>
        <w:tc>
          <w:tcPr/>
          <w:p>
            <w:pPr>
              <w:pStyle w:val="Compact"/>
              <w:jc w:val="left"/>
            </w:pPr>
            <w:r>
              <w:t xml:space="preserve">BFCL v4 Score (Mode)</w:t>
            </w:r>
          </w:p>
        </w:tc>
        <w:tc>
          <w:tcPr/>
          <w:p>
            <w:pPr>
              <w:pStyle w:val="Compact"/>
              <w:jc w:val="left"/>
            </w:pPr>
            <w:r>
              <w:t xml:space="preserve">License</w:t>
            </w:r>
          </w:p>
        </w:tc>
        <w:tc>
          <w:tcPr/>
          <w:p>
            <w:pPr>
              <w:pStyle w:val="Compact"/>
              <w:jc w:val="left"/>
            </w:pPr>
            <w:r>
              <w:t xml:space="preserve">Optimal Agentic Role</w:t>
            </w:r>
          </w:p>
        </w:tc>
      </w:tr>
      <w:tr>
        <w:tc>
          <w:tcPr/>
          <w:p>
            <w:pPr>
              <w:pStyle w:val="Compact"/>
              <w:jc w:val="left"/>
            </w:pPr>
            <w:r>
              <w:t xml:space="preserve">Microsoft Phi-4</w:t>
            </w:r>
          </w:p>
        </w:tc>
        <w:tc>
          <w:tcPr/>
          <w:p>
            <w:pPr>
              <w:pStyle w:val="Compact"/>
              <w:jc w:val="left"/>
            </w:pPr>
            <w:r>
              <w:t xml:space="preserve">14B</w:t>
            </w:r>
          </w:p>
        </w:tc>
        <w:tc>
          <w:tcPr/>
          <w:p>
            <w:pPr>
              <w:pStyle w:val="Compact"/>
              <w:jc w:val="left"/>
            </w:pPr>
            <w:r>
              <w:t xml:space="preserve">16K</w:t>
            </w:r>
          </w:p>
        </w:tc>
        <w:tc>
          <w:tcPr/>
          <w:p>
            <w:pPr>
              <w:pStyle w:val="Compact"/>
              <w:jc w:val="left"/>
            </w:pPr>
            <w:r>
              <w:t xml:space="preserve">27.81 (Prompt)</w:t>
            </w:r>
            <w:r>
              <w:t xml:space="preserve"> </w:t>
            </w:r>
            <w:fldSimple w:instr="NOTEREF _Ref_Footnote_102 \h \f">
              <w:r>
                <w:rPr>
                  <w:vertAlign w:val="superscript"/>
                </w:rPr>
                <w:t>102</w:t>
              </w:r>
            </w:fldSimple>
          </w:p>
        </w:tc>
        <w:tc>
          <w:tcPr/>
          <w:p>
            <w:pPr>
              <w:pStyle w:val="Compact"/>
              <w:jc w:val="left"/>
            </w:pPr>
            <w:r>
              <w:t xml:space="preserve">MIT</w:t>
            </w:r>
          </w:p>
        </w:tc>
        <w:tc>
          <w:tcPr/>
          <w:p>
            <w:pPr>
              <w:pStyle w:val="Compact"/>
              <w:jc w:val="left"/>
            </w:pPr>
            <w:r>
              <w:t xml:space="preserve">Reasoning agent, synthesis node, code generation</w:t>
            </w:r>
          </w:p>
        </w:tc>
      </w:tr>
      <w:tr>
        <w:tc>
          <w:tcPr/>
          <w:p>
            <w:pPr>
              <w:pStyle w:val="Compact"/>
              <w:jc w:val="left"/>
            </w:pPr>
            <w:r>
              <w:t xml:space="preserve">Microsoft Phi-4-mini</w:t>
            </w:r>
          </w:p>
        </w:tc>
        <w:tc>
          <w:tcPr/>
          <w:p>
            <w:pPr>
              <w:pStyle w:val="Compact"/>
              <w:jc w:val="left"/>
            </w:pPr>
            <w:r>
              <w:t xml:space="preserve">3.8B</w:t>
            </w:r>
          </w:p>
        </w:tc>
        <w:tc>
          <w:tcPr/>
          <w:p>
            <w:pPr>
              <w:pStyle w:val="Compact"/>
              <w:jc w:val="left"/>
            </w:pPr>
            <w:r>
              <w:t xml:space="preserve">128K</w:t>
            </w:r>
          </w:p>
        </w:tc>
        <w:tc>
          <w:tcPr/>
          <w:p>
            <w:pPr>
              <w:pStyle w:val="Compact"/>
              <w:jc w:val="left"/>
            </w:pPr>
            <w:r>
              <w:t xml:space="preserve">70.3 (FC)</w:t>
            </w:r>
            <w:r>
              <w:t xml:space="preserve"> </w:t>
            </w:r>
            <w:fldSimple w:instr="NOTEREF _Ref_Footnote_103 \h \f">
              <w:r>
                <w:rPr>
                  <w:vertAlign w:val="superscript"/>
                </w:rPr>
                <w:t>103</w:t>
              </w:r>
            </w:fldSimple>
          </w:p>
        </w:tc>
        <w:tc>
          <w:tcPr/>
          <w:p>
            <w:pPr>
              <w:pStyle w:val="Compact"/>
              <w:jc w:val="left"/>
            </w:pPr>
            <w:r>
              <w:t xml:space="preserve">MIT</w:t>
            </w:r>
          </w:p>
        </w:tc>
        <w:tc>
          <w:tcPr/>
          <w:p>
            <w:pPr>
              <w:pStyle w:val="Compact"/>
              <w:jc w:val="left"/>
            </w:pPr>
            <w:r>
              <w:t xml:space="preserve">Multi-turn tool calling, mobile agent, extraction</w:t>
            </w:r>
          </w:p>
        </w:tc>
      </w:tr>
      <w:tr>
        <w:tc>
          <w:tcPr/>
          <w:p>
            <w:pPr>
              <w:pStyle w:val="Compact"/>
              <w:jc w:val="left"/>
            </w:pPr>
            <w:r>
              <w:t xml:space="preserve">Meta Llama 3.2</w:t>
            </w:r>
          </w:p>
        </w:tc>
        <w:tc>
          <w:tcPr/>
          <w:p>
            <w:pPr>
              <w:pStyle w:val="Compact"/>
              <w:jc w:val="left"/>
            </w:pPr>
            <w:r>
              <w:t xml:space="preserve">1B / 3B</w:t>
            </w:r>
          </w:p>
        </w:tc>
        <w:tc>
          <w:tcPr/>
          <w:p>
            <w:pPr>
              <w:pStyle w:val="Compact"/>
              <w:jc w:val="left"/>
            </w:pPr>
            <w:r>
              <w:t xml:space="preserve">128K</w:t>
            </w:r>
          </w:p>
        </w:tc>
        <w:tc>
          <w:tcPr/>
          <w:p>
            <w:pPr>
              <w:pStyle w:val="Compact"/>
              <w:jc w:val="left"/>
            </w:pPr>
            <w:r>
              <w:t xml:space="preserve">20.88 (3B, FC)</w:t>
            </w:r>
            <w:r>
              <w:t xml:space="preserve"> </w:t>
            </w:r>
            <w:fldSimple w:instr="NOTEREF _Ref_Footnote_106 \h \f">
              <w:r>
                <w:rPr>
                  <w:vertAlign w:val="superscript"/>
                </w:rPr>
                <w:t>106</w:t>
              </w:r>
            </w:fldSimple>
          </w:p>
        </w:tc>
        <w:tc>
          <w:tcPr/>
          <w:p>
            <w:pPr>
              <w:pStyle w:val="Compact"/>
              <w:jc w:val="left"/>
            </w:pPr>
            <w:r>
              <w:t xml:space="preserve">Llama 3.2</w:t>
            </w:r>
          </w:p>
        </w:tc>
        <w:tc>
          <w:tcPr/>
          <w:p>
            <w:pPr>
              <w:pStyle w:val="Compact"/>
              <w:jc w:val="left"/>
            </w:pPr>
            <w:r>
              <w:t xml:space="preserve">On-device routing, classification, edge inference</w:t>
            </w:r>
          </w:p>
        </w:tc>
      </w:tr>
      <w:tr>
        <w:tc>
          <w:tcPr/>
          <w:p>
            <w:pPr>
              <w:pStyle w:val="Compact"/>
              <w:jc w:val="left"/>
            </w:pPr>
            <w:r>
              <w:t xml:space="preserve">Alibaba Qwen 2.5</w:t>
            </w:r>
          </w:p>
        </w:tc>
        <w:tc>
          <w:tcPr/>
          <w:p>
            <w:pPr>
              <w:pStyle w:val="Compact"/>
              <w:jc w:val="left"/>
            </w:pPr>
            <w:r>
              <w:t xml:space="preserve">0.5B–72B</w:t>
            </w:r>
          </w:p>
        </w:tc>
        <w:tc>
          <w:tcPr/>
          <w:p>
            <w:pPr>
              <w:pStyle w:val="Compact"/>
              <w:jc w:val="left"/>
            </w:pPr>
            <w:r>
              <w:t xml:space="preserve">32K–128K</w:t>
            </w:r>
          </w:p>
        </w:tc>
        <w:tc>
          <w:tcPr/>
          <w:p>
            <w:pPr>
              <w:pStyle w:val="Compact"/>
              <w:jc w:val="left"/>
            </w:pPr>
            <w:r>
              <w:t xml:space="preserve">High (7B, 14B)</w:t>
            </w:r>
            <w:r>
              <w:t xml:space="preserve"> </w:t>
            </w:r>
            <w:fldSimple w:instr="NOTEREF _Ref_Footnote_106 \h \f">
              <w:r>
                <w:rPr>
                  <w:vertAlign w:val="superscript"/>
                </w:rPr>
                <w:t>106</w:t>
              </w:r>
            </w:fldSimple>
          </w:p>
        </w:tc>
        <w:tc>
          <w:tcPr/>
          <w:p>
            <w:pPr>
              <w:pStyle w:val="Compact"/>
              <w:jc w:val="left"/>
            </w:pPr>
            <w:r>
              <w:t xml:space="preserve">Apache 2.0</w:t>
            </w:r>
          </w:p>
        </w:tc>
        <w:tc>
          <w:tcPr/>
          <w:p>
            <w:pPr>
              <w:pStyle w:val="Compact"/>
              <w:jc w:val="left"/>
            </w:pPr>
            <w:r>
              <w:t xml:space="preserve">Router agent, JSON generation, intent classification</w:t>
            </w:r>
          </w:p>
        </w:tc>
      </w:tr>
      <w:tr>
        <w:tc>
          <w:tcPr/>
          <w:p>
            <w:pPr>
              <w:pStyle w:val="Compact"/>
              <w:jc w:val="left"/>
            </w:pPr>
            <w:r>
              <w:t xml:space="preserve">Mistral Ministral</w:t>
            </w:r>
          </w:p>
        </w:tc>
        <w:tc>
          <w:tcPr/>
          <w:p>
            <w:pPr>
              <w:pStyle w:val="Compact"/>
              <w:jc w:val="left"/>
            </w:pPr>
            <w:r>
              <w:t xml:space="preserve">3B / 8B</w:t>
            </w:r>
          </w:p>
        </w:tc>
        <w:tc>
          <w:tcPr/>
          <w:p>
            <w:pPr>
              <w:pStyle w:val="Compact"/>
              <w:jc w:val="left"/>
            </w:pPr>
            <w:r>
              <w:t xml:space="preserve">32K–128K</w:t>
            </w:r>
          </w:p>
        </w:tc>
        <w:tc>
          <w:tcPr/>
          <w:p>
            <w:pPr>
              <w:pStyle w:val="Compact"/>
              <w:jc w:val="left"/>
            </w:pPr>
            <w:r>
              <w:t xml:space="preserve">26.77 (8B, FC)</w:t>
            </w:r>
            <w:r>
              <w:t xml:space="preserve"> </w:t>
            </w:r>
            <w:fldSimple w:instr="NOTEREF _Ref_Footnote_102 \h \f">
              <w:r>
                <w:rPr>
                  <w:vertAlign w:val="superscript"/>
                </w:rPr>
                <w:t>102</w:t>
              </w:r>
            </w:fldSimple>
          </w:p>
        </w:tc>
        <w:tc>
          <w:tcPr/>
          <w:p>
            <w:pPr>
              <w:pStyle w:val="Compact"/>
              <w:jc w:val="left"/>
            </w:pPr>
            <w:r>
              <w:t xml:space="preserve">Mistral Research</w:t>
            </w:r>
          </w:p>
        </w:tc>
        <w:tc>
          <w:tcPr/>
          <w:p>
            <w:pPr>
              <w:pStyle w:val="Compact"/>
              <w:jc w:val="left"/>
            </w:pPr>
            <w:r>
              <w:t xml:space="preserve">Function routing, verifier agent, tool selection</w:t>
            </w:r>
          </w:p>
        </w:tc>
      </w:tr>
      <w:tr>
        <w:tc>
          <w:tcPr/>
          <w:p>
            <w:pPr>
              <w:pStyle w:val="Compact"/>
              <w:jc w:val="left"/>
            </w:pPr>
            <w:r>
              <w:t xml:space="preserve">Google Gemma 2</w:t>
            </w:r>
          </w:p>
        </w:tc>
        <w:tc>
          <w:tcPr/>
          <w:p>
            <w:pPr>
              <w:pStyle w:val="Compact"/>
              <w:jc w:val="left"/>
            </w:pPr>
            <w:r>
              <w:t xml:space="preserve">2B / 9B / 27B</w:t>
            </w:r>
          </w:p>
        </w:tc>
        <w:tc>
          <w:tcPr/>
          <w:p>
            <w:pPr>
              <w:pStyle w:val="Compact"/>
              <w:jc w:val="left"/>
            </w:pPr>
            <w:r>
              <w:t xml:space="preserve">128K</w:t>
            </w:r>
          </w:p>
        </w:tc>
        <w:tc>
          <w:tcPr/>
          <w:p>
            <w:pPr>
              <w:pStyle w:val="Compact"/>
              <w:jc w:val="left"/>
            </w:pPr>
            <w:r>
              <w:t xml:space="preserve">29.80 (27B)</w:t>
            </w:r>
            <w:r>
              <w:t xml:space="preserve"> </w:t>
            </w:r>
            <w:fldSimple w:instr="NOTEREF _Ref_Footnote_102 \h \f">
              <w:r>
                <w:rPr>
                  <w:vertAlign w:val="superscript"/>
                </w:rPr>
                <w:t>102</w:t>
              </w:r>
            </w:fldSimple>
          </w:p>
        </w:tc>
        <w:tc>
          <w:tcPr/>
          <w:p>
            <w:pPr>
              <w:pStyle w:val="Compact"/>
              <w:jc w:val="left"/>
            </w:pPr>
            <w:r>
              <w:t xml:space="preserve">Gemma terms</w:t>
            </w:r>
          </w:p>
        </w:tc>
        <w:tc>
          <w:tcPr/>
          <w:p>
            <w:pPr>
              <w:pStyle w:val="Compact"/>
              <w:jc w:val="left"/>
            </w:pPr>
            <w:r>
              <w:t xml:space="preserve">Lightweight QA, multilingual tasks</w:t>
            </w:r>
          </w:p>
        </w:tc>
      </w:tr>
      <w:tr>
        <w:tc>
          <w:tcPr/>
          <w:p>
            <w:pPr>
              <w:pStyle w:val="Compact"/>
              <w:jc w:val="left"/>
            </w:pPr>
            <w:r>
              <w:t xml:space="preserve">DeepSeek-R1-Distill</w:t>
            </w:r>
          </w:p>
        </w:tc>
        <w:tc>
          <w:tcPr/>
          <w:p>
            <w:pPr>
              <w:pStyle w:val="Compact"/>
              <w:jc w:val="left"/>
            </w:pPr>
            <w:r>
              <w:t xml:space="preserve">1.5B–70B</w:t>
            </w:r>
          </w:p>
        </w:tc>
        <w:tc>
          <w:tcPr/>
          <w:p>
            <w:pPr>
              <w:pStyle w:val="Compact"/>
              <w:jc w:val="left"/>
            </w:pPr>
            <w:r>
              <w:t xml:space="preserve">32K–128K</w:t>
            </w:r>
          </w:p>
        </w:tc>
        <w:tc>
          <w:tcPr/>
          <w:p>
            <w:pPr>
              <w:pStyle w:val="Compact"/>
              <w:jc w:val="left"/>
            </w:pPr>
            <w:r>
              <w:t xml:space="preserve">Varies by base</w:t>
            </w:r>
          </w:p>
        </w:tc>
        <w:tc>
          <w:tcPr/>
          <w:p>
            <w:pPr>
              <w:pStyle w:val="Compact"/>
              <w:jc w:val="left"/>
            </w:pPr>
            <w:r>
              <w:t xml:space="preserve">MIT</w:t>
            </w:r>
          </w:p>
        </w:tc>
        <w:tc>
          <w:tcPr/>
          <w:p>
            <w:pPr>
              <w:pStyle w:val="Compact"/>
              <w:jc w:val="left"/>
            </w:pPr>
            <w:r>
              <w:t xml:space="preserve">Reasoning distillation, CoT tasks</w:t>
            </w:r>
          </w:p>
        </w:tc>
      </w:tr>
    </w:tbl>
    <w:p>
      <w:pPr>
        <w:pStyle w:val="BodyText"/>
      </w:pPr>
      <w:r>
        <w:t xml:space="preserve">The table reveals three selection heuristics. First, native function-calling support (FC mode) produces dramatically higher BFCL scores than prompt-based tool use: Phi-4-mini at 3.8B parameters outscores its 14B predecessor by a factor of 2.5x on this metric. Second, context window is not correlated with parameter count—Phi-4 (14B) has the smallest window at 16K, while Llama 3.2 1B offers 128K. Engineers must evaluate these dimensions independently. Third, licensing varies substantially: MIT and Apache 2.0 licenses (Phi-4, Phi-4-mini, Qwen 2.5, DeepSeek-R1-Distill) permit commercial use without restriction, while Llama 3.2 and Mistral Research licenses impose terms that may affect redistribution and modification.</w:t>
      </w:r>
    </w:p>
    <w:bookmarkEnd w:id="71"/>
    <w:bookmarkEnd w:id="72"/>
    <w:bookmarkStart w:id="77" w:name="what-slms-excel-at"/>
    <w:p>
      <w:pPr>
        <w:pStyle w:val="Heading3"/>
      </w:pPr>
      <w:r>
        <w:t xml:space="preserve">3.2 What SLMs Excel At</w:t>
      </w:r>
    </w:p>
    <w:p>
      <w:pPr>
        <w:pStyle w:val="FirstParagraph"/>
      </w:pPr>
      <w:r>
        <w:t xml:space="preserve">The evidence supports a clear pattern: SLMs are not merely cheaper approximations of LLMs. On narrow, schema-bound, repetitive tasks, they are functionally superior—faster, more predictable, and easier to align with domain-specific requirements</w:t>
      </w:r>
      <w:r>
        <w:t xml:space="preserve"> </w:t>
      </w:r>
      <w:r>
        <w:rPr>
          <w:vertAlign w:val="superscript"/>
        </w:rPr>
        <w:footnoteReference w:id="111"/>
      </w:r>
      <w:r>
        <w:t xml:space="preserve">. The four capability areas below represent the workloads where SLMs deliver their highest return on investment.</w:t>
      </w:r>
    </w:p>
    <w:bookmarkStart w:id="73" w:name="Xf4a0fe5c8376fba3aff94f00d7a911386325d6e"/>
    <w:p>
      <w:pPr>
        <w:pStyle w:val="Heading4"/>
      </w:pPr>
      <w:r>
        <w:t xml:space="preserve">3.2.1 Task Routing and Intent Classification: 99% Accuracy at 20–50 ms Latency</w:t>
      </w:r>
    </w:p>
    <w:p>
      <w:pPr>
        <w:pStyle w:val="FirstParagraph"/>
      </w:pPr>
      <w:r>
        <w:t xml:space="preserve">Intent classification is the single most common SLM workload in production agentic systems, and it is also the one where SLMs demonstrate the most decisive advantage. Fine-tuned SLMs achieve 99% accuracy on straightforward classification tasks (such as EU law categorization) and 80–90% on difficult ones (academic paper classification, multilingual email routing)</w:t>
      </w:r>
      <w:r>
        <w:t xml:space="preserve"> </w:t>
      </w:r>
      <w:fldSimple w:instr="NOTEREF _Ref_Footnote_17 \h \f">
        <w:r>
          <w:rPr>
            <w:vertAlign w:val="superscript"/>
          </w:rPr>
          <w:t>17</w:t>
        </w:r>
      </w:fldSimple>
      <w:r>
        <w:t xml:space="preserve">. These figures are achieved with models as small as 0.5B parameters when fine-tuned on carefully curated datasets.</w:t>
      </w:r>
    </w:p>
    <w:p>
      <w:pPr>
        <w:pStyle w:val="BodyText"/>
      </w:pPr>
      <w:r>
        <w:t xml:space="preserve">The latency profile is equally compelling. A fine-tuned Qwen2.5-7B-Instruct deployed on a single A10 GPU (24 GB VRAM) reaches 100+ queries per second in batched inference, with average latency of 20–50 ms for routine intents and 80%+ cost reduction compared to a large model</w:t>
      </w:r>
      <w:r>
        <w:t xml:space="preserve"> </w:t>
      </w:r>
      <w:fldSimple w:instr="NOTEREF _Ref_Footnote_12 \h \f">
        <w:r>
          <w:rPr>
            <w:vertAlign w:val="superscript"/>
          </w:rPr>
          <w:t>12</w:t>
        </w:r>
      </w:fldSimple>
      <w:r>
        <w:t xml:space="preserve">. Production systems typically employ a three-layer routing funnel: Layer 1 handles approximately 5% of explicit commands via keyword and regex matching in under 1 ms; Layer 2, a fine-tuned SLM, covers roughly 90% of routine intents at 92–97% accuracy in 10–50 ms; and Layer 3, a frontier LLM, handles the remaining 5% of complex edge cases in 100–500 ms</w:t>
      </w:r>
      <w:r>
        <w:t xml:space="preserve"> </w:t>
      </w:r>
      <w:fldSimple w:instr="NOTEREF _Ref_Footnote_12 \h \f">
        <w:r>
          <w:rPr>
            <w:vertAlign w:val="superscript"/>
          </w:rPr>
          <w:t>12</w:t>
        </w:r>
      </w:fldSimple>
      <w:r>
        <w:t xml:space="preserve">.</w:t>
      </w:r>
    </w:p>
    <w:p>
      <w:pPr>
        <w:pStyle w:val="BodyText"/>
      </w:pPr>
      <w:r>
        <w:t xml:space="preserve">The architectural rationale for this pattern is straightforward: routing is fundamentally a classification problem, not a reasoning problem. A model that has seen 1,000–2,000 representative (query, target_tool) pairs can learn to dispatch requests with near-perfect accuracy without needing the broad world knowledge of a 70B+ parameter model</w:t>
      </w:r>
      <w:r>
        <w:t xml:space="preserve"> </w:t>
      </w:r>
      <w:fldSimple w:instr="NOTEREF _Ref_Footnote_18 \h \f">
        <w:r>
          <w:rPr>
            <w:vertAlign w:val="superscript"/>
          </w:rPr>
          <w:t>18</w:t>
        </w:r>
      </w:fldSimple>
      <w:r>
        <w:t xml:space="preserve"> </w:t>
      </w:r>
      <w:fldSimple w:instr="NOTEREF _Ref_Footnote_100 \h \f">
        <w:r>
          <w:rPr>
            <w:vertAlign w:val="superscript"/>
          </w:rPr>
          <w:t>100</w:t>
        </w:r>
      </w:fldSimple>
      <w:r>
        <w:t xml:space="preserve">. The smallest viable model is typically the best choice for this role.</w:t>
      </w:r>
    </w:p>
    <w:bookmarkEnd w:id="73"/>
    <w:bookmarkStart w:id="74" w:name="X87387bf717ae7202ab0395c68f9a7a582b302e3"/>
    <w:p>
      <w:pPr>
        <w:pStyle w:val="Heading4"/>
      </w:pPr>
      <w:r>
        <w:t xml:space="preserve">3.2.2 Tool Calling and API Orchestration: 95%+ Accuracy with Fine-Tuning</w:t>
      </w:r>
    </w:p>
    <w:p>
      <w:pPr>
        <w:pStyle w:val="FirstParagraph"/>
      </w:pPr>
      <w:r>
        <w:t xml:space="preserve">Tool calling—emitting structured function invocations against defined API schemas—is the bridge between agent reasoning and external action. Modern SLMs support structured function calling either natively (via dedicated FC tokens) or through well-known prompt templates, and models with native FC support show measurable advantages in syntactic consistency and output parsability</w:t>
      </w:r>
      <w:r>
        <w:t xml:space="preserve"> </w:t>
      </w:r>
      <w:fldSimple w:instr="NOTEREF _Ref_Footnote_102 \h \f">
        <w:r>
          <w:rPr>
            <w:vertAlign w:val="superscript"/>
          </w:rPr>
          <w:t>102</w:t>
        </w:r>
      </w:fldSimple>
      <w:r>
        <w:t xml:space="preserve">.</w:t>
      </w:r>
    </w:p>
    <w:p>
      <w:pPr>
        <w:pStyle w:val="BodyText"/>
      </w:pPr>
      <w:r>
        <w:t xml:space="preserve">A 2026 on-device tool-calling benchmark comparing Qwen3-4B, Gemma 4 E4B, and Phi-4-Mini found that after domain-specific fine-tuning, all three models exceeded 95% accuracy on 5-tool tasks, with the composite performance spread between base models collapsing by approximately 70% once each model had seen a representative training set for its target tool surface</w:t>
      </w:r>
      <w:r>
        <w:t xml:space="preserve"> </w:t>
      </w:r>
      <w:fldSimple w:instr="NOTEREF _Ref_Footnote_13 \h \f">
        <w:r>
          <w:rPr>
            <w:vertAlign w:val="superscript"/>
          </w:rPr>
          <w:t>13</w:t>
        </w:r>
      </w:fldSimple>
      <w:r>
        <w:t xml:space="preserve">. This finding is critical: the gap between SLM families is far narrower in practice than raw BFCL scores suggest, because fine-tuning equalizes the playing field.</w:t>
      </w:r>
    </w:p>
    <w:p>
      <w:pPr>
        <w:pStyle w:val="BodyText"/>
      </w:pPr>
      <w:r>
        <w:t xml:space="preserve">The cost structure of tool calling also favors SLMs. Each function call incurs a prefill cost of 400–800 tokens for the tool schema, and enforcing JSON grammar at the token level adds overhead that scales with schema complexity</w:t>
      </w:r>
      <w:r>
        <w:t xml:space="preserve"> </w:t>
      </w:r>
      <w:r>
        <w:rPr>
          <w:vertAlign w:val="superscript"/>
        </w:rPr>
        <w:footnoteReference w:id="112"/>
      </w:r>
      <w:r>
        <w:t xml:space="preserve">. With SLMs, these overheads are manageable; at 10–30x lower inference cost per token, the cumulative schema-prefill cost of a multi-step agentic workflow remains economical</w:t>
      </w:r>
      <w:r>
        <w:t xml:space="preserve"> </w:t>
      </w:r>
      <w:fldSimple w:instr="NOTEREF _Ref_Footnote_6 \h \f">
        <w:r>
          <w:rPr>
            <w:vertAlign w:val="superscript"/>
          </w:rPr>
          <w:t>6</w:t>
        </w:r>
      </w:fldSimple>
      <w:r>
        <w:t xml:space="preserve">. For production deployment, the 95% executable-call rate threshold—defined as the percentage of function calls that execute without error—has been validated as the minimum bar for agentic reliability</w:t>
      </w:r>
      <w:r>
        <w:t xml:space="preserve"> </w:t>
      </w:r>
      <w:fldSimple w:instr="NOTEREF _Ref_Footnote_5 \h \f">
        <w:r>
          <w:rPr>
            <w:vertAlign w:val="superscript"/>
          </w:rPr>
          <w:t>5</w:t>
        </w:r>
      </w:fldSimple>
      <w:r>
        <w:t xml:space="preserve">.</w:t>
      </w:r>
    </w:p>
    <w:bookmarkEnd w:id="74"/>
    <w:bookmarkStart w:id="75" w:name="Xd9ab601d859ba21f5d9d4c0a979e4b771e2f314"/>
    <w:p>
      <w:pPr>
        <w:pStyle w:val="Heading4"/>
      </w:pPr>
      <w:r>
        <w:t xml:space="preserve">3.2.3 Structured Output Generation: Guided Decoding Improves 4%</w:t>
      </w:r>
    </w:p>
    <w:p>
      <w:pPr>
        <w:pStyle w:val="FirstParagraph"/>
      </w:pPr>
      <w:r>
        <w:t xml:space="preserve">Structured output generation—emitting JSON, SQL, or other schema-constrained formats—is a foundational capability for agentic systems, and it is one where architectural technique matters as much as model selection. Guided decoding (also called constrained decoding) restricts the model’s next-token choices to only grammatically valid options based on a JSON schema, a process implemented by frameworks such as XGrammar, Outlines, and LLGuidance</w:t>
      </w:r>
      <w:r>
        <w:t xml:space="preserve"> </w:t>
      </w:r>
      <w:r>
        <w:rPr>
          <w:vertAlign w:val="superscript"/>
        </w:rPr>
        <w:footnoteReference w:id="113"/>
      </w:r>
      <w:r>
        <w:t xml:space="preserve"> </w:t>
      </w:r>
      <w:r>
        <w:rPr>
          <w:vertAlign w:val="superscript"/>
        </w:rPr>
        <w:footnoteReference w:id="114"/>
      </w:r>
      <w:r>
        <w:t xml:space="preserve">.</w:t>
      </w:r>
    </w:p>
    <w:p>
      <w:pPr>
        <w:pStyle w:val="BodyText"/>
      </w:pPr>
      <w:r>
        <w:t xml:space="preserve">Empirical studies show that constrained decoding consistently improves downstream task performance by up to 4%, even on tasks with minimal structure such as GSM8k</w:t>
      </w:r>
      <w:r>
        <w:t xml:space="preserve"> </w:t>
      </w:r>
      <w:fldSimple w:instr="NOTEREF _Ref_Footnote_114 \h \f">
        <w:r>
          <w:rPr>
            <w:vertAlign w:val="superscript"/>
          </w:rPr>
          <w:t>114</w:t>
        </w:r>
      </w:fldSimple>
      <w:r>
        <w:t xml:space="preserve">. It also speeds up generation by 50% compared to unconstrained decoding, because the grammar constraint eliminates large swaths of the token probability space at each step</w:t>
      </w:r>
      <w:r>
        <w:t xml:space="preserve"> </w:t>
      </w:r>
      <w:fldSimple w:instr="NOTEREF _Ref_Footnote_114 \h \f">
        <w:r>
          <w:rPr>
            <w:vertAlign w:val="superscript"/>
          </w:rPr>
          <w:t>114</w:t>
        </w:r>
      </w:fldSimple>
      <w:r>
        <w:t xml:space="preserve">. The framework choice matters: evaluations demonstrate significant differences in JSON Schema coverage across guided decoding libraries, with the best supporting twice as many schema types as the worst</w:t>
      </w:r>
      <w:r>
        <w:t xml:space="preserve"> </w:t>
      </w:r>
      <w:fldSimple w:instr="NOTEREF _Ref_Footnote_114 \h \f">
        <w:r>
          <w:rPr>
            <w:vertAlign w:val="superscript"/>
          </w:rPr>
          <w:t>114</w:t>
        </w:r>
      </w:fldSimple>
      <w:r>
        <w:t xml:space="preserve">.</w:t>
      </w:r>
    </w:p>
    <w:p>
      <w:pPr>
        <w:pStyle w:val="BodyText"/>
      </w:pPr>
      <w:r>
        <w:t xml:space="preserve">Llama 3.2 1B-Instruct is frequently used as the reference model for constrained decoding benchmarks due to its efficiency and quality profile, indicating that even the smallest viable SLMs can serve as reliable structured-output generators when paired with appropriate decoding infrastructure</w:t>
      </w:r>
      <w:r>
        <w:t xml:space="preserve"> </w:t>
      </w:r>
      <w:fldSimple w:instr="NOTEREF _Ref_Footnote_114 \h \f">
        <w:r>
          <w:rPr>
            <w:vertAlign w:val="superscript"/>
          </w:rPr>
          <w:t>114</w:t>
        </w:r>
      </w:fldSimple>
      <w:r>
        <w:t xml:space="preserve">. For agentic engineers, the practical takeaway is that guided decoding should be treated as a mandatory component, not an optional optimization: it improves accuracy, reduces latency, and eliminates an entire class of schema-parsing failures.</w:t>
      </w:r>
    </w:p>
    <w:bookmarkEnd w:id="75"/>
    <w:bookmarkStart w:id="76" w:name="X7c133f9f049730e1365cb5a81744a64ac3b2b43"/>
    <w:p>
      <w:pPr>
        <w:pStyle w:val="Heading4"/>
      </w:pPr>
      <w:r>
        <w:t xml:space="preserve">3.2.4 Classification and Guardrails: On-Device at 97.75% Accuracy</w:t>
      </w:r>
    </w:p>
    <w:p>
      <w:pPr>
        <w:pStyle w:val="FirstParagraph"/>
      </w:pPr>
      <w:r>
        <w:t xml:space="preserve">Guardrails—input validation, output filtering, prompt injection detection, and content safety classification—are a natural fit for SLMs because they require speed, on-device deployability, and predictable behavior within a narrow domain. LiteLMGuard, an on-device guardrail system developed at Texas A&amp;M, demonstrates the state of the art: it employs an ELECTRA-based classifier with 97.75% answerability classification accuracy, achieving an 85%+ defense rate against harmful prompts (including jailbreak attacks), 94% filtering accuracy, and approximately 135 ms average latency on-device</w:t>
      </w:r>
      <w:r>
        <w:t xml:space="preserve"> </w:t>
      </w:r>
      <w:fldSimple w:instr="NOTEREF _Ref_Footnote_14 \h \f">
        <w:r>
          <w:rPr>
            <w:vertAlign w:val="superscript"/>
          </w:rPr>
          <w:t>14</w:t>
        </w:r>
      </w:fldSimple>
      <w:r>
        <w:t xml:space="preserve">. The system is model-agnostic and has been validated across seven different on-device SLMs.</w:t>
      </w:r>
    </w:p>
    <w:p>
      <w:pPr>
        <w:pStyle w:val="BodyText"/>
      </w:pPr>
      <w:r>
        <w:t xml:space="preserve">Production guardrail architectures typically stack three layers: Layer 1 (input validation) combines regex heuristics with an SLM classifier to block or rewrite prompts before the model sees them; Layer 2 (model containment) uses system prompts and tool schema validation to constrain behavior; and Layer 3 (output filtering) applies PII detection and policy validation before responses reach the user</w:t>
      </w:r>
      <w:r>
        <w:t xml:space="preserve"> </w:t>
      </w:r>
      <w:fldSimple w:instr="NOTEREF _Ref_Footnote_10 \h \f">
        <w:r>
          <w:rPr>
            <w:vertAlign w:val="superscript"/>
          </w:rPr>
          <w:t>10</w:t>
        </w:r>
      </w:fldSimple>
      <w:r>
        <w:t xml:space="preserve">. Combined regex-plus-classifier input validation achieves a 94% catch rate at a 1.1% false positive rate</w:t>
      </w:r>
      <w:r>
        <w:t xml:space="preserve"> </w:t>
      </w:r>
      <w:fldSimple w:instr="NOTEREF _Ref_Footnote_10 \h \f">
        <w:r>
          <w:rPr>
            <w:vertAlign w:val="superscript"/>
          </w:rPr>
          <w:t>10</w:t>
        </w:r>
      </w:fldSimple>
      <w:r>
        <w:t xml:space="preserve">. The use of SLMs rather than LLMs for guardrail classification is deliberate: LLM-based defense mechanisms defeat the purpose of on-device AI by requiring data to be sent to external servers, compromising privacy</w:t>
      </w:r>
      <w:r>
        <w:t xml:space="preserve"> </w:t>
      </w:r>
      <w:r>
        <w:rPr>
          <w:vertAlign w:val="superscript"/>
        </w:rPr>
        <w:footnoteReference w:id="115"/>
      </w:r>
      <w:r>
        <w:t xml:space="preserve">.</w:t>
      </w:r>
    </w:p>
    <w:bookmarkEnd w:id="76"/>
    <w:bookmarkEnd w:id="77"/>
    <w:bookmarkStart w:id="83" w:name="slm-constraints-and-limitations"/>
    <w:p>
      <w:pPr>
        <w:pStyle w:val="Heading3"/>
      </w:pPr>
      <w:r>
        <w:t xml:space="preserve">3.3 SLM Constraints and Limitations</w:t>
      </w:r>
    </w:p>
    <w:p>
      <w:pPr>
        <w:pStyle w:val="FirstParagraph"/>
      </w:pPr>
      <w:r>
        <w:t xml:space="preserve">Understanding where SLMs fail is as important as understanding where they succeed. The constraints below are not merely theoretical: they manifest as production failures, compounding errors, and architectural boundaries that determine whether an SLM-default, LLM-fallback design can be sustained.</w:t>
      </w:r>
    </w:p>
    <w:bookmarkStart w:id="78" w:name="X24a9ef16575384f197a00faf27831ecee600639"/>
    <w:p>
      <w:pPr>
        <w:pStyle w:val="Heading4"/>
      </w:pPr>
      <w:r>
        <w:t xml:space="preserve">3.3.1 Reasoning Depth: Multi-Step Planning Degrades Below 7B</w:t>
      </w:r>
    </w:p>
    <w:p>
      <w:pPr>
        <w:pStyle w:val="FirstParagraph"/>
      </w:pPr>
      <w:r>
        <w:t xml:space="preserve">The most significant capability boundary for SLMs is reasoning depth. Multi-step reasoning with three or more sequential logical deductions degrades significantly below 7B parameters</w:t>
      </w:r>
      <w:r>
        <w:t xml:space="preserve"> </w:t>
      </w:r>
      <w:fldSimple w:instr="NOTEREF _Ref_Footnote_6 \h \f">
        <w:r>
          <w:rPr>
            <w:vertAlign w:val="superscript"/>
          </w:rPr>
          <w:t>6</w:t>
        </w:r>
      </w:fldSimple>
      <w:r>
        <w:t xml:space="preserve">. Long-horizon planning involving five or more sequential tool calls compounds error rates further: if an individual tool call has a 99% success rate, a 10-step agentic process has only a 90.4% chance of end-to-end success, introducing an approximately 10% failure rate</w:t>
      </w:r>
      <w:r>
        <w:t xml:space="preserve"> </w:t>
      </w:r>
      <w:r>
        <w:rPr>
          <w:vertAlign w:val="superscript"/>
        </w:rPr>
        <w:footnoteReference w:id="116"/>
      </w:r>
      <w:r>
        <w:t xml:space="preserve">. BFCL v4 data confirm that multi-turn scores drop 5–10 points compared to single-turn scores for every model size, meaning the degradation is universal but steeper for smaller models</w:t>
      </w:r>
      <w:r>
        <w:t xml:space="preserve"> </w:t>
      </w:r>
      <w:r>
        <w:rPr>
          <w:vertAlign w:val="superscript"/>
        </w:rPr>
        <w:footnoteReference w:id="117"/>
      </w:r>
      <w:r>
        <w:t xml:space="preserve">.</w:t>
      </w:r>
    </w:p>
    <w:p>
      <w:pPr>
        <w:pStyle w:val="BodyText"/>
      </w:pPr>
      <w:r>
        <w:t xml:space="preserve">The Open Operator case study provides a quantitative anchor: NVIDIA researchers estimated that approximately 40% of LLM queries in the Open Operator system could be reliably handled by SLMs, with the remainder requiring LLM-level reasoning for conversation flow maintenance and multi-step planning</w:t>
      </w:r>
      <w:r>
        <w:t xml:space="preserve"> </w:t>
      </w:r>
      <w:fldSimple w:instr="NOTEREF _Ref_Footnote_6 \h \f">
        <w:r>
          <w:rPr>
            <w:vertAlign w:val="superscript"/>
          </w:rPr>
          <w:t>6</w:t>
        </w:r>
      </w:fldSimple>
      <w:r>
        <w:t xml:space="preserve">. Similar analyses of MetaGPT and Cradle found 60% and 70% replaceability, respectively, with the variance driven by the ratio of routine to novel tasks in each system</w:t>
      </w:r>
      <w:r>
        <w:t xml:space="preserve"> </w:t>
      </w:r>
      <w:r>
        <w:rPr>
          <w:vertAlign w:val="superscript"/>
        </w:rPr>
        <w:footnoteReference w:id="118"/>
      </w:r>
      <w:r>
        <w:t xml:space="preserve">.</w:t>
      </w:r>
    </w:p>
    <w:p>
      <w:pPr>
        <w:pStyle w:val="BodyText"/>
      </w:pPr>
      <w:r>
        <w:t xml:space="preserve">SLMs also lack what researchers have termed the</w:t>
      </w:r>
      <w:r>
        <w:t xml:space="preserve"> </w:t>
      </w:r>
      <w:r>
        <w:t xml:space="preserve">“</w:t>
      </w:r>
      <w:r>
        <w:t xml:space="preserve">semantic hub</w:t>
      </w:r>
      <w:r>
        <w:t xml:space="preserve">”</w:t>
      </w:r>
      <w:r>
        <w:t xml:space="preserve"> </w:t>
      </w:r>
      <w:r>
        <w:t xml:space="preserve">mechanism—a hypothesized property of larger models that enables cross-domain generalization by linking concepts across disparate knowledge domains</w:t>
      </w:r>
      <w:r>
        <w:t xml:space="preserve"> </w:t>
      </w:r>
      <w:fldSimple w:instr="NOTEREF _Ref_Footnote_6 \h \f">
        <w:r>
          <w:rPr>
            <w:vertAlign w:val="superscript"/>
          </w:rPr>
          <w:t>6</w:t>
        </w:r>
      </w:fldSimple>
      <w:r>
        <w:t xml:space="preserve">. This means that while a fine-tuned 3B model may exceed a frontier LLM on its specific training distribution, it will typically fail when the input diverges from patterns seen during fine-tuning. Dynamic decision-making and long-horizon reasoning remain open challenges across all model sizes, as Patil et al. note in the BFCL research</w:t>
      </w:r>
      <w:r>
        <w:t xml:space="preserve"> </w:t>
      </w:r>
      <w:r>
        <w:rPr>
          <w:vertAlign w:val="superscript"/>
        </w:rPr>
        <w:footnoteReference w:id="119"/>
      </w:r>
      <w:r>
        <w:t xml:space="preserve">.</w:t>
      </w:r>
    </w:p>
    <w:bookmarkEnd w:id="78"/>
    <w:bookmarkStart w:id="79" w:name="context-window-limits"/>
    <w:p>
      <w:pPr>
        <w:pStyle w:val="Heading4"/>
      </w:pPr>
      <w:r>
        <w:t xml:space="preserve">3.3.2 Context Window Limits</w:t>
      </w:r>
    </w:p>
    <w:p>
      <w:pPr>
        <w:pStyle w:val="FirstParagraph"/>
      </w:pPr>
      <w:r>
        <w:t xml:space="preserve">Context window size varies widely across SLMs, from Phi-4’s constrained 16K to the 128K offered by Phi-4-mini, Llama 3.2, and most Qwen 2.5 variants</w:t>
      </w:r>
      <w:r>
        <w:t xml:space="preserve"> </w:t>
      </w:r>
      <w:fldSimple w:instr="NOTEREF _Ref_Footnote_101 \h \f">
        <w:r>
          <w:rPr>
            <w:vertAlign w:val="superscript"/>
          </w:rPr>
          <w:t>101</w:t>
        </w:r>
      </w:fldSimple>
      <w:r>
        <w:t xml:space="preserve"> </w:t>
      </w:r>
      <w:fldSimple w:instr="NOTEREF _Ref_Footnote_100 \h \f">
        <w:r>
          <w:rPr>
            <w:vertAlign w:val="superscript"/>
          </w:rPr>
          <w:t>100</w:t>
        </w:r>
      </w:fldSimple>
      <w:r>
        <w:t xml:space="preserve">. The practical impact of this variance depends on the agentic workload. For single-turn tool calling with compact schemas, even 16K is ample. For multi-turn conversations with long histories, RAG pipelines processing full research papers, or document classification at scale, the 16K limit</w:t>
      </w:r>
      <w:r>
        <w:t xml:space="preserve"> </w:t>
      </w:r>
      <w:r>
        <w:t xml:space="preserve">“</w:t>
      </w:r>
      <w:r>
        <w:t xml:space="preserve">will routinely cause truncation</w:t>
      </w:r>
      <w:r>
        <w:t xml:space="preserve">”</w:t>
      </w:r>
      <w:r>
        <w:t xml:space="preserve"> </w:t>
      </w:r>
      <w:fldSimple w:instr="NOTEREF _Ref_Footnote_101 \h \f">
        <w:r>
          <w:rPr>
            <w:vertAlign w:val="superscript"/>
          </w:rPr>
          <w:t>101</w:t>
        </w:r>
      </w:fldSimple>
      <w:r>
        <w:t xml:space="preserve">.</w:t>
      </w:r>
    </w:p>
    <w:p>
      <w:pPr>
        <w:pStyle w:val="BodyText"/>
      </w:pPr>
      <w:r>
        <w:t xml:space="preserve">Engineers should note that context window size and effective context utilization are distinct properties. A model may advertise 128K tokens but exhibit degraded attention quality beyond 32K—a phenomenon known as the</w:t>
      </w:r>
      <w:r>
        <w:t xml:space="preserve"> </w:t>
      </w:r>
      <w:r>
        <w:t xml:space="preserve">“</w:t>
      </w:r>
      <w:r>
        <w:t xml:space="preserve">lost in the middle</w:t>
      </w:r>
      <w:r>
        <w:t xml:space="preserve">”</w:t>
      </w:r>
      <w:r>
        <w:t xml:space="preserve"> </w:t>
      </w:r>
      <w:r>
        <w:t xml:space="preserve">problem that affects models across all size classes. The Qwen 2.5 and Llama 3.2 families have been specifically optimized for long-context attention, making them preferable for agentic nodes that must process extended conversation histories or large retrieved documents in a single pass.</w:t>
      </w:r>
    </w:p>
    <w:bookmarkEnd w:id="79"/>
    <w:bookmarkStart w:id="80" w:name="hallucination-and-schema-drift"/>
    <w:p>
      <w:pPr>
        <w:pStyle w:val="Heading4"/>
      </w:pPr>
      <w:r>
        <w:t xml:space="preserve">3.3.3 Hallucination and Schema Drift</w:t>
      </w:r>
    </w:p>
    <w:p>
      <w:pPr>
        <w:pStyle w:val="FirstParagraph"/>
      </w:pPr>
      <w:r>
        <w:t xml:space="preserve">Hallucination is a concern for all language models, but the dynamics differ for SLMs. On tightly bounded tasks with tailored training data, SLMs hallucinate less than their larger counterparts because their narrower knowledge scope reduces the surface area for confabulation</w:t>
      </w:r>
      <w:r>
        <w:t xml:space="preserve"> </w:t>
      </w:r>
      <w:fldSimple w:instr="NOTEREF _Ref_Footnote_110 \h \f">
        <w:r>
          <w:rPr>
            <w:vertAlign w:val="superscript"/>
          </w:rPr>
          <w:t>110</w:t>
        </w:r>
      </w:fldSimple>
      <w:r>
        <w:t xml:space="preserve">. However, on unbounded tasks, the lack of SLM-specific hallucination benchmarks limits both diagnosis and mitigation</w:t>
      </w:r>
      <w:r>
        <w:t xml:space="preserve"> </w:t>
      </w:r>
      <w:r>
        <w:rPr>
          <w:vertAlign w:val="superscript"/>
        </w:rPr>
        <w:footnoteReference w:id="120"/>
      </w:r>
      <w:r>
        <w:t xml:space="preserve">.</w:t>
      </w:r>
    </w:p>
    <w:p>
      <w:pPr>
        <w:pStyle w:val="BodyText"/>
      </w:pPr>
      <w:r>
        <w:t xml:space="preserve">The HalluLens benchmark provides the most granular data available. On PreciseWikiQA—a factual question-answering test—Llama-3.1-8B-Instruct exhibits an 83.09% false refusal rate and 48.37% hallucination rate, compared to GPT-4o’s 4.13% and 45.15%, respectively</w:t>
      </w:r>
      <w:r>
        <w:t xml:space="preserve"> </w:t>
      </w:r>
      <w:r>
        <w:rPr>
          <w:vertAlign w:val="superscript"/>
        </w:rPr>
        <w:footnoteReference w:id="121"/>
      </w:r>
      <w:r>
        <w:t xml:space="preserve">. Qwen2.5-7B-Instruct shows 85.22% hallucination on this benchmark, though its false refusal rate is lower at 13.85%</w:t>
      </w:r>
      <w:r>
        <w:t xml:space="preserve"> </w:t>
      </w:r>
      <w:fldSimple w:instr="NOTEREF _Ref_Footnote_121 \h \f">
        <w:r>
          <w:rPr>
            <w:vertAlign w:val="superscript"/>
          </w:rPr>
          <w:t>121</w:t>
        </w:r>
      </w:fldSimple>
      <w:r>
        <w:t xml:space="preserve">. These figures illustrate that smaller models struggle to calibrate uncertainty: they either refuse to answer (false refusal) or generate incorrect content (hallucination) at rates that exceed frontier models by substantial margins on open-domain knowledge tasks.</w:t>
      </w:r>
    </w:p>
    <w:p>
      <w:pPr>
        <w:pStyle w:val="BodyText"/>
      </w:pPr>
      <w:r>
        <w:t xml:space="preserve">Current evaluation metrics such as BLEU, ROUGE, and BERTScore focus on fluency rather than factual correctness, which means standard benchmark scores can mask hallucination problems</w:t>
      </w:r>
      <w:r>
        <w:t xml:space="preserve"> </w:t>
      </w:r>
      <w:fldSimple w:instr="NOTEREF _Ref_Footnote_120 \h \f">
        <w:r>
          <w:rPr>
            <w:vertAlign w:val="superscript"/>
          </w:rPr>
          <w:t>120</w:t>
        </w:r>
      </w:fldSimple>
      <w:r>
        <w:t xml:space="preserve">. SLMs also lack native mechanisms for uncertainty estimation or confidence calibration, making it difficult to implement the uncertainty-aware routing that is central to SLM-default, LLM-fallback architectures</w:t>
      </w:r>
      <w:r>
        <w:t xml:space="preserve"> </w:t>
      </w:r>
      <w:fldSimple w:instr="NOTEREF _Ref_Footnote_5 \h \f">
        <w:r>
          <w:rPr>
            <w:vertAlign w:val="superscript"/>
          </w:rPr>
          <w:t>5</w:t>
        </w:r>
      </w:fldSimple>
      <w:r>
        <w:t xml:space="preserve">. In regulated industries, hallucinations may be</w:t>
      </w:r>
      <w:r>
        <w:t xml:space="preserve"> </w:t>
      </w:r>
      <w:r>
        <w:t xml:space="preserve">“</w:t>
      </w:r>
      <w:r>
        <w:t xml:space="preserve">not only unacceptable but also legally actionable</w:t>
      </w:r>
      <w:r>
        <w:t xml:space="preserve">”</w:t>
      </w:r>
      <w:r>
        <w:t xml:space="preserve"> </w:t>
      </w:r>
      <w:fldSimple w:instr="NOTEREF _Ref_Footnote_120 \h \f">
        <w:r>
          <w:rPr>
            <w:vertAlign w:val="superscript"/>
          </w:rPr>
          <w:t>120</w:t>
        </w:r>
      </w:fldSimple>
      <w:r>
        <w:t xml:space="preserve">, which constrains the deployment of unsupervised SLM outputs in high-stakes domains.</w:t>
      </w:r>
    </w:p>
    <w:bookmarkEnd w:id="80"/>
    <w:bookmarkStart w:id="81" w:name="domain-generalization-limits"/>
    <w:p>
      <w:pPr>
        <w:pStyle w:val="Heading4"/>
      </w:pPr>
      <w:r>
        <w:t xml:space="preserve">3.3.4 Domain Generalization Limits</w:t>
      </w:r>
    </w:p>
    <w:p>
      <w:pPr>
        <w:pStyle w:val="FirstParagraph"/>
      </w:pPr>
      <w:r>
        <w:t xml:space="preserve">SLMs excel within their training distribution but generalize poorly to out-of-distribution inputs. When fine-tuned for a single job—PII redaction, function selection, docket classification—they deliver LLM-level accuracy with far lower variance, latency, and cost</w:t>
      </w:r>
      <w:r>
        <w:t xml:space="preserve"> </w:t>
      </w:r>
      <w:fldSimple w:instr="NOTEREF _Ref_Footnote_111 \h \f">
        <w:r>
          <w:rPr>
            <w:vertAlign w:val="superscript"/>
          </w:rPr>
          <w:t>111</w:t>
        </w:r>
      </w:fldSimple>
      <w:r>
        <w:t xml:space="preserve">. However, when the input diverges from the fine-tuning distribution, performance degrades without warning.</w:t>
      </w:r>
    </w:p>
    <w:p>
      <w:pPr>
        <w:pStyle w:val="BodyText"/>
      </w:pPr>
      <w:r>
        <w:t xml:space="preserve">On the medical abstraction and reasoning corpus (mARC-QA), even state-of-the-art models perform poorly compared to human physicians, and this gap is wider for smaller models</w:t>
      </w:r>
      <w:r>
        <w:t xml:space="preserve"> </w:t>
      </w:r>
      <w:r>
        <w:rPr>
          <w:vertAlign w:val="superscript"/>
        </w:rPr>
        <w:footnoteReference w:id="122"/>
      </w:r>
      <w:r>
        <w:t xml:space="preserve">. The fundamental limitation is computational:</w:t>
      </w:r>
      <w:r>
        <w:t xml:space="preserve"> </w:t>
      </w:r>
      <w:r>
        <w:t xml:space="preserve">“</w:t>
      </w:r>
      <w:r>
        <w:t xml:space="preserve">No matter their size, there will always be problem instances—which we may not be able to identify beforehand—that require more computation than is available</w:t>
      </w:r>
      <w:r>
        <w:t xml:space="preserve">”</w:t>
      </w:r>
      <w:r>
        <w:t xml:space="preserve"> </w:t>
      </w:r>
      <w:r>
        <w:rPr>
          <w:vertAlign w:val="superscript"/>
        </w:rPr>
        <w:footnoteReference w:id="123"/>
      </w:r>
      <w:r>
        <w:t xml:space="preserve">. SLMs are</w:t>
      </w:r>
      <w:r>
        <w:t xml:space="preserve"> </w:t>
      </w:r>
      <w:r>
        <w:t xml:space="preserve">“</w:t>
      </w:r>
      <w:r>
        <w:t xml:space="preserve">incapable of truly open-ended computation</w:t>
      </w:r>
      <w:r>
        <w:t xml:space="preserve">”</w:t>
      </w:r>
      <w:r>
        <w:t xml:space="preserve"> </w:t>
      </w:r>
      <w:r>
        <w:t xml:space="preserve">when deployed alone, and this constraint is architectural rather than merely a matter of scale</w:t>
      </w:r>
      <w:r>
        <w:t xml:space="preserve"> </w:t>
      </w:r>
      <w:fldSimple w:instr="NOTEREF _Ref_Footnote_123 \h \f">
        <w:r>
          <w:rPr>
            <w:vertAlign w:val="superscript"/>
          </w:rPr>
          <w:t>123</w:t>
        </w:r>
      </w:fldSimple>
      <w:r>
        <w:t xml:space="preserve">.</w:t>
      </w:r>
    </w:p>
    <w:p>
      <w:pPr>
        <w:pStyle w:val="BodyText"/>
      </w:pPr>
      <w:r>
        <w:t xml:space="preserve">For agentic engineers, the implication is that SLM deployment should be scoped to tasks with well-defined input distributions. A function-routing SLM that has been trained on 5,000 examples of (query, tool_selection) pairs will be highly reliable for queries similar to its training set but may fail unpredictably on novel request types. This is precisely why the SLM-default, LLM-fallback architecture includes confidence-based escalation: the LLM serves as a safety net for inputs that fall outside the SLM’s reliable operating envelope</w:t>
      </w:r>
      <w:r>
        <w:t xml:space="preserve"> </w:t>
      </w:r>
      <w:fldSimple w:instr="NOTEREF _Ref_Footnote_5 \h \f">
        <w:r>
          <w:rPr>
            <w:vertAlign w:val="superscript"/>
          </w:rPr>
          <w:t>5</w:t>
        </w:r>
      </w:fldSimple>
      <w:r>
        <w:t xml:space="preserve">.</w:t>
      </w:r>
    </w:p>
    <w:bookmarkEnd w:id="81"/>
    <w:bookmarkStart w:id="82" w:name="slm-vs-llm-capability-matrix"/>
    <w:p>
      <w:pPr>
        <w:pStyle w:val="Heading4"/>
      </w:pPr>
      <w:r>
        <w:t xml:space="preserve">3.3.5 SLM vs LLM Capability Matrix</w:t>
      </w:r>
    </w:p>
    <w:tbl>
      <w:tblPr>
        <w:tblStyle w:val="Table"/>
        <w:tblW w:type="pct" w:w="5000"/>
        <w:tblLook w:firstRow="1" w:lastRow="0" w:firstColumn="0" w:lastColumn="0" w:noHBand="0" w:noVBand="0" w:val="0020"/>
      </w:tblPr>
      <w:tblGrid>
        <w:gridCol w:w="1528"/>
        <w:gridCol w:w="1806"/>
        <w:gridCol w:w="1528"/>
        <w:gridCol w:w="3056"/>
      </w:tblGrid>
      <w:tr>
        <w:trPr>
          <w:tblHeader w:val="true"/>
        </w:trPr>
        <w:tc>
          <w:tcPr/>
          <w:p>
            <w:pPr>
              <w:pStyle w:val="Compact"/>
              <w:jc w:val="left"/>
            </w:pPr>
            <w:r>
              <w:t xml:space="preserve">Capability</w:t>
            </w:r>
          </w:p>
        </w:tc>
        <w:tc>
          <w:tcPr/>
          <w:p>
            <w:pPr>
              <w:pStyle w:val="Compact"/>
              <w:jc w:val="left"/>
            </w:pPr>
            <w:r>
              <w:t xml:space="preserve">SLM (3B–14B)</w:t>
            </w:r>
          </w:p>
        </w:tc>
        <w:tc>
          <w:tcPr/>
          <w:p>
            <w:pPr>
              <w:pStyle w:val="Compact"/>
              <w:jc w:val="left"/>
            </w:pPr>
            <w:r>
              <w:t xml:space="preserve">LLM (70B+)</w:t>
            </w:r>
          </w:p>
        </w:tc>
        <w:tc>
          <w:tcPr/>
          <w:p>
            <w:pPr>
              <w:pStyle w:val="Compact"/>
              <w:jc w:val="left"/>
            </w:pPr>
            <w:r>
              <w:t xml:space="preserve">Practical Implication</w:t>
            </w:r>
          </w:p>
        </w:tc>
      </w:tr>
      <w:tr>
        <w:tc>
          <w:tcPr/>
          <w:p>
            <w:pPr>
              <w:pStyle w:val="Compact"/>
              <w:jc w:val="left"/>
            </w:pPr>
            <w:r>
              <w:t xml:space="preserve">Single-step tool calling</w:t>
            </w:r>
          </w:p>
        </w:tc>
        <w:tc>
          <w:tcPr/>
          <w:p>
            <w:pPr>
              <w:pStyle w:val="Compact"/>
              <w:jc w:val="left"/>
            </w:pPr>
            <w:r>
              <w:t xml:space="preserve">Strong—matches LLM when fine-tuned</w:t>
            </w:r>
          </w:p>
        </w:tc>
        <w:tc>
          <w:tcPr/>
          <w:p>
            <w:pPr>
              <w:pStyle w:val="Compact"/>
              <w:jc w:val="left"/>
            </w:pPr>
            <w:r>
              <w:t xml:space="preserve">Strong</w:t>
            </w:r>
          </w:p>
        </w:tc>
        <w:tc>
          <w:tcPr/>
          <w:p>
            <w:pPr>
              <w:pStyle w:val="Compact"/>
              <w:jc w:val="left"/>
            </w:pPr>
            <w:r>
              <w:t xml:space="preserve">SLM is preferred due to 10–30x lower cost</w:t>
            </w:r>
            <w:r>
              <w:t xml:space="preserve"> </w:t>
            </w:r>
            <w:fldSimple w:instr="NOTEREF _Ref_Footnote_6 \h \f">
              <w:r>
                <w:rPr>
                  <w:vertAlign w:val="superscript"/>
                </w:rPr>
                <w:t>6</w:t>
              </w:r>
            </w:fldSimple>
          </w:p>
        </w:tc>
      </w:tr>
      <w:tr>
        <w:tc>
          <w:tcPr/>
          <w:p>
            <w:pPr>
              <w:pStyle w:val="Compact"/>
              <w:jc w:val="left"/>
            </w:pPr>
            <w:r>
              <w:t xml:space="preserve">Multi-turn tool use (3+ turns)</w:t>
            </w:r>
          </w:p>
        </w:tc>
        <w:tc>
          <w:tcPr/>
          <w:p>
            <w:pPr>
              <w:pStyle w:val="Compact"/>
              <w:jc w:val="left"/>
            </w:pPr>
            <w:r>
              <w:t xml:space="preserve">Moderate—error compounds per turn</w:t>
            </w:r>
          </w:p>
        </w:tc>
        <w:tc>
          <w:tcPr/>
          <w:p>
            <w:pPr>
              <w:pStyle w:val="Compact"/>
              <w:jc w:val="left"/>
            </w:pPr>
            <w:r>
              <w:t xml:space="preserve">Strong</w:t>
            </w:r>
          </w:p>
        </w:tc>
        <w:tc>
          <w:tcPr/>
          <w:p>
            <w:pPr>
              <w:pStyle w:val="Compact"/>
              <w:jc w:val="left"/>
            </w:pPr>
            <w:r>
              <w:t xml:space="preserve">Escalate to LLM when sequential calls exceed 3–5</w:t>
            </w:r>
            <w:r>
              <w:t xml:space="preserve"> </w:t>
            </w:r>
            <w:fldSimple w:instr="NOTEREF _Ref_Footnote_117 \h \f">
              <w:r>
                <w:rPr>
                  <w:vertAlign w:val="superscript"/>
                </w:rPr>
                <w:t>117</w:t>
              </w:r>
            </w:fldSimple>
          </w:p>
        </w:tc>
      </w:tr>
      <w:tr>
        <w:tc>
          <w:tcPr/>
          <w:p>
            <w:pPr>
              <w:pStyle w:val="Compact"/>
              <w:jc w:val="left"/>
            </w:pPr>
            <w:r>
              <w:t xml:space="preserve">Complex reasoning and planning</w:t>
            </w:r>
          </w:p>
        </w:tc>
        <w:tc>
          <w:tcPr/>
          <w:p>
            <w:pPr>
              <w:pStyle w:val="Compact"/>
              <w:jc w:val="left"/>
            </w:pPr>
            <w:r>
              <w:t xml:space="preserve">Weak to moderate—degrades below 7B</w:t>
            </w:r>
          </w:p>
        </w:tc>
        <w:tc>
          <w:tcPr/>
          <w:p>
            <w:pPr>
              <w:pStyle w:val="Compact"/>
              <w:jc w:val="left"/>
            </w:pPr>
            <w:r>
              <w:t xml:space="preserve">Strong</w:t>
            </w:r>
          </w:p>
        </w:tc>
        <w:tc>
          <w:tcPr/>
          <w:p>
            <w:pPr>
              <w:pStyle w:val="Compact"/>
              <w:jc w:val="left"/>
            </w:pPr>
            <w:r>
              <w:t xml:space="preserve">Phi-4 (14B) is the exception; smaller models need LLM fallback</w:t>
            </w:r>
            <w:r>
              <w:t xml:space="preserve"> </w:t>
            </w:r>
            <w:fldSimple w:instr="NOTEREF _Ref_Footnote_6 \h \f">
              <w:r>
                <w:rPr>
                  <w:vertAlign w:val="superscript"/>
                </w:rPr>
                <w:t>6</w:t>
              </w:r>
            </w:fldSimple>
          </w:p>
        </w:tc>
      </w:tr>
      <w:tr>
        <w:tc>
          <w:tcPr/>
          <w:p>
            <w:pPr>
              <w:pStyle w:val="Compact"/>
              <w:jc w:val="left"/>
            </w:pPr>
            <w:r>
              <w:t xml:space="preserve">Open-ended problem solving</w:t>
            </w:r>
          </w:p>
        </w:tc>
        <w:tc>
          <w:tcPr/>
          <w:p>
            <w:pPr>
              <w:pStyle w:val="Compact"/>
              <w:jc w:val="left"/>
            </w:pPr>
            <w:r>
              <w:t xml:space="preserve">Weak—narrow knowledge scope</w:t>
            </w:r>
          </w:p>
        </w:tc>
        <w:tc>
          <w:tcPr/>
          <w:p>
            <w:pPr>
              <w:pStyle w:val="Compact"/>
              <w:jc w:val="left"/>
            </w:pPr>
            <w:r>
              <w:t xml:space="preserve">Moderate to strong</w:t>
            </w:r>
          </w:p>
        </w:tc>
        <w:tc>
          <w:tcPr/>
          <w:p>
            <w:pPr>
              <w:pStyle w:val="Compact"/>
              <w:jc w:val="left"/>
            </w:pPr>
            <w:r>
              <w:t xml:space="preserve">Both have fundamental computational limits</w:t>
            </w:r>
            <w:r>
              <w:t xml:space="preserve"> </w:t>
            </w:r>
            <w:fldSimple w:instr="NOTEREF _Ref_Footnote_123 \h \f">
              <w:r>
                <w:rPr>
                  <w:vertAlign w:val="superscript"/>
                </w:rPr>
                <w:t>123</w:t>
              </w:r>
            </w:fldSimple>
          </w:p>
        </w:tc>
      </w:tr>
      <w:tr>
        <w:tc>
          <w:tcPr/>
          <w:p>
            <w:pPr>
              <w:pStyle w:val="Compact"/>
              <w:jc w:val="left"/>
            </w:pPr>
            <w:r>
              <w:t xml:space="preserve">Classification and routing</w:t>
            </w:r>
          </w:p>
        </w:tc>
        <w:tc>
          <w:tcPr/>
          <w:p>
            <w:pPr>
              <w:pStyle w:val="Compact"/>
              <w:jc w:val="left"/>
            </w:pPr>
            <w:r>
              <w:t xml:space="preserve">Excellent—often superior to LLM when fine-tuned</w:t>
            </w:r>
          </w:p>
        </w:tc>
        <w:tc>
          <w:tcPr/>
          <w:p>
            <w:pPr>
              <w:pStyle w:val="Compact"/>
              <w:jc w:val="left"/>
            </w:pPr>
            <w:r>
              <w:t xml:space="preserve">Strong</w:t>
            </w:r>
          </w:p>
        </w:tc>
        <w:tc>
          <w:tcPr/>
          <w:p>
            <w:pPr>
              <w:pStyle w:val="Compact"/>
              <w:jc w:val="left"/>
            </w:pPr>
            <w:r>
              <w:t xml:space="preserve">SLM is the default choice; use smallest viable model</w:t>
            </w:r>
            <w:r>
              <w:t xml:space="preserve"> </w:t>
            </w:r>
            <w:fldSimple w:instr="NOTEREF _Ref_Footnote_17 \h \f">
              <w:r>
                <w:rPr>
                  <w:vertAlign w:val="superscript"/>
                </w:rPr>
                <w:t>17</w:t>
              </w:r>
            </w:fldSimple>
          </w:p>
        </w:tc>
      </w:tr>
      <w:tr>
        <w:tc>
          <w:tcPr/>
          <w:p>
            <w:pPr>
              <w:pStyle w:val="Compact"/>
              <w:jc w:val="left"/>
            </w:pPr>
            <w:r>
              <w:t xml:space="preserve">Structured output generation</w:t>
            </w:r>
          </w:p>
        </w:tc>
        <w:tc>
          <w:tcPr/>
          <w:p>
            <w:pPr>
              <w:pStyle w:val="Compact"/>
              <w:jc w:val="left"/>
            </w:pPr>
            <w:r>
              <w:t xml:space="preserve">Strong—guided decoding levels the field</w:t>
            </w:r>
          </w:p>
        </w:tc>
        <w:tc>
          <w:tcPr/>
          <w:p>
            <w:pPr>
              <w:pStyle w:val="Compact"/>
              <w:jc w:val="left"/>
            </w:pPr>
            <w:r>
              <w:t xml:space="preserve">Strong</w:t>
            </w:r>
          </w:p>
        </w:tc>
        <w:tc>
          <w:tcPr/>
          <w:p>
            <w:pPr>
              <w:pStyle w:val="Compact"/>
              <w:jc w:val="left"/>
            </w:pPr>
            <w:r>
              <w:t xml:space="preserve">Mandatory guided decoding improves SLM output 4%</w:t>
            </w:r>
            <w:r>
              <w:t xml:space="preserve"> </w:t>
            </w:r>
            <w:fldSimple w:instr="NOTEREF _Ref_Footnote_114 \h \f">
              <w:r>
                <w:rPr>
                  <w:vertAlign w:val="superscript"/>
                </w:rPr>
                <w:t>114</w:t>
              </w:r>
            </w:fldSimple>
          </w:p>
        </w:tc>
      </w:tr>
      <w:tr>
        <w:tc>
          <w:tcPr/>
          <w:p>
            <w:pPr>
              <w:pStyle w:val="Compact"/>
              <w:jc w:val="left"/>
            </w:pPr>
            <w:r>
              <w:t xml:space="preserve">Domain-specific narrow tasks</w:t>
            </w:r>
          </w:p>
        </w:tc>
        <w:tc>
          <w:tcPr/>
          <w:p>
            <w:pPr>
              <w:pStyle w:val="Compact"/>
              <w:jc w:val="left"/>
            </w:pPr>
            <w:r>
              <w:t xml:space="preserve">Excellent—fine-tuned SLM exceeds zero-shot LLM</w:t>
            </w:r>
          </w:p>
        </w:tc>
        <w:tc>
          <w:tcPr/>
          <w:p>
            <w:pPr>
              <w:pStyle w:val="Compact"/>
              <w:jc w:val="left"/>
            </w:pPr>
            <w:r>
              <w:t xml:space="preserve">Moderate</w:t>
            </w:r>
          </w:p>
        </w:tc>
        <w:tc>
          <w:tcPr/>
          <w:p>
            <w:pPr>
              <w:pStyle w:val="Compact"/>
              <w:jc w:val="left"/>
            </w:pPr>
            <w:r>
              <w:t xml:space="preserve">Key SLM advantage: specialization beats generalization</w:t>
            </w:r>
            <w:r>
              <w:t xml:space="preserve"> </w:t>
            </w:r>
            <w:fldSimple w:instr="NOTEREF _Ref_Footnote_111 \h \f">
              <w:r>
                <w:rPr>
                  <w:vertAlign w:val="superscript"/>
                </w:rPr>
                <w:t>111</w:t>
              </w:r>
            </w:fldSimple>
          </w:p>
        </w:tc>
      </w:tr>
      <w:tr>
        <w:tc>
          <w:tcPr/>
          <w:p>
            <w:pPr>
              <w:pStyle w:val="Compact"/>
              <w:jc w:val="left"/>
            </w:pPr>
            <w:r>
              <w:t xml:space="preserve">Long context (100K+ tokens)</w:t>
            </w:r>
          </w:p>
        </w:tc>
        <w:tc>
          <w:tcPr/>
          <w:p>
            <w:pPr>
              <w:pStyle w:val="Compact"/>
              <w:jc w:val="left"/>
            </w:pPr>
            <w:r>
              <w:t xml:space="preserve">Varies—128K available but effective use differs</w:t>
            </w:r>
          </w:p>
        </w:tc>
        <w:tc>
          <w:tcPr/>
          <w:p>
            <w:pPr>
              <w:pStyle w:val="Compact"/>
              <w:jc w:val="left"/>
            </w:pPr>
            <w:r>
              <w:t xml:space="preserve">Strong</w:t>
            </w:r>
          </w:p>
        </w:tc>
        <w:tc>
          <w:tcPr/>
          <w:p>
            <w:pPr>
              <w:pStyle w:val="Compact"/>
              <w:jc w:val="left"/>
            </w:pPr>
            <w:r>
              <w:t xml:space="preserve">Evaluate effective context, not advertised window</w:t>
            </w:r>
            <w:r>
              <w:t xml:space="preserve"> </w:t>
            </w:r>
            <w:fldSimple w:instr="NOTEREF _Ref_Footnote_101 \h \f">
              <w:r>
                <w:rPr>
                  <w:vertAlign w:val="superscript"/>
                </w:rPr>
                <w:t>101</w:t>
              </w:r>
            </w:fldSimple>
          </w:p>
        </w:tc>
      </w:tr>
      <w:tr>
        <w:tc>
          <w:tcPr/>
          <w:p>
            <w:pPr>
              <w:pStyle w:val="Compact"/>
              <w:jc w:val="left"/>
            </w:pPr>
            <w:r>
              <w:t xml:space="preserve">Novel task generalization</w:t>
            </w:r>
          </w:p>
        </w:tc>
        <w:tc>
          <w:tcPr/>
          <w:p>
            <w:pPr>
              <w:pStyle w:val="Compact"/>
              <w:jc w:val="left"/>
            </w:pPr>
            <w:r>
              <w:t xml:space="preserve">Weak—requires fine-tuning or examples</w:t>
            </w:r>
          </w:p>
        </w:tc>
        <w:tc>
          <w:tcPr/>
          <w:p>
            <w:pPr>
              <w:pStyle w:val="Compact"/>
              <w:jc w:val="left"/>
            </w:pPr>
            <w:r>
              <w:t xml:space="preserve">Strong</w:t>
            </w:r>
          </w:p>
        </w:tc>
        <w:tc>
          <w:tcPr/>
          <w:p>
            <w:pPr>
              <w:pStyle w:val="Compact"/>
              <w:jc w:val="left"/>
            </w:pPr>
            <w:r>
              <w:t xml:space="preserve">LLM better at zero-shot; SLM needs training data</w:t>
            </w:r>
            <w:r>
              <w:t xml:space="preserve"> </w:t>
            </w:r>
            <w:fldSimple w:instr="NOTEREF _Ref_Footnote_6 \h \f">
              <w:r>
                <w:rPr>
                  <w:vertAlign w:val="superscript"/>
                </w:rPr>
                <w:t>6</w:t>
              </w:r>
            </w:fldSimple>
          </w:p>
        </w:tc>
      </w:tr>
      <w:tr>
        <w:tc>
          <w:tcPr/>
          <w:p>
            <w:pPr>
              <w:pStyle w:val="Compact"/>
              <w:jc w:val="left"/>
            </w:pPr>
            <w:r>
              <w:t xml:space="preserve">Cost efficiency</w:t>
            </w:r>
          </w:p>
        </w:tc>
        <w:tc>
          <w:tcPr/>
          <w:p>
            <w:pPr>
              <w:pStyle w:val="Compact"/>
              <w:jc w:val="left"/>
            </w:pPr>
            <w:r>
              <w:t xml:space="preserve">Excellent—10–100x lower token cost</w:t>
            </w:r>
          </w:p>
        </w:tc>
        <w:tc>
          <w:tcPr/>
          <w:p>
            <w:pPr>
              <w:pStyle w:val="Compact"/>
              <w:jc w:val="left"/>
            </w:pPr>
            <w:r>
              <w:t xml:space="preserve">Poor</w:t>
            </w:r>
          </w:p>
        </w:tc>
        <w:tc>
          <w:tcPr/>
          <w:p>
            <w:pPr>
              <w:pStyle w:val="Compact"/>
              <w:jc w:val="left"/>
            </w:pPr>
            <w:r>
              <w:t xml:space="preserve">Core economic argument for SLM-first architecture</w:t>
            </w:r>
            <w:r>
              <w:t xml:space="preserve"> </w:t>
            </w:r>
            <w:fldSimple w:instr="NOTEREF _Ref_Footnote_5 \h \f">
              <w:r>
                <w:rPr>
                  <w:vertAlign w:val="superscript"/>
                </w:rPr>
                <w:t>5</w:t>
              </w:r>
            </w:fldSimple>
          </w:p>
        </w:tc>
      </w:tr>
      <w:tr>
        <w:tc>
          <w:tcPr/>
          <w:p>
            <w:pPr>
              <w:pStyle w:val="Compact"/>
              <w:jc w:val="left"/>
            </w:pPr>
            <w:r>
              <w:t xml:space="preserve">Inference latency</w:t>
            </w:r>
          </w:p>
        </w:tc>
        <w:tc>
          <w:tcPr/>
          <w:p>
            <w:pPr>
              <w:pStyle w:val="Compact"/>
              <w:jc w:val="left"/>
            </w:pPr>
            <w:r>
              <w:t xml:space="preserve">Excellent—tens of ms on commodity hardware</w:t>
            </w:r>
          </w:p>
        </w:tc>
        <w:tc>
          <w:tcPr/>
          <w:p>
            <w:pPr>
              <w:pStyle w:val="Compact"/>
              <w:jc w:val="left"/>
            </w:pPr>
            <w:r>
              <w:t xml:space="preserve">Moderate—hundreds of ms to seconds</w:t>
            </w:r>
          </w:p>
        </w:tc>
        <w:tc>
          <w:tcPr/>
          <w:p>
            <w:pPr>
              <w:pStyle w:val="Compact"/>
              <w:jc w:val="left"/>
            </w:pPr>
            <w:r>
              <w:t xml:space="preserve">Critical for interactive agents; SLM enables real-time response</w:t>
            </w:r>
            <w:r>
              <w:t xml:space="preserve"> </w:t>
            </w:r>
            <w:r>
              <w:rPr>
                <w:vertAlign w:val="superscript"/>
              </w:rPr>
              <w:footnoteReference w:id="124"/>
            </w:r>
          </w:p>
        </w:tc>
      </w:tr>
    </w:tbl>
    <w:p>
      <w:pPr>
        <w:pStyle w:val="BodyText"/>
      </w:pPr>
      <w:r>
        <w:t xml:space="preserve">The matrix yields a straightforward decision framework. For the six agentic workloads in the upper portion of the table—single-step tool calling, classification, structured output, domain-specific tasks, cost-constrained deployments, and latency-sensitive applications—SLMs are the rational default. For the five workloads in the lower portion—multi-turn reasoning, complex planning, open-ended problem solving, novel task generalization, and long-context synthesis—LLMs retain a meaningful advantage that justifies their higher cost.</w:t>
      </w:r>
    </w:p>
    <w:p>
      <w:pPr>
        <w:pStyle w:val="BodyText"/>
      </w:pPr>
      <w:r>
        <w:t xml:space="preserve">The boundary between these zones is not static. Fine-tuning can shift an SLM’s capability upward on specific tasks: a fine-tuned 3B model may handle a 5-turn tool-calling workflow that would defeat its zero-shot configuration. Guided decoding and validator-first tool use further extend the SLM advantage by constraining the output space and catching errors before they propagate</w:t>
      </w:r>
      <w:r>
        <w:t xml:space="preserve"> </w:t>
      </w:r>
      <w:fldSimple w:instr="NOTEREF _Ref_Footnote_5 \h \f">
        <w:r>
          <w:rPr>
            <w:vertAlign w:val="superscript"/>
          </w:rPr>
          <w:t>5</w:t>
        </w:r>
      </w:fldSimple>
      <w:r>
        <w:t xml:space="preserve">. However, the fundamental asymmetry remains: SLMs gain capability through specialization, while LLMs retain capability through generalization. An agentic architecture that leverages both properties—specialized SLMs for routine work and a generalist LLM for edge cases—consistently outperforms monolithic deployments on both cost and reliability metrics</w:t>
      </w:r>
      <w:r>
        <w:t xml:space="preserve"> </w:t>
      </w:r>
      <w:fldSimple w:instr="NOTEREF _Ref_Footnote_6 \h \f">
        <w:r>
          <w:rPr>
            <w:vertAlign w:val="superscript"/>
          </w:rPr>
          <w:t>6</w:t>
        </w:r>
      </w:fldSimple>
      <w:r>
        <w:t xml:space="preserve"> </w:t>
      </w:r>
      <w:fldSimple w:instr="NOTEREF _Ref_Footnote_16 \h \f">
        <w:r>
          <w:rPr>
            <w:vertAlign w:val="superscript"/>
          </w:rPr>
          <w:t>16</w:t>
        </w:r>
      </w:fldSimple>
      <w:r>
        <w:t xml:space="preserve">.</w:t>
      </w:r>
    </w:p>
    <w:p>
      <w:r>
        <w:pict>
          <v:rect style="width:0;height:1.5pt" o:hralign="center" o:hrstd="t" o:hr="t"/>
        </w:pict>
      </w:r>
    </w:p>
    <w:bookmarkEnd w:id="82"/>
    <w:bookmarkEnd w:id="83"/>
    <w:bookmarkEnd w:id="84"/>
    <w:bookmarkStart w:id="111" w:name="X4406122873c2439d1a1c35bc0fe938d7afeb3f5"/>
    <w:p>
      <w:pPr>
        <w:pStyle w:val="Heading2"/>
      </w:pPr>
      <w:r>
        <w:t xml:space="preserve">4. Placing SLMs in the Agentic Ecosystem: Strategy and Architecture</w:t>
      </w:r>
    </w:p>
    <w:p>
      <w:pPr>
        <w:pStyle w:val="FirstParagraph"/>
      </w:pPr>
      <w:r>
        <w:t xml:space="preserve">The preceding chapters established that agentic AI systems require heterogeneous model portfolios and that Small Language Models (SLMs) possess distinct capability profiles well-suited to specific functional niches. This chapter addresses the central architectural question: where, exactly, should an SLM be positioned within an agentic ecosystem so that it smartly produces responses and facilitates the system’s overall purpose rather than merely substituting for a larger model at lower cost? The placement decision is not merely a sizing exercise — it determines whether the SLM acts as a passive accelerator or as an active architectural component that shapes how intelligence flows through the system.</w:t>
      </w:r>
    </w:p>
    <w:p>
      <w:pPr>
        <w:pStyle w:val="BodyText"/>
      </w:pPr>
      <w:r>
        <w:t xml:space="preserve">The evidence from production deployments, academic research, and framework design converges on a clear answer: SLMs function optimally as specialized, task-bound components within a heterogeneous architecture — as routers, guardrails, tool callers, edge executors, and domain specialists — while frontier Large Language Models (LLMs) are reserved for genuinely complex reasoning and novel problem-solving</w:t>
      </w:r>
      <w:r>
        <w:t xml:space="preserve"> </w:t>
      </w:r>
      <w:r>
        <w:rPr>
          <w:vertAlign w:val="superscript"/>
        </w:rPr>
        <w:footnoteReference w:id="125"/>
      </w:r>
      <w:r>
        <w:t xml:space="preserve"> </w:t>
      </w:r>
      <w:fldSimple w:instr="NOTEREF _Ref_Footnote_16 \h \f">
        <w:r>
          <w:rPr>
            <w:vertAlign w:val="superscript"/>
          </w:rPr>
          <w:t>16</w:t>
        </w:r>
      </w:fldSimple>
      <w:r>
        <w:t xml:space="preserve">. NVIDIA’s formal research position crystallizes this view: SLMs should serve as the</w:t>
      </w:r>
      <w:r>
        <w:t xml:space="preserve"> </w:t>
      </w:r>
      <w:r>
        <w:t xml:space="preserve">“</w:t>
      </w:r>
      <w:r>
        <w:t xml:space="preserve">central operational role</w:t>
      </w:r>
      <w:r>
        <w:t xml:space="preserve">”</w:t>
      </w:r>
      <w:r>
        <w:t xml:space="preserve"> </w:t>
      </w:r>
      <w:r>
        <w:t xml:space="preserve">in heterogeneous ecosystems, with LLMs held in reserve for situations where</w:t>
      </w:r>
      <w:r>
        <w:t xml:space="preserve"> </w:t>
      </w:r>
      <w:r>
        <w:t xml:space="preserve">“</w:t>
      </w:r>
      <w:r>
        <w:t xml:space="preserve">generalist capabilities are indispensable</w:t>
      </w:r>
      <w:r>
        <w:t xml:space="preserve">”</w:t>
      </w:r>
      <w:r>
        <w:t xml:space="preserve"> </w:t>
      </w:r>
      <w:r>
        <w:rPr>
          <w:vertAlign w:val="superscript"/>
        </w:rPr>
        <w:footnoteReference w:id="126"/>
      </w:r>
      <w:r>
        <w:t xml:space="preserve">. This chapter maps the six optimal roles for SLMs, examines the router pattern as a dominant architectural design, explores the emergence of domain-specific specialist SLMs, and analyzes how SLMs generate responses in ways that actively facilitate — rather than passively participate in — the agentic ecosystem.</w:t>
      </w:r>
    </w:p>
    <w:bookmarkStart w:id="91" w:name="the-six-optimal-roles-for-slms"/>
    <w:p>
      <w:pPr>
        <w:pStyle w:val="Heading3"/>
      </w:pPr>
      <w:r>
        <w:t xml:space="preserve">4.1 The Six Optimal Roles for SLMs</w:t>
      </w:r>
    </w:p>
    <w:p>
      <w:pPr>
        <w:pStyle w:val="FirstParagraph"/>
      </w:pPr>
      <w:r>
        <w:t xml:space="preserve">Research across production systems, academic benchmarks, and framework implementations identifies six roles where SLMs demonstrate performance comparable to or exceeding that of LLMs at a fraction of the cost and latency</w:t>
      </w:r>
      <w:r>
        <w:t xml:space="preserve"> </w:t>
      </w:r>
      <w:fldSimple w:instr="NOTEREF _Ref_Footnote_5 \h \f">
        <w:r>
          <w:rPr>
            <w:vertAlign w:val="superscript"/>
          </w:rPr>
          <w:t>5</w:t>
        </w:r>
      </w:fldSimple>
      <w:r>
        <w:t xml:space="preserve"> </w:t>
      </w:r>
      <w:fldSimple w:instr="NOTEREF _Ref_Footnote_16 \h \f">
        <w:r>
          <w:rPr>
            <w:vertAlign w:val="superscript"/>
          </w:rPr>
          <w:t>16</w:t>
        </w:r>
      </w:fldSimple>
      <w:r>
        <w:t xml:space="preserve">. These roles share common characteristics: they are narrow in scope, structured in their input-output patterns, repetitive in nature, and bounded by deterministic schemas. Table 4.1 summarizes the accuracy, latency, and cost profiles for each role.</w:t>
      </w:r>
    </w:p>
    <w:p>
      <w:pPr>
        <w:pStyle w:val="BodyText"/>
      </w:pPr>
      <w:r>
        <w:rPr>
          <w:bCs/>
          <w:b/>
        </w:rPr>
        <w:t xml:space="preserve">Table 4.1 — Six Optimal SLM Roles in Agentic Ecosystems: Performance Profiles</w:t>
      </w:r>
    </w:p>
    <w:tbl>
      <w:tblPr>
        <w:tblStyle w:val="Table"/>
        <w:tblW w:type="pct" w:w="5000"/>
        <w:tblLook w:firstRow="1" w:lastRow="0" w:firstColumn="0" w:lastColumn="0" w:noHBand="0" w:noVBand="0" w:val="0020"/>
      </w:tblPr>
      <w:tblGrid>
        <w:gridCol w:w="579"/>
        <w:gridCol w:w="1641"/>
        <w:gridCol w:w="1931"/>
        <w:gridCol w:w="869"/>
        <w:gridCol w:w="1255"/>
        <w:gridCol w:w="1641"/>
      </w:tblGrid>
      <w:tr>
        <w:trPr>
          <w:tblHeader w:val="true"/>
        </w:trPr>
        <w:tc>
          <w:tcPr/>
          <w:p>
            <w:pPr>
              <w:pStyle w:val="Compact"/>
              <w:jc w:val="left"/>
            </w:pPr>
            <w:r>
              <w:t xml:space="preserve">Role</w:t>
            </w:r>
          </w:p>
        </w:tc>
        <w:tc>
          <w:tcPr/>
          <w:p>
            <w:pPr>
              <w:pStyle w:val="Compact"/>
              <w:jc w:val="left"/>
            </w:pPr>
            <w:r>
              <w:t xml:space="preserve">Typical SLM Size</w:t>
            </w:r>
          </w:p>
        </w:tc>
        <w:tc>
          <w:tcPr/>
          <w:p>
            <w:pPr>
              <w:pStyle w:val="Compact"/>
              <w:jc w:val="left"/>
            </w:pPr>
            <w:r>
              <w:t xml:space="preserve">Key Accuracy Metric</w:t>
            </w:r>
          </w:p>
        </w:tc>
        <w:tc>
          <w:tcPr/>
          <w:p>
            <w:pPr>
              <w:pStyle w:val="Compact"/>
              <w:jc w:val="left"/>
            </w:pPr>
            <w:r>
              <w:t xml:space="preserve">Latency</w:t>
            </w:r>
          </w:p>
        </w:tc>
        <w:tc>
          <w:tcPr/>
          <w:p>
            <w:pPr>
              <w:pStyle w:val="Compact"/>
              <w:jc w:val="left"/>
            </w:pPr>
            <w:r>
              <w:t xml:space="preserve">Cost vs. LLM</w:t>
            </w:r>
          </w:p>
        </w:tc>
        <w:tc>
          <w:tcPr/>
          <w:p>
            <w:pPr>
              <w:pStyle w:val="Compact"/>
              <w:jc w:val="left"/>
            </w:pPr>
            <w:r>
              <w:t xml:space="preserve">Evidence Source</w:t>
            </w:r>
          </w:p>
        </w:tc>
      </w:tr>
      <w:tr>
        <w:tc>
          <w:tcPr/>
          <w:p>
            <w:pPr>
              <w:pStyle w:val="Compact"/>
              <w:jc w:val="left"/>
            </w:pPr>
            <w:r>
              <w:t xml:space="preserve">Task Router / Intent Classifier</w:t>
            </w:r>
          </w:p>
        </w:tc>
        <w:tc>
          <w:tcPr/>
          <w:p>
            <w:pPr>
              <w:pStyle w:val="Compact"/>
              <w:jc w:val="left"/>
            </w:pPr>
            <w:r>
              <w:t xml:space="preserve">1B–7B (fine-tuned)</w:t>
            </w:r>
          </w:p>
        </w:tc>
        <w:tc>
          <w:tcPr/>
          <w:p>
            <w:pPr>
              <w:pStyle w:val="Compact"/>
              <w:jc w:val="left"/>
            </w:pPr>
            <w:r>
              <w:t xml:space="preserve">92–97% on routine intents</w:t>
            </w:r>
            <w:r>
              <w:t xml:space="preserve"> </w:t>
            </w:r>
            <w:fldSimple w:instr="NOTEREF _Ref_Footnote_12 \h \f">
              <w:r>
                <w:rPr>
                  <w:vertAlign w:val="superscript"/>
                </w:rPr>
                <w:t>12</w:t>
              </w:r>
            </w:fldSimple>
          </w:p>
        </w:tc>
        <w:tc>
          <w:tcPr/>
          <w:p>
            <w:pPr>
              <w:pStyle w:val="Compact"/>
              <w:jc w:val="left"/>
            </w:pPr>
            <w:r>
              <w:t xml:space="preserve">10–50 ms</w:t>
            </w:r>
          </w:p>
        </w:tc>
        <w:tc>
          <w:tcPr/>
          <w:p>
            <w:pPr>
              <w:pStyle w:val="Compact"/>
              <w:jc w:val="left"/>
            </w:pPr>
            <w:r>
              <w:t xml:space="preserve">~80% lower</w:t>
            </w:r>
            <w:r>
              <w:t xml:space="preserve"> </w:t>
            </w:r>
            <w:fldSimple w:instr="NOTEREF _Ref_Footnote_12 \h \f">
              <w:r>
                <w:rPr>
                  <w:vertAlign w:val="superscript"/>
                </w:rPr>
                <w:t>12</w:t>
              </w:r>
            </w:fldSimple>
          </w:p>
        </w:tc>
        <w:tc>
          <w:tcPr/>
          <w:p>
            <w:pPr>
              <w:pStyle w:val="Compact"/>
              <w:jc w:val="left"/>
            </w:pPr>
            <w:r>
              <w:t xml:space="preserve">Production deployments (WonderLab, FutureAGI)</w:t>
            </w:r>
          </w:p>
        </w:tc>
      </w:tr>
      <w:tr>
        <w:tc>
          <w:tcPr/>
          <w:p>
            <w:pPr>
              <w:pStyle w:val="Compact"/>
              <w:jc w:val="left"/>
            </w:pPr>
            <w:r>
              <w:t xml:space="preserve">Tool Caller / API Orchestrator</w:t>
            </w:r>
          </w:p>
        </w:tc>
        <w:tc>
          <w:tcPr/>
          <w:p>
            <w:pPr>
              <w:pStyle w:val="Compact"/>
              <w:jc w:val="left"/>
            </w:pPr>
            <w:r>
              <w:t xml:space="preserve">2B–8B</w:t>
            </w:r>
          </w:p>
        </w:tc>
        <w:tc>
          <w:tcPr/>
          <w:p>
            <w:pPr>
              <w:pStyle w:val="Compact"/>
              <w:jc w:val="left"/>
            </w:pPr>
            <w:r>
              <w:t xml:space="preserve">BFCL v4: 20–70+ (model-dependent)</w:t>
            </w:r>
            <w:r>
              <w:t xml:space="preserve"> </w:t>
            </w:r>
            <w:fldSimple w:instr="NOTEREF _Ref_Footnote_106 \h \f">
              <w:r>
                <w:rPr>
                  <w:vertAlign w:val="superscript"/>
                </w:rPr>
                <w:t>106</w:t>
              </w:r>
            </w:fldSimple>
            <w:r>
              <w:t xml:space="preserve"> </w:t>
            </w:r>
            <w:fldSimple w:instr="NOTEREF _Ref_Footnote_102 \h \f">
              <w:r>
                <w:rPr>
                  <w:vertAlign w:val="superscript"/>
                </w:rPr>
                <w:t>102</w:t>
              </w:r>
            </w:fldSimple>
          </w:p>
        </w:tc>
        <w:tc>
          <w:tcPr/>
          <w:p>
            <w:pPr>
              <w:pStyle w:val="Compact"/>
              <w:jc w:val="left"/>
            </w:pPr>
            <w:r>
              <w:t xml:space="preserve">20–100 ms</w:t>
            </w:r>
          </w:p>
        </w:tc>
        <w:tc>
          <w:tcPr/>
          <w:p>
            <w:pPr>
              <w:pStyle w:val="Compact"/>
              <w:jc w:val="left"/>
            </w:pPr>
            <w:r>
              <w:t xml:space="preserve">~90% lower</w:t>
            </w:r>
            <w:r>
              <w:t xml:space="preserve"> </w:t>
            </w:r>
            <w:r>
              <w:rPr>
                <w:vertAlign w:val="superscript"/>
              </w:rPr>
              <w:footnoteReference w:id="127"/>
            </w:r>
          </w:p>
        </w:tc>
        <w:tc>
          <w:tcPr/>
          <w:p>
            <w:pPr>
              <w:pStyle w:val="Compact"/>
              <w:jc w:val="left"/>
            </w:pPr>
            <w:r>
              <w:t xml:space="preserve">BFCL leaderboard, Octopus series</w:t>
            </w:r>
          </w:p>
        </w:tc>
      </w:tr>
      <w:tr>
        <w:tc>
          <w:tcPr/>
          <w:p>
            <w:pPr>
              <w:pStyle w:val="Compact"/>
              <w:jc w:val="left"/>
            </w:pPr>
            <w:r>
              <w:t xml:space="preserve">I/O Validator (Guardrails)</w:t>
            </w:r>
          </w:p>
        </w:tc>
        <w:tc>
          <w:tcPr/>
          <w:p>
            <w:pPr>
              <w:pStyle w:val="Compact"/>
              <w:jc w:val="left"/>
            </w:pPr>
            <w:r>
              <w:t xml:space="preserve">ELECTRA-based classifier</w:t>
            </w:r>
          </w:p>
        </w:tc>
        <w:tc>
          <w:tcPr/>
          <w:p>
            <w:pPr>
              <w:pStyle w:val="Compact"/>
              <w:jc w:val="left"/>
            </w:pPr>
            <w:r>
              <w:t xml:space="preserve">97.75% answerability; 94% filtering</w:t>
            </w:r>
            <w:r>
              <w:t xml:space="preserve"> </w:t>
            </w:r>
            <w:fldSimple w:instr="NOTEREF _Ref_Footnote_14 \h \f">
              <w:r>
                <w:rPr>
                  <w:vertAlign w:val="superscript"/>
                </w:rPr>
                <w:t>14</w:t>
              </w:r>
            </w:fldSimple>
          </w:p>
        </w:tc>
        <w:tc>
          <w:tcPr/>
          <w:p>
            <w:pPr>
              <w:pStyle w:val="Compact"/>
              <w:jc w:val="left"/>
            </w:pPr>
            <w:r>
              <w:t xml:space="preserve">~135 ms on-device</w:t>
            </w:r>
            <w:r>
              <w:t xml:space="preserve"> </w:t>
            </w:r>
            <w:fldSimple w:instr="NOTEREF _Ref_Footnote_14 \h \f">
              <w:r>
                <w:rPr>
                  <w:vertAlign w:val="superscript"/>
                </w:rPr>
                <w:t>14</w:t>
              </w:r>
            </w:fldSimple>
          </w:p>
        </w:tc>
        <w:tc>
          <w:tcPr/>
          <w:p>
            <w:pPr>
              <w:pStyle w:val="Compact"/>
              <w:jc w:val="left"/>
            </w:pPr>
            <w:r>
              <w:t xml:space="preserve">Negligible (runs locally)</w:t>
            </w:r>
            <w:r>
              <w:t xml:space="preserve"> </w:t>
            </w:r>
            <w:fldSimple w:instr="NOTEREF _Ref_Footnote_115 \h \f">
              <w:r>
                <w:rPr>
                  <w:vertAlign w:val="superscript"/>
                </w:rPr>
                <w:t>115</w:t>
              </w:r>
            </w:fldSimple>
          </w:p>
        </w:tc>
        <w:tc>
          <w:tcPr/>
          <w:p>
            <w:pPr>
              <w:pStyle w:val="Compact"/>
              <w:jc w:val="left"/>
            </w:pPr>
            <w:r>
              <w:t xml:space="preserve">Texas A&amp;M (LiteLMGuard)</w:t>
            </w:r>
          </w:p>
        </w:tc>
      </w:tr>
      <w:tr>
        <w:tc>
          <w:tcPr/>
          <w:p>
            <w:pPr>
              <w:pStyle w:val="Compact"/>
              <w:jc w:val="left"/>
            </w:pPr>
            <w:r>
              <w:t xml:space="preserve">Edge Executor</w:t>
            </w:r>
          </w:p>
        </w:tc>
        <w:tc>
          <w:tcPr/>
          <w:p>
            <w:pPr>
              <w:pStyle w:val="Compact"/>
              <w:jc w:val="left"/>
            </w:pPr>
            <w:r>
              <w:t xml:space="preserve">1B–3B (quantized)</w:t>
            </w:r>
          </w:p>
        </w:tc>
        <w:tc>
          <w:tcPr/>
          <w:p>
            <w:pPr>
              <w:pStyle w:val="Compact"/>
              <w:jc w:val="left"/>
            </w:pPr>
            <w:r>
              <w:t xml:space="preserve">Surpasses GPT-4 on-device (function calling)</w:t>
            </w:r>
            <w:r>
              <w:t xml:space="preserve"> </w:t>
            </w:r>
            <w:fldSimple w:instr="NOTEREF _Ref_Footnote_15 \h \f">
              <w:r>
                <w:rPr>
                  <w:vertAlign w:val="superscript"/>
                </w:rPr>
                <w:t>15</w:t>
              </w:r>
            </w:fldSimple>
          </w:p>
        </w:tc>
        <w:tc>
          <w:tcPr/>
          <w:p>
            <w:pPr>
              <w:pStyle w:val="Compact"/>
              <w:jc w:val="left"/>
            </w:pPr>
            <w:r>
              <w:t xml:space="preserve">Sub-50 ms edge</w:t>
            </w:r>
            <w:r>
              <w:t xml:space="preserve"> </w:t>
            </w:r>
            <w:r>
              <w:rPr>
                <w:vertAlign w:val="superscript"/>
              </w:rPr>
              <w:footnoteReference w:id="128"/>
            </w:r>
          </w:p>
        </w:tc>
        <w:tc>
          <w:tcPr/>
          <w:p>
            <w:pPr>
              <w:pStyle w:val="Compact"/>
              <w:jc w:val="left"/>
            </w:pPr>
            <w:r>
              <w:t xml:space="preserve">~95% lower (no API call)</w:t>
            </w:r>
            <w:r>
              <w:t xml:space="preserve"> </w:t>
            </w:r>
            <w:fldSimple w:instr="NOTEREF _Ref_Footnote_128 \h \f">
              <w:r>
                <w:rPr>
                  <w:vertAlign w:val="superscript"/>
                </w:rPr>
                <w:t>128</w:t>
              </w:r>
            </w:fldSimple>
          </w:p>
        </w:tc>
        <w:tc>
          <w:tcPr/>
          <w:p>
            <w:pPr>
              <w:pStyle w:val="Compact"/>
              <w:jc w:val="left"/>
            </w:pPr>
            <w:r>
              <w:t xml:space="preserve">Stanford/Nexa AI (Octopus v2)</w:t>
            </w:r>
          </w:p>
        </w:tc>
      </w:tr>
      <w:tr>
        <w:tc>
          <w:tcPr/>
          <w:p>
            <w:pPr>
              <w:pStyle w:val="Compact"/>
              <w:jc w:val="left"/>
            </w:pPr>
            <w:r>
              <w:t xml:space="preserve">First-Line Document Processor</w:t>
            </w:r>
          </w:p>
        </w:tc>
        <w:tc>
          <w:tcPr/>
          <w:p>
            <w:pPr>
              <w:pStyle w:val="Compact"/>
              <w:jc w:val="left"/>
            </w:pPr>
            <w:r>
              <w:t xml:space="preserve">3B–7B (fine-tuned)</w:t>
            </w:r>
          </w:p>
        </w:tc>
        <w:tc>
          <w:tcPr/>
          <w:p>
            <w:pPr>
              <w:pStyle w:val="Compact"/>
              <w:jc w:val="left"/>
            </w:pPr>
            <w:r>
              <w:t xml:space="preserve">&gt;95% post-fine-tune on 5-tool accuracy</w:t>
            </w:r>
            <w:r>
              <w:t xml:space="preserve"> </w:t>
            </w:r>
            <w:fldSimple w:instr="NOTEREF _Ref_Footnote_13 \h \f">
              <w:r>
                <w:rPr>
                  <w:vertAlign w:val="superscript"/>
                </w:rPr>
                <w:t>13</w:t>
              </w:r>
            </w:fldSimple>
          </w:p>
        </w:tc>
        <w:tc>
          <w:tcPr/>
          <w:p>
            <w:pPr>
              <w:pStyle w:val="Compact"/>
              <w:jc w:val="left"/>
            </w:pPr>
            <w:r>
              <w:t xml:space="preserve">50–200 ms</w:t>
            </w:r>
          </w:p>
        </w:tc>
        <w:tc>
          <w:tcPr/>
          <w:p>
            <w:pPr>
              <w:pStyle w:val="Compact"/>
              <w:jc w:val="left"/>
            </w:pPr>
            <w:r>
              <w:t xml:space="preserve">~85% lower</w:t>
            </w:r>
            <w:r>
              <w:t xml:space="preserve"> </w:t>
            </w:r>
            <w:fldSimple w:instr="NOTEREF _Ref_Footnote_79 \h \f">
              <w:r>
                <w:rPr>
                  <w:vertAlign w:val="superscript"/>
                </w:rPr>
                <w:t>79</w:t>
              </w:r>
            </w:fldSimple>
          </w:p>
        </w:tc>
        <w:tc>
          <w:tcPr/>
          <w:p>
            <w:pPr>
              <w:pStyle w:val="Compact"/>
              <w:jc w:val="left"/>
            </w:pPr>
            <w:r>
              <w:t xml:space="preserve">OneReach AI, Ertas AI</w:t>
            </w:r>
          </w:p>
        </w:tc>
      </w:tr>
      <w:tr>
        <w:tc>
          <w:tcPr/>
          <w:p>
            <w:pPr>
              <w:pStyle w:val="Compact"/>
              <w:jc w:val="left"/>
            </w:pPr>
            <w:r>
              <w:t xml:space="preserve">Workflow Step Executor</w:t>
            </w:r>
          </w:p>
        </w:tc>
        <w:tc>
          <w:tcPr/>
          <w:p>
            <w:pPr>
              <w:pStyle w:val="Compact"/>
              <w:jc w:val="left"/>
            </w:pPr>
            <w:r>
              <w:t xml:space="preserve">3B–14B per node</w:t>
            </w:r>
          </w:p>
        </w:tc>
        <w:tc>
          <w:tcPr/>
          <w:p>
            <w:pPr>
              <w:pStyle w:val="Compact"/>
              <w:jc w:val="left"/>
            </w:pPr>
            <w:r>
              <w:t xml:space="preserve">Varies by step; &gt;95% for schema-bound tasks</w:t>
            </w:r>
            <w:r>
              <w:t xml:space="preserve"> </w:t>
            </w:r>
            <w:fldSimple w:instr="NOTEREF _Ref_Footnote_13 \h \f">
              <w:r>
                <w:rPr>
                  <w:vertAlign w:val="superscript"/>
                </w:rPr>
                <w:t>13</w:t>
              </w:r>
            </w:fldSimple>
          </w:p>
        </w:tc>
        <w:tc>
          <w:tcPr/>
          <w:p>
            <w:pPr>
              <w:pStyle w:val="Compact"/>
              <w:jc w:val="left"/>
            </w:pPr>
            <w:r>
              <w:t xml:space="preserve">30–150 ms per step</w:t>
            </w:r>
          </w:p>
        </w:tc>
        <w:tc>
          <w:tcPr/>
          <w:p>
            <w:pPr>
              <w:pStyle w:val="Compact"/>
              <w:jc w:val="left"/>
            </w:pPr>
            <w:r>
              <w:t xml:space="preserve">~90% lower</w:t>
            </w:r>
            <w:r>
              <w:t xml:space="preserve"> </w:t>
            </w:r>
            <w:r>
              <w:rPr>
                <w:vertAlign w:val="superscript"/>
              </w:rPr>
              <w:footnoteReference w:id="129"/>
            </w:r>
          </w:p>
        </w:tc>
        <w:tc>
          <w:tcPr/>
          <w:p>
            <w:pPr>
              <w:pStyle w:val="Compact"/>
              <w:jc w:val="left"/>
            </w:pPr>
            <w:r>
              <w:t xml:space="preserve">NVIDIA Research, Corbital</w:t>
            </w:r>
          </w:p>
        </w:tc>
      </w:tr>
    </w:tbl>
    <w:p>
      <w:pPr>
        <w:pStyle w:val="BodyText"/>
      </w:pPr>
      <w:r>
        <w:t xml:space="preserve">The table reveals a consistent pattern: SLMs achieve production-grade accuracy (&gt;92%) across all six roles while maintaining latencies under 200 ms and cost reductions of 80–95% compared to frontier LLMs. The most striking figure is LiteLMGuard’s on-device guardrail performance — 97.75% classification accuracy at approximately 135 ms latency without any data leaving the device</w:t>
      </w:r>
      <w:r>
        <w:t xml:space="preserve"> </w:t>
      </w:r>
      <w:fldSimple w:instr="NOTEREF _Ref_Footnote_14 \h \f">
        <w:r>
          <w:rPr>
            <w:vertAlign w:val="superscript"/>
          </w:rPr>
          <w:t>14</w:t>
        </w:r>
      </w:fldSimple>
      <w:r>
        <w:t xml:space="preserve">. This level of efficiency enables guardrails to run as an independent validation layer alongside every model in the ecosystem, not merely as a post-hoc filter on SLM outputs.</w:t>
      </w:r>
    </w:p>
    <w:bookmarkStart w:id="85" w:name="task-router-intent-classifier"/>
    <w:p>
      <w:pPr>
        <w:pStyle w:val="Heading4"/>
      </w:pPr>
      <w:r>
        <w:t xml:space="preserve">4.1.1 Task Router / Intent Classifier</w:t>
      </w:r>
    </w:p>
    <w:p>
      <w:pPr>
        <w:pStyle w:val="FirstParagraph"/>
      </w:pPr>
      <w:r>
        <w:t xml:space="preserve">The task router role represents the highest-volume, lowest-latency function in most agentic systems. A fine-tuned SLM — typically 1B–7B parameters — examines incoming user requests and classifies them into one of several predefined intent categories, each mapped to a downstream agent or tool</w:t>
      </w:r>
      <w:r>
        <w:t xml:space="preserve"> </w:t>
      </w:r>
      <w:fldSimple w:instr="NOTEREF _Ref_Footnote_12 \h \f">
        <w:r>
          <w:rPr>
            <w:vertAlign w:val="superscript"/>
          </w:rPr>
          <w:t>12</w:t>
        </w:r>
      </w:fldSimple>
      <w:r>
        <w:t xml:space="preserve">. In production deployments, Layer 2 of a three-tier routing architecture uses models such as Qwen2.5-7B-Instruct, GLM-4-9B, or fine-tuned Llama-3.1-8B running on a single A10 GPU (24 GB VRAM), achieving 100+ queries per second (QPS) in batched inference</w:t>
      </w:r>
      <w:r>
        <w:t xml:space="preserve"> </w:t>
      </w:r>
      <w:fldSimple w:instr="NOTEREF _Ref_Footnote_12 \h \f">
        <w:r>
          <w:rPr>
            <w:vertAlign w:val="superscript"/>
          </w:rPr>
          <w:t>12</w:t>
        </w:r>
      </w:fldSimple>
      <w:r>
        <w:t xml:space="preserve">. This layer handles approximately 90% of routine intents at 92–97% accuracy, with average latency of 20–50 ms — an 80%+ cost reduction versus routing through a large model</w:t>
      </w:r>
      <w:r>
        <w:t xml:space="preserve"> </w:t>
      </w:r>
      <w:fldSimple w:instr="NOTEREF _Ref_Footnote_12 \h \f">
        <w:r>
          <w:rPr>
            <w:vertAlign w:val="superscript"/>
          </w:rPr>
          <w:t>12</w:t>
        </w:r>
      </w:fldSimple>
      <w:r>
        <w:t xml:space="preserve">. The architectural significance of the router role is that it operates upstream of all other processing: a routing error cascades through the entire system. The evidence suggests that fine-tuned SLMs, constrained to a closed set of intent categories and trained on domain-specific (query, target_tool) pairs, achieve sufficient accuracy that routing errors fall below the threshold of concern for most enterprise applications</w:t>
      </w:r>
      <w:r>
        <w:t xml:space="preserve"> </w:t>
      </w:r>
      <w:fldSimple w:instr="NOTEREF _Ref_Footnote_17 \h \f">
        <w:r>
          <w:rPr>
            <w:vertAlign w:val="superscript"/>
          </w:rPr>
          <w:t>17</w:t>
        </w:r>
      </w:fldSimple>
      <w:r>
        <w:t xml:space="preserve"> </w:t>
      </w:r>
      <w:fldSimple w:instr="NOTEREF _Ref_Footnote_18 \h \f">
        <w:r>
          <w:rPr>
            <w:vertAlign w:val="superscript"/>
          </w:rPr>
          <w:t>18</w:t>
        </w:r>
      </w:fldSimple>
      <w:r>
        <w:t xml:space="preserve">.</w:t>
      </w:r>
    </w:p>
    <w:bookmarkEnd w:id="85"/>
    <w:bookmarkStart w:id="86" w:name="tool-caller-api-orchestrator"/>
    <w:p>
      <w:pPr>
        <w:pStyle w:val="Heading4"/>
      </w:pPr>
      <w:r>
        <w:t xml:space="preserve">4.1.2 Tool Caller / API Orchestrator</w:t>
      </w:r>
    </w:p>
    <w:p>
      <w:pPr>
        <w:pStyle w:val="FirstParagraph"/>
      </w:pPr>
      <w:r>
        <w:t xml:space="preserve">Function calling — the bridge from reasoning to action — is arguably the SLM’s strongest suit in agentic systems. The Berkeley Function Calling Leaderboard (BFCL) v4 demonstrates that models with native function calling (FC) support, even at the 1.5B–3B scale, achieve competitive scores when fine-tuned on their target tool surfaces</w:t>
      </w:r>
      <w:r>
        <w:t xml:space="preserve"> </w:t>
      </w:r>
      <w:fldSimple w:instr="NOTEREF _Ref_Footnote_13 \h \f">
        <w:r>
          <w:rPr>
            <w:vertAlign w:val="superscript"/>
          </w:rPr>
          <w:t>13</w:t>
        </w:r>
      </w:fldSimple>
      <w:r>
        <w:t xml:space="preserve">. Hammer2.1-1.5B scores 27.03 on BFCL v4, and Hammer2.1-3B reaches 29.81 — figures that reflect the diminishing returns of scale once a model has seen representative training data for its operational tool set</w:t>
      </w:r>
      <w:r>
        <w:t xml:space="preserve"> </w:t>
      </w:r>
      <w:fldSimple w:instr="NOTEREF _Ref_Footnote_102 \h \f">
        <w:r>
          <w:rPr>
            <w:vertAlign w:val="superscript"/>
          </w:rPr>
          <w:t>102</w:t>
        </w:r>
      </w:fldSimple>
      <w:r>
        <w:t xml:space="preserve">. The research shows that</w:t>
      </w:r>
      <w:r>
        <w:t xml:space="preserve"> </w:t>
      </w:r>
      <w:r>
        <w:t xml:space="preserve">“</w:t>
      </w:r>
      <w:r>
        <w:t xml:space="preserve">the composite spread between bases on raw BFCL collapses by roughly 70% once each base has seen a representative training set for the tool surface it will actually use</w:t>
      </w:r>
      <w:r>
        <w:t xml:space="preserve">”</w:t>
      </w:r>
      <w:r>
        <w:t xml:space="preserve"> </w:t>
      </w:r>
      <w:fldSimple w:instr="NOTEREF _Ref_Footnote_13 \h \f">
        <w:r>
          <w:rPr>
            <w:vertAlign w:val="superscript"/>
          </w:rPr>
          <w:t>13</w:t>
        </w:r>
      </w:fldSimple>
      <w:r>
        <w:t xml:space="preserve">. This means a 3B-parameter SLM fine-tuned on a specific API surface can match or exceed a 70B-parameter generalist on that same surface. Guided decoding frameworks — XGrammar, Outlines, LLGuidance — further tighten output validity by constraining next-token choices to grammatically valid options based on the API schema, improving downstream task performance by up to 4% while accelerating generation by 50%</w:t>
      </w:r>
      <w:r>
        <w:t xml:space="preserve"> </w:t>
      </w:r>
      <w:fldSimple w:instr="NOTEREF _Ref_Footnote_114 \h \f">
        <w:r>
          <w:rPr>
            <w:vertAlign w:val="superscript"/>
          </w:rPr>
          <w:t>114</w:t>
        </w:r>
      </w:fldSimple>
      <w:r>
        <w:t xml:space="preserve"> </w:t>
      </w:r>
      <w:fldSimple w:instr="NOTEREF _Ref_Footnote_113 \h \f">
        <w:r>
          <w:rPr>
            <w:vertAlign w:val="superscript"/>
          </w:rPr>
          <w:t>113</w:t>
        </w:r>
      </w:fldSimple>
      <w:r>
        <w:t xml:space="preserve">.</w:t>
      </w:r>
    </w:p>
    <w:bookmarkEnd w:id="86"/>
    <w:bookmarkStart w:id="87" w:name="inputoutput-validator-guardrails"/>
    <w:p>
      <w:pPr>
        <w:pStyle w:val="Heading4"/>
      </w:pPr>
      <w:r>
        <w:t xml:space="preserve">4.1.3 Input/Output Validator (Guardrails)</w:t>
      </w:r>
    </w:p>
    <w:p>
      <w:pPr>
        <w:pStyle w:val="FirstParagraph"/>
      </w:pPr>
      <w:r>
        <w:t xml:space="preserve">Guardrails operate as a distinct validation layer that intercepts, classifies, and filters both inputs (prompt injection detection) and outputs (hallucination, toxicity, PII) before they reach or leave the core model. LiteLMGuard, developed at Texas A&amp;M, exemplifies the SLM-native approach: it employs an ELECTRA-based classifier achieving 97.75% answerability classification accuracy, with an 85%+ defense rate against harmful prompts including jailbreak attacks, 94% filtering accuracy, and approximately 135 ms average latency on-device</w:t>
      </w:r>
      <w:r>
        <w:t xml:space="preserve"> </w:t>
      </w:r>
      <w:fldSimple w:instr="NOTEREF _Ref_Footnote_14 \h \f">
        <w:r>
          <w:rPr>
            <w:vertAlign w:val="superscript"/>
          </w:rPr>
          <w:t>14</w:t>
        </w:r>
      </w:fldSimple>
      <w:r>
        <w:t xml:space="preserve">. Critically, LiteLMGuard is model-agnostic — it has been tested on seven different on-device SLMs — and operates without sending data to external servers, preserving privacy</w:t>
      </w:r>
      <w:r>
        <w:t xml:space="preserve"> </w:t>
      </w:r>
      <w:fldSimple w:instr="NOTEREF _Ref_Footnote_115 \h \f">
        <w:r>
          <w:rPr>
            <w:vertAlign w:val="superscript"/>
          </w:rPr>
          <w:t>115</w:t>
        </w:r>
      </w:fldSimple>
      <w:r>
        <w:t xml:space="preserve">. The three-layer guardrail architecture recommended for production combines regex heuristics at Layer 1 (input blocking), system prompt containment and tool schema validation at Layer 2 (model-level), and PII checking plus policy validation at Layer 3 (output filtering)</w:t>
      </w:r>
      <w:r>
        <w:t xml:space="preserve"> </w:t>
      </w:r>
      <w:fldSimple w:instr="NOTEREF _Ref_Footnote_10 \h \f">
        <w:r>
          <w:rPr>
            <w:vertAlign w:val="superscript"/>
          </w:rPr>
          <w:t>10</w:t>
        </w:r>
      </w:fldSimple>
      <w:r>
        <w:t xml:space="preserve">. SLMs are uniquely suited to Layers 1 and 3 because these tasks are classification problems — exactly the type of narrow, deterministic task where small models excel.</w:t>
      </w:r>
    </w:p>
    <w:bookmarkEnd w:id="87"/>
    <w:bookmarkStart w:id="88" w:name="edge-executor"/>
    <w:p>
      <w:pPr>
        <w:pStyle w:val="Heading4"/>
      </w:pPr>
      <w:r>
        <w:t xml:space="preserve">4.1.4 Edge Executor</w:t>
      </w:r>
    </w:p>
    <w:p>
      <w:pPr>
        <w:pStyle w:val="FirstParagraph"/>
      </w:pPr>
      <w:r>
        <w:t xml:space="preserve">Edge deployment represents the frontier of SLM placement, where models run directly on smartphones, tablets, IoT devices, and embedded systems without cloud connectivity. Octopus v2 (Nexa AI/Stanford) — a 2-billion-parameter model — surpasses GPT-4 in function calling accuracy and latency while reducing context length by 95%</w:t>
      </w:r>
      <w:r>
        <w:t xml:space="preserve"> </w:t>
      </w:r>
      <w:fldSimple w:instr="NOTEREF _Ref_Footnote_15 \h \f">
        <w:r>
          <w:rPr>
            <w:vertAlign w:val="superscript"/>
          </w:rPr>
          <w:t>15</w:t>
        </w:r>
      </w:fldSimple>
      <w:r>
        <w:t xml:space="preserve">. Compared to Llama-7B with retrieval-augmented generation (RAG)-based function calling, Octopus v2 achieves a 35-fold latency improvement, reaching levels</w:t>
      </w:r>
      <w:r>
        <w:t xml:space="preserve"> </w:t>
      </w:r>
      <w:r>
        <w:t xml:space="preserve">“</w:t>
      </w:r>
      <w:r>
        <w:t xml:space="preserve">deemed suitable for deployment across a variety of edge devices in production environments</w:t>
      </w:r>
      <w:r>
        <w:t xml:space="preserve">”</w:t>
      </w:r>
      <w:r>
        <w:t xml:space="preserve"> </w:t>
      </w:r>
      <w:fldSimple w:instr="NOTEREF _Ref_Footnote_15 \h \f">
        <w:r>
          <w:rPr>
            <w:vertAlign w:val="superscript"/>
          </w:rPr>
          <w:t>15</w:t>
        </w:r>
      </w:fldSimple>
      <w:r>
        <w:t xml:space="preserve">. The successor Octopus v4 extends this to a 3-billion-parameter</w:t>
      </w:r>
      <w:r>
        <w:t xml:space="preserve"> </w:t>
      </w:r>
      <w:r>
        <w:t xml:space="preserve">“</w:t>
      </w:r>
      <w:r>
        <w:t xml:space="preserve">controller node</w:t>
      </w:r>
      <w:r>
        <w:t xml:space="preserve">”</w:t>
      </w:r>
      <w:r>
        <w:t xml:space="preserve"> </w:t>
      </w:r>
      <w:r>
        <w:t xml:space="preserve">that routes queries to appropriate specialist models within a graph architecture</w:t>
      </w:r>
      <w:r>
        <w:t xml:space="preserve"> </w:t>
      </w:r>
      <w:r>
        <w:rPr>
          <w:vertAlign w:val="superscript"/>
        </w:rPr>
        <w:footnoteReference w:id="130"/>
      </w:r>
      <w:r>
        <w:t xml:space="preserve"> </w:t>
      </w:r>
      <w:r>
        <w:rPr>
          <w:vertAlign w:val="superscript"/>
        </w:rPr>
        <w:footnoteReference w:id="131"/>
      </w:r>
      <w:r>
        <w:t xml:space="preserve">. Edge deployment is not merely a latency optimization — it is an architectural enabler for use cases where cloud connectivity is unavailable, expensive, or prohibited by regulation. As IBM notes, SLMs can be deployed</w:t>
      </w:r>
      <w:r>
        <w:t xml:space="preserve"> </w:t>
      </w:r>
      <w:r>
        <w:t xml:space="preserve">“</w:t>
      </w:r>
      <w:r>
        <w:t xml:space="preserve">in private cloud computing environments or on premises, allowing for improved data protection and better management and mitigation of cybersecurity threats</w:t>
      </w:r>
      <w:r>
        <w:t xml:space="preserve">”</w:t>
      </w:r>
      <w:r>
        <w:t xml:space="preserve"> </w:t>
      </w:r>
      <w:r>
        <w:rPr>
          <w:vertAlign w:val="superscript"/>
        </w:rPr>
        <w:footnoteReference w:id="132"/>
      </w:r>
      <w:r>
        <w:t xml:space="preserve">.</w:t>
      </w:r>
    </w:p>
    <w:bookmarkEnd w:id="88"/>
    <w:bookmarkStart w:id="89" w:name="first-line-document-processor"/>
    <w:p>
      <w:pPr>
        <w:pStyle w:val="Heading4"/>
      </w:pPr>
      <w:r>
        <w:t xml:space="preserve">4.1.5 First-Line Document Processor</w:t>
      </w:r>
    </w:p>
    <w:p>
      <w:pPr>
        <w:pStyle w:val="FirstParagraph"/>
      </w:pPr>
      <w:r>
        <w:t xml:space="preserve">Document processing pipelines increasingly use specialist SLMs for initial classification, entity extraction, and structured data extraction before routing complex documents to larger models. A typical 2026 document analysis pipeline uses five specialized agents: a Qwen 2.5 1.5B router fine-tuned on (query, target_tool) pairs; a Llama 3.2 3B retrieval agent; a Phi-3.5-mini extraction agent; a Phi-4 14B reasoning agent for synthesis; and a Ministral 8B verifier</w:t>
      </w:r>
      <w:r>
        <w:t xml:space="preserve"> </w:t>
      </w:r>
      <w:fldSimple w:instr="NOTEREF _Ref_Footnote_124 \h \f">
        <w:r>
          <w:rPr>
            <w:vertAlign w:val="superscript"/>
          </w:rPr>
          <w:t>124</w:t>
        </w:r>
      </w:fldSimple>
      <w:r>
        <w:t xml:space="preserve">. Each agent is a swappable component — if the router regresses, only the router is retrained; if a stronger reasoning model launches, the reasoning agent is swapped without touching the others</w:t>
      </w:r>
      <w:r>
        <w:t xml:space="preserve"> </w:t>
      </w:r>
      <w:fldSimple w:instr="NOTEREF _Ref_Footnote_124 \h \f">
        <w:r>
          <w:rPr>
            <w:vertAlign w:val="superscript"/>
          </w:rPr>
          <w:t>124</w:t>
        </w:r>
      </w:fldSimple>
      <w:r>
        <w:t xml:space="preserve">. Post-fine-tuning accuracy on domain-specific tool sets typically clears the 95% threshold for production deployment, with composite model spreads collapsing by approximately 70% after fine-tuning</w:t>
      </w:r>
      <w:r>
        <w:t xml:space="preserve"> </w:t>
      </w:r>
      <w:fldSimple w:instr="NOTEREF _Ref_Footnote_13 \h \f">
        <w:r>
          <w:rPr>
            <w:vertAlign w:val="superscript"/>
          </w:rPr>
          <w:t>13</w:t>
        </w:r>
      </w:fldSimple>
      <w:r>
        <w:t xml:space="preserve">. The architectural benefit of this decomposition is modularity: each SLM handles a narrow slice of the document processing workflow, and failures are isolated to individual components rather than cascading through a monolithic pipeline.</w:t>
      </w:r>
    </w:p>
    <w:bookmarkEnd w:id="89"/>
    <w:bookmarkStart w:id="90" w:name="workflow-step-executor"/>
    <w:p>
      <w:pPr>
        <w:pStyle w:val="Heading4"/>
      </w:pPr>
      <w:r>
        <w:t xml:space="preserve">4.1.6 Workflow Step Executor</w:t>
      </w:r>
    </w:p>
    <w:p>
      <w:pPr>
        <w:pStyle w:val="FirstParagraph"/>
      </w:pPr>
      <w:r>
        <w:t xml:space="preserve">In multi-step agentic workflows, individual steps are frequently narrow, schema-bound operations — data transformation, conditional branching, result aggregation — that do not require general-purpose reasoning. NVIDIA Research advocates for SLMs as the default execution engine for these</w:t>
      </w:r>
      <w:r>
        <w:t xml:space="preserve"> </w:t>
      </w:r>
      <w:r>
        <w:t xml:space="preserve">“</w:t>
      </w:r>
      <w:r>
        <w:t xml:space="preserve">repetitive language errands,</w:t>
      </w:r>
      <w:r>
        <w:t xml:space="preserve">”</w:t>
      </w:r>
      <w:r>
        <w:t xml:space="preserve"> </w:t>
      </w:r>
      <w:r>
        <w:t xml:space="preserve">reserving LLMs for decision and planning nodes</w:t>
      </w:r>
      <w:r>
        <w:t xml:space="preserve"> </w:t>
      </w:r>
      <w:fldSimple w:instr="NOTEREF _Ref_Footnote_129 \h \f">
        <w:r>
          <w:rPr>
            <w:vertAlign w:val="superscript"/>
          </w:rPr>
          <w:t>129</w:t>
        </w:r>
      </w:fldSimple>
      <w:r>
        <w:t xml:space="preserve">. The workflow engine layer (typically Temporal or similar) calls the agent as an activity, while LangGraph manages the internal reasoning graph</w:t>
      </w:r>
      <w:r>
        <w:t xml:space="preserve"> </w:t>
      </w:r>
      <w:fldSimple w:instr="NOTEREF _Ref_Footnote_84 \h \f">
        <w:r>
          <w:rPr>
            <w:vertAlign w:val="superscript"/>
          </w:rPr>
          <w:t>84</w:t>
        </w:r>
      </w:fldSimple>
      <w:r>
        <w:t xml:space="preserve">. A 10-step agentic process with a 99% per-step success rate has only a ~90.4% end-to-end success rate — meaning even modest per-step failures compound to unacceptable levels</w:t>
      </w:r>
      <w:r>
        <w:t xml:space="preserve"> </w:t>
      </w:r>
      <w:fldSimple w:instr="NOTEREF _Ref_Footnote_116 \h \f">
        <w:r>
          <w:rPr>
            <w:vertAlign w:val="superscript"/>
          </w:rPr>
          <w:t>116</w:t>
        </w:r>
      </w:fldSimple>
      <w:r>
        <w:t xml:space="preserve">. SLMs reduce this compounding by lowering latency per step (enabling more retries within the same time budget) and by producing more deterministic, schema-adherent outputs that require fewer validation retries</w:t>
      </w:r>
      <w:r>
        <w:t xml:space="preserve"> </w:t>
      </w:r>
      <w:fldSimple w:instr="NOTEREF _Ref_Footnote_125 \h \f">
        <w:r>
          <w:rPr>
            <w:vertAlign w:val="superscript"/>
          </w:rPr>
          <w:t>125</w:t>
        </w:r>
      </w:fldSimple>
      <w:r>
        <w:t xml:space="preserve">.</w:t>
      </w:r>
    </w:p>
    <w:bookmarkEnd w:id="90"/>
    <w:bookmarkEnd w:id="91"/>
    <w:bookmarkStart w:id="99" w:name="X171fe8b0b31b5a01293ebdf9df6a569be216e95"/>
    <w:p>
      <w:pPr>
        <w:pStyle w:val="Heading3"/>
      </w:pPr>
      <w:r>
        <w:t xml:space="preserve">4.2 The Router Pattern: SLM as System Dispatcher</w:t>
      </w:r>
    </w:p>
    <w:p>
      <w:pPr>
        <w:pStyle w:val="FirstParagraph"/>
      </w:pPr>
      <w:r>
        <w:t xml:space="preserve">The router pattern — in which a lightweight dispatcher examines incoming requests and routes them to the appropriate specialist agent — has emerged as the dominant multi-agent architecture across production frameworks</w:t>
      </w:r>
      <w:r>
        <w:t xml:space="preserve"> </w:t>
      </w:r>
      <w:fldSimple w:instr="NOTEREF _Ref_Footnote_24 \h \f">
        <w:r>
          <w:rPr>
            <w:vertAlign w:val="superscript"/>
          </w:rPr>
          <w:t>24</w:t>
        </w:r>
      </w:fldSimple>
      <w:r>
        <w:t xml:space="preserve">. LangChain identifies the Router as one of four foundational multi-agent patterns alongside Subagents, Skills, and Handoffs</w:t>
      </w:r>
      <w:r>
        <w:t xml:space="preserve"> </w:t>
      </w:r>
      <w:fldSimple w:instr="NOTEREF _Ref_Footnote_93 \h \f">
        <w:r>
          <w:rPr>
            <w:vertAlign w:val="superscript"/>
          </w:rPr>
          <w:t>93</w:t>
        </w:r>
      </w:fldSimple>
      <w:r>
        <w:t xml:space="preserve">. What distinguishes the router pattern from other architectures is its simplicity: no fan-out, no synthesis, no complex coordination — just intelligent routing of each request to exactly one specialist</w:t>
      </w:r>
      <w:r>
        <w:t xml:space="preserve"> </w:t>
      </w:r>
      <w:fldSimple w:instr="NOTEREF _Ref_Footnote_24 \h \f">
        <w:r>
          <w:rPr>
            <w:vertAlign w:val="superscript"/>
          </w:rPr>
          <w:t>24</w:t>
        </w:r>
      </w:fldSimple>
      <w:r>
        <w:t xml:space="preserve">. The architectural insight, confirmed across multiple production deployments, is that the router itself</w:t>
      </w:r>
      <w:r>
        <w:t xml:space="preserve"> </w:t>
      </w:r>
      <w:r>
        <w:t xml:space="preserve">“</w:t>
      </w:r>
      <w:r>
        <w:t xml:space="preserve">often doesn’t need to be an LLM at all</w:t>
      </w:r>
      <w:r>
        <w:t xml:space="preserve">”</w:t>
      </w:r>
      <w:r>
        <w:t xml:space="preserve"> </w:t>
      </w:r>
      <w:r>
        <w:t xml:space="preserve">— keyword matching, intent classifiers, or a small fine-tuned model can route requests</w:t>
      </w:r>
      <w:r>
        <w:t xml:space="preserve"> </w:t>
      </w:r>
      <w:r>
        <w:t xml:space="preserve">“</w:t>
      </w:r>
      <w:r>
        <w:t xml:space="preserve">at a fraction of the cost and 100x the speed</w:t>
      </w:r>
      <w:r>
        <w:t xml:space="preserve">”</w:t>
      </w:r>
      <w:r>
        <w:t xml:space="preserve"> </w:t>
      </w:r>
      <w:fldSimple w:instr="NOTEREF _Ref_Footnote_24 \h \f">
        <w:r>
          <w:rPr>
            <w:vertAlign w:val="superscript"/>
          </w:rPr>
          <w:t>24</w:t>
        </w:r>
      </w:fldSimple>
      <w:r>
        <w:t xml:space="preserve">.</w:t>
      </w:r>
    </w:p>
    <w:bookmarkStart w:id="95" w:name="Xf574995dc41447460ec29c6dba096a80c1bdd2d"/>
    <w:p>
      <w:pPr>
        <w:pStyle w:val="Heading4"/>
      </w:pPr>
      <w:r>
        <w:t xml:space="preserve">4.2.1 Three-Layer Production Architecture: Rule → SLM → Large Model</w:t>
      </w:r>
    </w:p>
    <w:p>
      <w:pPr>
        <w:pStyle w:val="FirstParagraph"/>
      </w:pPr>
      <w:r>
        <w:t xml:space="preserve">Production intent recognition systems employ a three-layer funnel optimized to minimize latency for the majority of requests while ensuring comprehensive coverage for edge cases. Figure 4.1 illustrates this architecture.</w:t>
      </w:r>
    </w:p>
    <w:p>
      <w:pPr>
        <w:pStyle w:val="CaptionedFigure"/>
      </w:pPr>
      <w:r>
        <w:drawing>
          <wp:inline>
            <wp:extent cx="5334000" cy="2977116"/>
            <wp:effectExtent b="0" l="0" r="0" t="0"/>
            <wp:docPr descr="Figure 4.1 — Three-Layer Production Routing Architecture: Rule-Based → Fine-tuned SLM → Large Model Fallback" title="" id="93" name="Picture"/>
            <a:graphic>
              <a:graphicData uri="http://schemas.openxmlformats.org/drawingml/2006/picture">
                <pic:pic>
                  <pic:nvPicPr>
                    <pic:cNvPr descr="fig_4_1_three_layer_router.png" id="94" name="Picture"/>
                    <pic:cNvPicPr>
                      <a:picLocks noChangeArrowheads="1" noChangeAspect="1"/>
                    </pic:cNvPicPr>
                  </pic:nvPicPr>
                  <pic:blipFill>
                    <a:blip r:embed="rId92"/>
                    <a:stretch>
                      <a:fillRect/>
                    </a:stretch>
                  </pic:blipFill>
                  <pic:spPr bwMode="auto">
                    <a:xfrm>
                      <a:off x="0" y="0"/>
                      <a:ext cx="5334000" cy="2977116"/>
                    </a:xfrm>
                    <a:prstGeom prst="rect">
                      <a:avLst/>
                    </a:prstGeom>
                    <a:noFill/>
                    <a:ln w="9525">
                      <a:noFill/>
                      <a:headEnd/>
                      <a:tailEnd/>
                    </a:ln>
                  </pic:spPr>
                </pic:pic>
              </a:graphicData>
            </a:graphic>
          </wp:inline>
        </w:drawing>
      </w:r>
    </w:p>
    <w:p>
      <w:pPr>
        <w:pStyle w:val="ImageCaption"/>
      </w:pPr>
      <w:r>
        <w:t xml:space="preserve">Figure 4.1 — Three-Layer Production Routing Architecture: Rule-Based → Fine-tuned SLM → Large Model Fallback</w:t>
      </w:r>
    </w:p>
    <w:p>
      <w:pPr>
        <w:pStyle w:val="BodyText"/>
      </w:pPr>
      <w:r>
        <w:rPr>
          <w:bCs/>
          <w:b/>
        </w:rPr>
        <w:t xml:space="preserve">Figure 4.1 — Three-Layer Production Routing Architecture.</w:t>
      </w:r>
      <w:r>
        <w:t xml:space="preserve"> </w:t>
      </w:r>
      <w:r>
        <w:t xml:space="preserve">The funnel design ensures that approximately 95% of requests are handled by the two fast layers (Rule-Based and SLM Router), with only ~5% of complex edge cases escalating to the Large Model. Escalation occurs on low-confidence outputs, with a typical threshold of 0.7 for SLM routing decisions.</w:t>
      </w:r>
    </w:p>
    <w:p>
      <w:pPr>
        <w:pStyle w:val="BodyText"/>
      </w:pPr>
      <w:r>
        <w:t xml:space="preserve">Layer 1 handles approximately 5% of explicit commands through keyword matching, regular expressions, and finite state machines in under 1 ms</w:t>
      </w:r>
      <w:r>
        <w:t xml:space="preserve"> </w:t>
      </w:r>
      <w:fldSimple w:instr="NOTEREF _Ref_Footnote_12 \h \f">
        <w:r>
          <w:rPr>
            <w:vertAlign w:val="superscript"/>
          </w:rPr>
          <w:t>12</w:t>
        </w:r>
      </w:fldSimple>
      <w:r>
        <w:t xml:space="preserve">. Layer 2 — the SLM router — processes roughly 90% of routine intents using a fine-tuned 5B–7B model (Qwen2.5-7B-Instruct, GLM-4-9B, or fine-tuned Llama-3.1-8B) at 10–50 ms latency</w:t>
      </w:r>
      <w:r>
        <w:t xml:space="preserve"> </w:t>
      </w:r>
      <w:fldSimple w:instr="NOTEREF _Ref_Footnote_12 \h \f">
        <w:r>
          <w:rPr>
            <w:vertAlign w:val="superscript"/>
          </w:rPr>
          <w:t>12</w:t>
        </w:r>
      </w:fldSimple>
      <w:r>
        <w:t xml:space="preserve">. A single A10 GPU serving a 7B model reaches 100+ QPS in batched inference</w:t>
      </w:r>
      <w:r>
        <w:t xml:space="preserve"> </w:t>
      </w:r>
      <w:fldSimple w:instr="NOTEREF _Ref_Footnote_12 \h \f">
        <w:r>
          <w:rPr>
            <w:vertAlign w:val="superscript"/>
          </w:rPr>
          <w:t>12</w:t>
        </w:r>
      </w:fldSimple>
      <w:r>
        <w:t xml:space="preserve">. Layer 3 — the large model fallback — handles approximately 5% of complex, ambiguous, or novel requests that fall below the SLM’s confidence threshold, at 100–500 ms latency</w:t>
      </w:r>
      <w:r>
        <w:t xml:space="preserve"> </w:t>
      </w:r>
      <w:fldSimple w:instr="NOTEREF _Ref_Footnote_12 \h \f">
        <w:r>
          <w:rPr>
            <w:vertAlign w:val="superscript"/>
          </w:rPr>
          <w:t>12</w:t>
        </w:r>
      </w:fldSimple>
      <w:r>
        <w:t xml:space="preserve">. The cascade pattern (starting with the cheapest model and escalating on low confidence) handles 70–80% of volume at minimal cost</w:t>
      </w:r>
      <w:r>
        <w:t xml:space="preserve"> </w:t>
      </w:r>
      <w:fldSimple w:instr="NOTEREF _Ref_Footnote_117 \h \f">
        <w:r>
          <w:rPr>
            <w:vertAlign w:val="superscript"/>
          </w:rPr>
          <w:t>117</w:t>
        </w:r>
      </w:fldSimple>
      <w:r>
        <w:t xml:space="preserve">.</w:t>
      </w:r>
    </w:p>
    <w:bookmarkEnd w:id="95"/>
    <w:bookmarkStart w:id="96" w:name="octopus-v4-3b-parameter-controller-node"/>
    <w:p>
      <w:pPr>
        <w:pStyle w:val="Heading4"/>
      </w:pPr>
      <w:r>
        <w:t xml:space="preserve">4.2.2 Octopus v4: 3B Parameter</w:t>
      </w:r>
      <w:r>
        <w:t xml:space="preserve"> </w:t>
      </w:r>
      <w:r>
        <w:t xml:space="preserve">“</w:t>
      </w:r>
      <w:r>
        <w:t xml:space="preserve">Controller Node</w:t>
      </w:r>
      <w:r>
        <w:t xml:space="preserve">”</w:t>
      </w:r>
    </w:p>
    <w:p>
      <w:pPr>
        <w:pStyle w:val="FirstParagraph"/>
      </w:pPr>
      <w:r>
        <w:t xml:space="preserve">Octopus v4 extends the router pattern from simple intent classification to a graph-of-models architecture. The 3-billion-parameter model acts as a</w:t>
      </w:r>
      <w:r>
        <w:t xml:space="preserve"> </w:t>
      </w:r>
      <w:r>
        <w:t xml:space="preserve">“</w:t>
      </w:r>
      <w:r>
        <w:t xml:space="preserve">controller node</w:t>
      </w:r>
      <w:r>
        <w:t xml:space="preserve">”</w:t>
      </w:r>
      <w:r>
        <w:t xml:space="preserve"> </w:t>
      </w:r>
      <w:r>
        <w:t xml:space="preserve">within a distributed graph of language models, routing queries not just by intent category but to the most appropriate specialist model for the task at hand</w:t>
      </w:r>
      <w:r>
        <w:t xml:space="preserve"> </w:t>
      </w:r>
      <w:fldSimple w:instr="NOTEREF _Ref_Footnote_130 \h \f">
        <w:r>
          <w:rPr>
            <w:vertAlign w:val="superscript"/>
          </w:rPr>
          <w:t>130</w:t>
        </w:r>
      </w:fldSimple>
      <w:r>
        <w:t xml:space="preserve"> </w:t>
      </w:r>
      <w:fldSimple w:instr="NOTEREF _Ref_Footnote_131 \h \f">
        <w:r>
          <w:rPr>
            <w:vertAlign w:val="superscript"/>
          </w:rPr>
          <w:t>131</w:t>
        </w:r>
      </w:fldSimple>
      <w:r>
        <w:t xml:space="preserve">. In this architecture, the controller node</w:t>
      </w:r>
      <w:r>
        <w:t xml:space="preserve"> </w:t>
      </w:r>
      <w:r>
        <w:t xml:space="preserve">“</w:t>
      </w:r>
      <w:r>
        <w:t xml:space="preserve">knows the best neighbor to choose and how to message from one node to another,</w:t>
      </w:r>
      <w:r>
        <w:t xml:space="preserve">”</w:t>
      </w:r>
      <w:r>
        <w:t xml:space="preserve"> </w:t>
      </w:r>
      <w:r>
        <w:t xml:space="preserve">effectively functioning as a distributed operating system for model execution</w:t>
      </w:r>
      <w:r>
        <w:t xml:space="preserve"> </w:t>
      </w:r>
      <w:fldSimple w:instr="NOTEREF _Ref_Footnote_131 \h \f">
        <w:r>
          <w:rPr>
            <w:vertAlign w:val="superscript"/>
          </w:rPr>
          <w:t>131</w:t>
        </w:r>
      </w:fldSimple>
      <w:r>
        <w:t xml:space="preserve">. Worker nodes — each a specialized SLM — are distributed across devices, with Octopus models coordinating between them and a Redis-based distributed cache maintaining shared state</w:t>
      </w:r>
      <w:r>
        <w:t xml:space="preserve"> </w:t>
      </w:r>
      <w:fldSimple w:instr="NOTEREF _Ref_Footnote_131 \h \f">
        <w:r>
          <w:rPr>
            <w:vertAlign w:val="superscript"/>
          </w:rPr>
          <w:t>131</w:t>
        </w:r>
      </w:fldSimple>
      <w:r>
        <w:t xml:space="preserve">. This represents a qualitative shift from the router as a simple dispatcher to the router as an intelligent scheduler that understands the capability profile of each node in the graph.</w:t>
      </w:r>
    </w:p>
    <w:bookmarkEnd w:id="96"/>
    <w:bookmarkStart w:id="97" w:name="why-the-router-doesnt-need-to-be-an-llm"/>
    <w:p>
      <w:pPr>
        <w:pStyle w:val="Heading4"/>
      </w:pPr>
      <w:r>
        <w:t xml:space="preserve">4.2.3 Why the Router Doesn’t Need to Be an LLM</w:t>
      </w:r>
    </w:p>
    <w:p>
      <w:pPr>
        <w:pStyle w:val="FirstParagraph"/>
      </w:pPr>
      <w:r>
        <w:t xml:space="preserve">The case for SLM-based routing rests on three structural properties of the routing task. First, routing is a classification problem — mapping an input to a member of a finite set of categories — rather than a generation problem. Classification is the task type where SLMs most consistently match or exceed LLM performance when fine-tuned</w:t>
      </w:r>
      <w:r>
        <w:t xml:space="preserve"> </w:t>
      </w:r>
      <w:fldSimple w:instr="NOTEREF _Ref_Footnote_17 \h \f">
        <w:r>
          <w:rPr>
            <w:vertAlign w:val="superscript"/>
          </w:rPr>
          <w:t>17</w:t>
        </w:r>
      </w:fldSimple>
      <w:r>
        <w:t xml:space="preserve">. Second, routing decisions require domain knowledge of the downstream agents’ capabilities, not broad world knowledge. A 1.5B-parameter model trained on (query, target_tool) pairs for a specific ecosystem will outperform a 70B-parameter generalist that has never seen that ecosystem’s agent definitions</w:t>
      </w:r>
      <w:r>
        <w:t xml:space="preserve"> </w:t>
      </w:r>
      <w:fldSimple w:instr="NOTEREF _Ref_Footnote_18 \h \f">
        <w:r>
          <w:rPr>
            <w:vertAlign w:val="superscript"/>
          </w:rPr>
          <w:t>18</w:t>
        </w:r>
      </w:fldSimple>
      <w:r>
        <w:t xml:space="preserve">. Third, routing is on the critical path of every request: every millisecond of routing latency adds directly to user-perceived response time. A fine-tuned Qwen2.5-0.5B-Instruct serving as a router agent can classify intents in single-digit milliseconds, while even the fastest LLM APIs require 100+ ms for the same task</w:t>
      </w:r>
      <w:r>
        <w:t xml:space="preserve"> </w:t>
      </w:r>
      <w:fldSimple w:instr="NOTEREF _Ref_Footnote_18 \h \f">
        <w:r>
          <w:rPr>
            <w:vertAlign w:val="superscript"/>
          </w:rPr>
          <w:t>18</w:t>
        </w:r>
      </w:fldSimple>
      <w:r>
        <w:t xml:space="preserve">. The practical implication is that routing with an LLM imposes a latency tax on 100% of requests to handle the 5% that actually need LLM-level reasoning.</w:t>
      </w:r>
    </w:p>
    <w:bookmarkEnd w:id="97"/>
    <w:bookmarkStart w:id="98" w:name="Xe4b7732e145c9f1aa1d5fac343b2ce044e0f609"/>
    <w:p>
      <w:pPr>
        <w:pStyle w:val="Heading4"/>
      </w:pPr>
      <w:r>
        <w:t xml:space="preserve">4.2.4 Confidence-Based Escalation at 0.7 Threshold</w:t>
      </w:r>
    </w:p>
    <w:p>
      <w:pPr>
        <w:pStyle w:val="FirstParagraph"/>
      </w:pPr>
      <w:r>
        <w:t xml:space="preserve">Escalation from the SLM router to the large model is typically triggered by a confidence threshold, commonly set at 0.7 in production deployments</w:t>
      </w:r>
      <w:r>
        <w:t xml:space="preserve"> </w:t>
      </w:r>
      <w:fldSimple w:instr="NOTEREF _Ref_Footnote_5 \h \f">
        <w:r>
          <w:rPr>
            <w:vertAlign w:val="superscript"/>
          </w:rPr>
          <w:t>5</w:t>
        </w:r>
      </w:fldSimple>
      <w:r>
        <w:t xml:space="preserve">. When the SLM’s highest-confidence routing decision falls below this threshold, or when the gap between the top two candidates is too narrow, the request escalates to Layer 3</w:t>
      </w:r>
      <w:r>
        <w:t xml:space="preserve"> </w:t>
      </w:r>
      <w:fldSimple w:instr="NOTEREF _Ref_Footnote_10 \h \f">
        <w:r>
          <w:rPr>
            <w:vertAlign w:val="superscript"/>
          </w:rPr>
          <w:t>10</w:t>
        </w:r>
      </w:fldSimple>
      <w:r>
        <w:t xml:space="preserve">. This threshold is not arbitrary — it balances two failure modes: over-escalation (wasting LLM capacity on tasks the SLM could handle, inflating costs) and under-escalation (routing complex requests to inadequate specialists, degrading quality). The uncertainty-aware routing pattern formalizes this:</w:t>
      </w:r>
      <w:r>
        <w:t xml:space="preserve"> </w:t>
      </w:r>
      <w:r>
        <w:t xml:space="preserve">“</w:t>
      </w:r>
      <w:r>
        <w:t xml:space="preserve">Use an uncertainty-aware verifier to detect low-confidence outputs; fall back to a frontier LLM only when the SLM is uncertain or the task exceeds its capability threshold</w:t>
      </w:r>
      <w:r>
        <w:t xml:space="preserve">”</w:t>
      </w:r>
      <w:r>
        <w:t xml:space="preserve"> </w:t>
      </w:r>
      <w:fldSimple w:instr="NOTEREF _Ref_Footnote_5 \h \f">
        <w:r>
          <w:rPr>
            <w:vertAlign w:val="superscript"/>
          </w:rPr>
          <w:t>5</w:t>
        </w:r>
      </w:fldSimple>
      <w:r>
        <w:t xml:space="preserve">. All escalation events are logged to identify new SLM training opportunities — a continuous improvement loop that gradually expands the SLM’s coverage while shrinking the LLM’s fallback share</w:t>
      </w:r>
      <w:r>
        <w:t xml:space="preserve"> </w:t>
      </w:r>
      <w:fldSimple w:instr="NOTEREF _Ref_Footnote_5 \h \f">
        <w:r>
          <w:rPr>
            <w:vertAlign w:val="superscript"/>
          </w:rPr>
          <w:t>5</w:t>
        </w:r>
      </w:fldSimple>
      <w:r>
        <w:t xml:space="preserve">.</w:t>
      </w:r>
    </w:p>
    <w:bookmarkEnd w:id="98"/>
    <w:bookmarkEnd w:id="99"/>
    <w:bookmarkStart w:id="104" w:name="domain-specific-specialist-slms"/>
    <w:p>
      <w:pPr>
        <w:pStyle w:val="Heading3"/>
      </w:pPr>
      <w:r>
        <w:t xml:space="preserve">4.3 Domain-Specific Specialist SLMs</w:t>
      </w:r>
    </w:p>
    <w:p>
      <w:pPr>
        <w:pStyle w:val="FirstParagraph"/>
      </w:pPr>
      <w:r>
        <w:t xml:space="preserve">The</w:t>
      </w:r>
      <w:r>
        <w:t xml:space="preserve"> </w:t>
      </w:r>
      <w:r>
        <w:t xml:space="preserve">“</w:t>
      </w:r>
      <w:r>
        <w:t xml:space="preserve">specialist economy</w:t>
      </w:r>
      <w:r>
        <w:t xml:space="preserve">”</w:t>
      </w:r>
      <w:r>
        <w:t xml:space="preserve"> </w:t>
      </w:r>
      <w:r>
        <w:t xml:space="preserve">in agentic AI refers to the emerging ecosystem of purpose-built SLMs, each fine-tuned for a narrow domain — healthcare triage, legal document review, financial compliance, IT troubleshooting — and composed into heterogeneous systems through standardized protocols</w:t>
      </w:r>
      <w:r>
        <w:t xml:space="preserve"> </w:t>
      </w:r>
      <w:fldSimple w:instr="NOTEREF _Ref_Footnote_79 \h \f">
        <w:r>
          <w:rPr>
            <w:vertAlign w:val="superscript"/>
          </w:rPr>
          <w:t>79</w:t>
        </w:r>
      </w:fldSimple>
      <w:r>
        <w:t xml:space="preserve"> </w:t>
      </w:r>
      <w:fldSimple w:instr="NOTEREF _Ref_Footnote_124 \h \f">
        <w:r>
          <w:rPr>
            <w:vertAlign w:val="superscript"/>
          </w:rPr>
          <w:t>124</w:t>
        </w:r>
      </w:fldSimple>
      <w:r>
        <w:t xml:space="preserve">. This model replaces the</w:t>
      </w:r>
      <w:r>
        <w:t xml:space="preserve"> </w:t>
      </w:r>
      <w:r>
        <w:t xml:space="preserve">“</w:t>
      </w:r>
      <w:r>
        <w:t xml:space="preserve">one big model does all</w:t>
      </w:r>
      <w:r>
        <w:t xml:space="preserve">”</w:t>
      </w:r>
      <w:r>
        <w:t xml:space="preserve"> </w:t>
      </w:r>
      <w:r>
        <w:t xml:space="preserve">paradigm with a</w:t>
      </w:r>
      <w:r>
        <w:t xml:space="preserve"> </w:t>
      </w:r>
      <w:r>
        <w:t xml:space="preserve">“</w:t>
      </w:r>
      <w:r>
        <w:t xml:space="preserve">mixture of specialists</w:t>
      </w:r>
      <w:r>
        <w:t xml:space="preserve">”</w:t>
      </w:r>
      <w:r>
        <w:t xml:space="preserve"> </w:t>
      </w:r>
      <w:r>
        <w:t xml:space="preserve">approach in which each agent is backed by a domain-specific SLM, and LLMs serve as meta-orchestrators</w:t>
      </w:r>
      <w:r>
        <w:t xml:space="preserve"> </w:t>
      </w:r>
      <w:fldSimple w:instr="NOTEREF _Ref_Footnote_126 \h \f">
        <w:r>
          <w:rPr>
            <w:vertAlign w:val="superscript"/>
          </w:rPr>
          <w:t>126</w:t>
        </w:r>
      </w:fldSimple>
      <w:r>
        <w:t xml:space="preserve">.</w:t>
      </w:r>
    </w:p>
    <w:p>
      <w:pPr>
        <w:pStyle w:val="BodyText"/>
      </w:pPr>
      <w:r>
        <w:rPr>
          <w:bCs/>
          <w:b/>
        </w:rPr>
        <w:t xml:space="preserve">Table 4.2 — Domain-Specific Specialist SLMs: Performance and Economics</w:t>
      </w:r>
    </w:p>
    <w:tbl>
      <w:tblPr>
        <w:tblStyle w:val="Table"/>
        <w:tblW w:type="pct" w:w="5000"/>
        <w:tblLook w:firstRow="1" w:lastRow="0" w:firstColumn="0" w:lastColumn="0" w:noHBand="0" w:noVBand="0" w:val="0020"/>
      </w:tblPr>
      <w:tblGrid>
        <w:gridCol w:w="736"/>
        <w:gridCol w:w="1749"/>
        <w:gridCol w:w="552"/>
        <w:gridCol w:w="2854"/>
        <w:gridCol w:w="2026"/>
      </w:tblGrid>
      <w:tr>
        <w:trPr>
          <w:tblHeader w:val="true"/>
        </w:trPr>
        <w:tc>
          <w:tcPr/>
          <w:p>
            <w:pPr>
              <w:pStyle w:val="Compact"/>
              <w:jc w:val="left"/>
            </w:pPr>
            <w:r>
              <w:t xml:space="preserve">Domain</w:t>
            </w:r>
          </w:p>
        </w:tc>
        <w:tc>
          <w:tcPr/>
          <w:p>
            <w:pPr>
              <w:pStyle w:val="Compact"/>
              <w:jc w:val="left"/>
            </w:pPr>
            <w:r>
              <w:t xml:space="preserve">Representative SLM</w:t>
            </w:r>
          </w:p>
        </w:tc>
        <w:tc>
          <w:tcPr/>
          <w:p>
            <w:pPr>
              <w:pStyle w:val="Compact"/>
              <w:jc w:val="left"/>
            </w:pPr>
            <w:r>
              <w:t xml:space="preserve">Task</w:t>
            </w:r>
          </w:p>
        </w:tc>
        <w:tc>
          <w:tcPr/>
          <w:p>
            <w:pPr>
              <w:pStyle w:val="Compact"/>
              <w:jc w:val="left"/>
            </w:pPr>
            <w:r>
              <w:t xml:space="preserve">Performance vs. Generalist LLM</w:t>
            </w:r>
          </w:p>
        </w:tc>
        <w:tc>
          <w:tcPr/>
          <w:p>
            <w:pPr>
              <w:pStyle w:val="Compact"/>
              <w:jc w:val="left"/>
            </w:pPr>
            <w:r>
              <w:t xml:space="preserve">Fine-Tuning Economics</w:t>
            </w:r>
          </w:p>
        </w:tc>
      </w:tr>
      <w:tr>
        <w:tc>
          <w:tcPr/>
          <w:p>
            <w:pPr>
              <w:pStyle w:val="Compact"/>
              <w:jc w:val="left"/>
            </w:pPr>
            <w:r>
              <w:t xml:space="preserve">Healthcare</w:t>
            </w:r>
          </w:p>
        </w:tc>
        <w:tc>
          <w:tcPr/>
          <w:p>
            <w:pPr>
              <w:pStyle w:val="Compact"/>
              <w:jc w:val="left"/>
            </w:pPr>
            <w:r>
              <w:t xml:space="preserve">Phi-3.5-mini (on-prem)</w:t>
            </w:r>
          </w:p>
        </w:tc>
        <w:tc>
          <w:tcPr/>
          <w:p>
            <w:pPr>
              <w:pStyle w:val="Compact"/>
              <w:jc w:val="left"/>
            </w:pPr>
            <w:r>
              <w:t xml:space="preserve">Patient note structuring, EHR transcription</w:t>
            </w:r>
          </w:p>
        </w:tc>
        <w:tc>
          <w:tcPr/>
          <w:p>
            <w:pPr>
              <w:pStyle w:val="Compact"/>
              <w:jc w:val="left"/>
            </w:pPr>
            <w:r>
              <w:t xml:space="preserve">Outperforms zero-shot GPT-4 on structured extraction</w:t>
            </w:r>
            <w:r>
              <w:t xml:space="preserve"> </w:t>
            </w:r>
            <w:fldSimple w:instr="NOTEREF _Ref_Footnote_100 \h \f">
              <w:r>
                <w:rPr>
                  <w:vertAlign w:val="superscript"/>
                </w:rPr>
                <w:t>100</w:t>
              </w:r>
            </w:fldSimple>
          </w:p>
        </w:tc>
        <w:tc>
          <w:tcPr/>
          <w:p>
            <w:pPr>
              <w:pStyle w:val="Compact"/>
              <w:jc w:val="left"/>
            </w:pPr>
            <w:r>
              <w:t xml:space="preserve">LoRA on 500–2,000 examples; single GPU</w:t>
            </w:r>
            <w:r>
              <w:t xml:space="preserve"> </w:t>
            </w:r>
            <w:r>
              <w:rPr>
                <w:vertAlign w:val="superscript"/>
              </w:rPr>
              <w:footnoteReference w:id="133"/>
            </w:r>
          </w:p>
        </w:tc>
      </w:tr>
      <w:tr>
        <w:tc>
          <w:tcPr/>
          <w:p>
            <w:pPr>
              <w:pStyle w:val="Compact"/>
              <w:jc w:val="left"/>
            </w:pPr>
            <w:r>
              <w:t xml:space="preserve">Legal</w:t>
            </w:r>
          </w:p>
        </w:tc>
        <w:tc>
          <w:tcPr/>
          <w:p>
            <w:pPr>
              <w:pStyle w:val="Compact"/>
              <w:jc w:val="left"/>
            </w:pPr>
            <w:r>
              <w:t xml:space="preserve">Fine-tuned Llama 3.2 3B</w:t>
            </w:r>
          </w:p>
        </w:tc>
        <w:tc>
          <w:tcPr/>
          <w:p>
            <w:pPr>
              <w:pStyle w:val="Compact"/>
              <w:jc w:val="left"/>
            </w:pPr>
            <w:r>
              <w:t xml:space="preserve">Contract clause classification</w:t>
            </w:r>
          </w:p>
        </w:tc>
        <w:tc>
          <w:tcPr/>
          <w:p>
            <w:pPr>
              <w:pStyle w:val="Compact"/>
              <w:jc w:val="left"/>
            </w:pPr>
            <w:r>
              <w:t xml:space="preserve">99% on easy categorization; 80–90% on complex documents</w:t>
            </w:r>
            <w:r>
              <w:t xml:space="preserve"> </w:t>
            </w:r>
            <w:fldSimple w:instr="NOTEREF _Ref_Footnote_17 \h \f">
              <w:r>
                <w:rPr>
                  <w:vertAlign w:val="superscript"/>
                </w:rPr>
                <w:t>17</w:t>
              </w:r>
            </w:fldSimple>
          </w:p>
        </w:tc>
        <w:tc>
          <w:tcPr/>
          <w:p>
            <w:pPr>
              <w:pStyle w:val="Compact"/>
              <w:jc w:val="left"/>
            </w:pPr>
            <w:r>
              <w:t xml:space="preserve">“</w:t>
            </w:r>
            <w:r>
              <w:t xml:space="preserve">1,000 curated examples outperform 50,000 noisy ones</w:t>
            </w:r>
            <w:r>
              <w:t xml:space="preserve">”</w:t>
            </w:r>
            <w:r>
              <w:t xml:space="preserve"> </w:t>
            </w:r>
            <w:fldSimple w:instr="NOTEREF _Ref_Footnote_133 \h \f">
              <w:r>
                <w:rPr>
                  <w:vertAlign w:val="superscript"/>
                </w:rPr>
                <w:t>133</w:t>
              </w:r>
            </w:fldSimple>
          </w:p>
        </w:tc>
      </w:tr>
      <w:tr>
        <w:tc>
          <w:tcPr/>
          <w:p>
            <w:pPr>
              <w:pStyle w:val="Compact"/>
              <w:jc w:val="left"/>
            </w:pPr>
            <w:r>
              <w:t xml:space="preserve">Financial</w:t>
            </w:r>
          </w:p>
        </w:tc>
        <w:tc>
          <w:tcPr/>
          <w:p>
            <w:pPr>
              <w:pStyle w:val="Compact"/>
              <w:jc w:val="left"/>
            </w:pPr>
            <w:r>
              <w:t xml:space="preserve">Qwen 2.5 3B</w:t>
            </w:r>
          </w:p>
        </w:tc>
        <w:tc>
          <w:tcPr/>
          <w:p>
            <w:pPr>
              <w:pStyle w:val="Compact"/>
              <w:jc w:val="left"/>
            </w:pPr>
            <w:r>
              <w:t xml:space="preserve">Fraud detection, KYC parsing</w:t>
            </w:r>
          </w:p>
        </w:tc>
        <w:tc>
          <w:tcPr/>
          <w:p>
            <w:pPr>
              <w:pStyle w:val="Compact"/>
              <w:jc w:val="left"/>
            </w:pPr>
            <w:r>
              <w:t xml:space="preserve">Matches GPT-4 on schema-bound extraction at 10x lower latency</w:t>
            </w:r>
            <w:r>
              <w:t xml:space="preserve"> </w:t>
            </w:r>
            <w:fldSimple w:instr="NOTEREF _Ref_Footnote_79 \h \f">
              <w:r>
                <w:rPr>
                  <w:vertAlign w:val="superscript"/>
                </w:rPr>
                <w:t>79</w:t>
              </w:r>
            </w:fldSimple>
          </w:p>
        </w:tc>
        <w:tc>
          <w:tcPr/>
          <w:p>
            <w:pPr>
              <w:pStyle w:val="Compact"/>
              <w:jc w:val="left"/>
            </w:pPr>
            <w:r>
              <w:t xml:space="preserve">Days of training vs. weeks for LLM adaptation</w:t>
            </w:r>
          </w:p>
        </w:tc>
      </w:tr>
      <w:tr>
        <w:tc>
          <w:tcPr/>
          <w:p>
            <w:pPr>
              <w:pStyle w:val="Compact"/>
              <w:jc w:val="left"/>
            </w:pPr>
            <w:r>
              <w:t xml:space="preserve">IT/Helpdesk</w:t>
            </w:r>
          </w:p>
        </w:tc>
        <w:tc>
          <w:tcPr/>
          <w:p>
            <w:pPr>
              <w:pStyle w:val="Compact"/>
              <w:jc w:val="left"/>
            </w:pPr>
            <w:r>
              <w:t xml:space="preserve">TinyAgent 1.1B</w:t>
            </w:r>
          </w:p>
        </w:tc>
        <w:tc>
          <w:tcPr/>
          <w:p>
            <w:pPr>
              <w:pStyle w:val="Compact"/>
              <w:jc w:val="left"/>
            </w:pPr>
            <w:r>
              <w:t xml:space="preserve">Ticket routing, password reset automation</w:t>
            </w:r>
          </w:p>
        </w:tc>
        <w:tc>
          <w:tcPr/>
          <w:p>
            <w:pPr>
              <w:pStyle w:val="Compact"/>
              <w:jc w:val="left"/>
            </w:pPr>
            <w:r>
              <w:t xml:space="preserve">80.06% success rate vs. GPT-4-Turbo 79.08%</w:t>
            </w:r>
            <w:r>
              <w:t xml:space="preserve"> </w:t>
            </w:r>
            <w:r>
              <w:rPr>
                <w:vertAlign w:val="superscript"/>
              </w:rPr>
              <w:footnoteReference w:id="134"/>
            </w:r>
          </w:p>
        </w:tc>
        <w:tc>
          <w:tcPr/>
          <w:p>
            <w:pPr>
              <w:pStyle w:val="Compact"/>
              <w:jc w:val="left"/>
            </w:pPr>
            <w:r>
              <w:t xml:space="preserve">Fine-tuned from TinyLlama on domain corpus</w:t>
            </w:r>
          </w:p>
        </w:tc>
      </w:tr>
      <w:tr>
        <w:tc>
          <w:tcPr/>
          <w:p>
            <w:pPr>
              <w:pStyle w:val="Compact"/>
              <w:jc w:val="left"/>
            </w:pPr>
            <w:r>
              <w:t xml:space="preserve">Software Eng.</w:t>
            </w:r>
          </w:p>
        </w:tc>
        <w:tc>
          <w:tcPr/>
          <w:p>
            <w:pPr>
              <w:pStyle w:val="Compact"/>
              <w:jc w:val="left"/>
            </w:pPr>
            <w:r>
              <w:t xml:space="preserve">Phi-4-mini 3.8B</w:t>
            </w:r>
          </w:p>
        </w:tc>
        <w:tc>
          <w:tcPr/>
          <w:p>
            <w:pPr>
              <w:pStyle w:val="Compact"/>
              <w:jc w:val="left"/>
            </w:pPr>
            <w:r>
              <w:t xml:space="preserve">Boilerplate generation, templated docs</w:t>
            </w:r>
          </w:p>
        </w:tc>
        <w:tc>
          <w:tcPr/>
          <w:p>
            <w:pPr>
              <w:pStyle w:val="Compact"/>
              <w:jc w:val="left"/>
            </w:pPr>
            <w:r>
              <w:t xml:space="preserve">60% of MetaGPT LLM queries replaceable</w:t>
            </w:r>
            <w:r>
              <w:t xml:space="preserve"> </w:t>
            </w:r>
            <w:fldSimple w:instr="NOTEREF _Ref_Footnote_118 \h \f">
              <w:r>
                <w:rPr>
                  <w:vertAlign w:val="superscript"/>
                </w:rPr>
                <w:t>118</w:t>
              </w:r>
            </w:fldSimple>
          </w:p>
        </w:tc>
        <w:tc>
          <w:tcPr/>
          <w:p>
            <w:pPr>
              <w:pStyle w:val="Compact"/>
              <w:jc w:val="left"/>
            </w:pPr>
            <w:r>
              <w:t xml:space="preserve">LoRA rank 8–32 sufficient</w:t>
            </w:r>
            <w:r>
              <w:t xml:space="preserve"> </w:t>
            </w:r>
            <w:fldSimple w:instr="NOTEREF _Ref_Footnote_133 \h \f">
              <w:r>
                <w:rPr>
                  <w:vertAlign w:val="superscript"/>
                </w:rPr>
                <w:t>133</w:t>
              </w:r>
            </w:fldSimple>
          </w:p>
        </w:tc>
      </w:tr>
      <w:tr>
        <w:tc>
          <w:tcPr/>
          <w:p>
            <w:pPr>
              <w:pStyle w:val="Compact"/>
              <w:jc w:val="left"/>
            </w:pPr>
            <w:r>
              <w:t xml:space="preserve">Customer Support</w:t>
            </w:r>
          </w:p>
        </w:tc>
        <w:tc>
          <w:tcPr/>
          <w:p>
            <w:pPr>
              <w:pStyle w:val="Compact"/>
              <w:jc w:val="left"/>
            </w:pPr>
            <w:r>
              <w:t xml:space="preserve">Llama 3.2 3B + retrieval</w:t>
            </w:r>
          </w:p>
        </w:tc>
        <w:tc>
          <w:tcPr/>
          <w:p>
            <w:pPr>
              <w:pStyle w:val="Compact"/>
              <w:jc w:val="left"/>
            </w:pPr>
            <w:r>
              <w:t xml:space="preserve">Ticket classification, response drafting</w:t>
            </w:r>
          </w:p>
        </w:tc>
        <w:tc>
          <w:tcPr/>
          <w:p>
            <w:pPr>
              <w:pStyle w:val="Compact"/>
              <w:jc w:val="left"/>
            </w:pPr>
            <w:r>
              <w:t xml:space="preserve">Full chain under 1 second on commodity GPUs</w:t>
            </w:r>
            <w:r>
              <w:t xml:space="preserve"> </w:t>
            </w:r>
            <w:fldSimple w:instr="NOTEREF _Ref_Footnote_100 \h \f">
              <w:r>
                <w:rPr>
                  <w:vertAlign w:val="superscript"/>
                </w:rPr>
                <w:t>100</w:t>
              </w:r>
            </w:fldSimple>
          </w:p>
        </w:tc>
        <w:tc>
          <w:tcPr/>
          <w:p>
            <w:pPr>
              <w:pStyle w:val="Compact"/>
              <w:jc w:val="left"/>
            </w:pPr>
            <w:r>
              <w:t xml:space="preserve">Per-agent datasets matched to production traffic</w:t>
            </w:r>
          </w:p>
        </w:tc>
      </w:tr>
    </w:tbl>
    <w:p>
      <w:pPr>
        <w:pStyle w:val="BodyText"/>
      </w:pPr>
      <w:r>
        <w:t xml:space="preserve">The table demonstrates a consistent pattern: domain-specific SLMs match or exceed zero-shot frontier LLMs on narrow tasks while requiring orders of magnitude less training data and compute. TinyAgent-1.1B — fine-tuned from TinyLlama using the LLMCompiler framework — achieves an 80.06% success rate on function calling, surpassing GPT-4-Turbo’s 79.08% while running entirely on a local MacBook with voice input processed by Whisper-v3 locally</w:t>
      </w:r>
      <w:r>
        <w:t xml:space="preserve"> </w:t>
      </w:r>
      <w:fldSimple w:instr="NOTEREF _Ref_Footnote_134 \h \f">
        <w:r>
          <w:rPr>
            <w:vertAlign w:val="superscript"/>
          </w:rPr>
          <w:t>134</w:t>
        </w:r>
      </w:fldSimple>
      <w:r>
        <w:t xml:space="preserve">. This is not an isolated result: SLMs</w:t>
      </w:r>
      <w:r>
        <w:t xml:space="preserve"> </w:t>
      </w:r>
      <w:r>
        <w:t xml:space="preserve">“</w:t>
      </w:r>
      <w:r>
        <w:t xml:space="preserve">perform better than LLMs when the domains are clear, the data is specific, and efficiency matters</w:t>
      </w:r>
      <w:r>
        <w:t xml:space="preserve">”</w:t>
      </w:r>
      <w:r>
        <w:t xml:space="preserve"> </w:t>
      </w:r>
      <w:fldSimple w:instr="NOTEREF _Ref_Footnote_79 \h \f">
        <w:r>
          <w:rPr>
            <w:vertAlign w:val="superscript"/>
          </w:rPr>
          <w:t>79</w:t>
        </w:r>
      </w:fldSimple>
      <w:r>
        <w:t xml:space="preserve">.</w:t>
      </w:r>
    </w:p>
    <w:bookmarkStart w:id="100" w:name="Xd11a5fbadecf1f0436e68b51e428958b579b01d"/>
    <w:p>
      <w:pPr>
        <w:pStyle w:val="Heading4"/>
      </w:pPr>
      <w:r>
        <w:t xml:space="preserve">4.3.1 Healthcare, Legal, and Financial Specialist SLMs</w:t>
      </w:r>
    </w:p>
    <w:p>
      <w:pPr>
        <w:pStyle w:val="FirstParagraph"/>
      </w:pPr>
      <w:r>
        <w:t xml:space="preserve">Healthcare, legal, and financial services share three characteristics that make them ideal candidates for specialist SLMs: strict formatting requirements, regulatory constraints on data handling, and narrow task definitions. Healthcare applications such as patient note structuring and EHR transcription demand accuracy, strict formatting, and privacy-preserving on-premises deployment — all strengths of fine-tuned SLMs</w:t>
      </w:r>
      <w:r>
        <w:t xml:space="preserve"> </w:t>
      </w:r>
      <w:fldSimple w:instr="NOTEREF _Ref_Footnote_100 \h \f">
        <w:r>
          <w:rPr>
            <w:vertAlign w:val="superscript"/>
          </w:rPr>
          <w:t>100</w:t>
        </w:r>
      </w:fldSimple>
      <w:r>
        <w:t xml:space="preserve"> </w:t>
      </w:r>
      <w:fldSimple w:instr="NOTEREF _Ref_Footnote_132 \h \f">
        <w:r>
          <w:rPr>
            <w:vertAlign w:val="superscript"/>
          </w:rPr>
          <w:t>132</w:t>
        </w:r>
      </w:fldSimple>
      <w:r>
        <w:t xml:space="preserve">. Legal document classification shows that fine-tuned SLMs achieve 99% accuracy on straightforward categorization tasks (e.g., EU law categorization) and 80–90% on complex multilingual documents</w:t>
      </w:r>
      <w:r>
        <w:t xml:space="preserve"> </w:t>
      </w:r>
      <w:fldSimple w:instr="NOTEREF _Ref_Footnote_17 \h \f">
        <w:r>
          <w:rPr>
            <w:vertAlign w:val="superscript"/>
          </w:rPr>
          <w:t>17</w:t>
        </w:r>
      </w:fldSimple>
      <w:r>
        <w:t xml:space="preserve">. Financial applications including fraud detection and Know Your Customer (KYC) parsing favor SLMs for speed, consistency, and regulatory alignment — a single institution may process millions of transactions daily where each millisecond of latency and each fractional cent of inference cost compounds to material operational impact</w:t>
      </w:r>
      <w:r>
        <w:t xml:space="preserve"> </w:t>
      </w:r>
      <w:fldSimple w:instr="NOTEREF _Ref_Footnote_79 \h \f">
        <w:r>
          <w:rPr>
            <w:vertAlign w:val="superscript"/>
          </w:rPr>
          <w:t>79</w:t>
        </w:r>
      </w:fldSimple>
      <w:r>
        <w:t xml:space="preserve">.</w:t>
      </w:r>
    </w:p>
    <w:bookmarkEnd w:id="100"/>
    <w:bookmarkStart w:id="101" w:name="X3e7e54821b28114e4b4fb3d071b9d02535013fa"/>
    <w:p>
      <w:pPr>
        <w:pStyle w:val="Heading4"/>
      </w:pPr>
      <w:r>
        <w:t xml:space="preserve">4.3.2 TinyAgent 1.1B Exceeds GPT-4-Turbo on Function Calling</w:t>
      </w:r>
    </w:p>
    <w:p>
      <w:pPr>
        <w:pStyle w:val="FirstParagraph"/>
      </w:pPr>
      <w:r>
        <w:t xml:space="preserve">The TinyAgent result from UC Berkeley represents a critical data point for the specialist SLM thesis. TinyAgent-1.1B achieves an 80.06% success rate on function calling tasks compared to GPT-4-Turbo’s 79.08%, while TinyAgent-7B reaches 84.95%</w:t>
      </w:r>
      <w:r>
        <w:t xml:space="preserve"> </w:t>
      </w:r>
      <w:fldSimple w:instr="NOTEREF _Ref_Footnote_134 \h \f">
        <w:r>
          <w:rPr>
            <w:vertAlign w:val="superscript"/>
          </w:rPr>
          <w:t>134</w:t>
        </w:r>
      </w:fldSimple>
      <w:r>
        <w:t xml:space="preserve">. The breakthrough is not merely the accuracy figure but the full-system deployment: TinyAgent runs on a local MacBook with voice input processed by local Whisper-v3, using a novel tool retrieval mechanism that reduces prompt size by approximately 2x</w:t>
      </w:r>
      <w:r>
        <w:t xml:space="preserve"> </w:t>
      </w:r>
      <w:fldSimple w:instr="NOTEREF _Ref_Footnote_134 \h \f">
        <w:r>
          <w:rPr>
            <w:vertAlign w:val="superscript"/>
          </w:rPr>
          <w:t>134</w:t>
        </w:r>
      </w:fldSimple>
      <w:r>
        <w:t xml:space="preserve">. This demonstrates that the performance advantage of a fine-tuned specialist SLM holds not just in benchmark isolation but in an end-to-end edge deployment where every component is optimized for local execution. The implication is that function calling — one of the most critical capabilities in agentic systems — has been effectively</w:t>
      </w:r>
      <w:r>
        <w:t xml:space="preserve"> </w:t>
      </w:r>
      <w:r>
        <w:t xml:space="preserve">“</w:t>
      </w:r>
      <w:r>
        <w:t xml:space="preserve">solved</w:t>
      </w:r>
      <w:r>
        <w:t xml:space="preserve">”</w:t>
      </w:r>
      <w:r>
        <w:t xml:space="preserve"> </w:t>
      </w:r>
      <w:r>
        <w:t xml:space="preserve">at the SLM scale for bounded tool surfaces, removing one of the primary justifications for LLM-based tool orchestration.</w:t>
      </w:r>
    </w:p>
    <w:bookmarkEnd w:id="101"/>
    <w:bookmarkStart w:id="102" w:name="fine-tuning-economics-3m-vs-100m"/>
    <w:p>
      <w:pPr>
        <w:pStyle w:val="Heading4"/>
      </w:pPr>
      <w:r>
        <w:t xml:space="preserve">4.3.3 Fine-Tuning Economics: $3M vs $100M+</w:t>
      </w:r>
    </w:p>
    <w:p>
      <w:pPr>
        <w:pStyle w:val="FirstParagraph"/>
      </w:pPr>
      <w:r>
        <w:t xml:space="preserve">The economic disparity between training a specialist SLM and adapting a frontier LLM creates structural pressure toward the specialist model approach. Full-parameter fine-tuning of a frontier LLM requires hundreds of millions of dollars in compute and data preparation, while parameter-efficient fine-tuning of an SLM using LoRA or QLoRA requires only a few GPU-hours with datasets of 1,000–100,000 examples</w:t>
      </w:r>
      <w:r>
        <w:t xml:space="preserve"> </w:t>
      </w:r>
      <w:fldSimple w:instr="NOTEREF _Ref_Footnote_6 \h \f">
        <w:r>
          <w:rPr>
            <w:vertAlign w:val="superscript"/>
          </w:rPr>
          <w:t>6</w:t>
        </w:r>
      </w:fldSimple>
      <w:r>
        <w:t xml:space="preserve">. A Qwen 2.5 1.5B router agent can be fine-tuned on (query, target_tool) pairs using LoRA with rank 8–32 — a training run that completes on a single consumer GPU in hours rather than the weeks required for LLM adaptation</w:t>
      </w:r>
      <w:r>
        <w:t xml:space="preserve"> </w:t>
      </w:r>
      <w:fldSimple w:instr="NOTEREF _Ref_Footnote_18 \h \f">
        <w:r>
          <w:rPr>
            <w:vertAlign w:val="superscript"/>
          </w:rPr>
          <w:t>18</w:t>
        </w:r>
      </w:fldSimple>
      <w:r>
        <w:t xml:space="preserve"> </w:t>
      </w:r>
      <w:fldSimple w:instr="NOTEREF _Ref_Footnote_133 \h \f">
        <w:r>
          <w:rPr>
            <w:vertAlign w:val="superscript"/>
          </w:rPr>
          <w:t>133</w:t>
        </w:r>
      </w:fldSimple>
      <w:r>
        <w:t xml:space="preserve">. Quality matters more than quantity:</w:t>
      </w:r>
      <w:r>
        <w:t xml:space="preserve"> </w:t>
      </w:r>
      <w:r>
        <w:t xml:space="preserve">“</w:t>
      </w:r>
      <w:r>
        <w:t xml:space="preserve">1,000 carefully curated examples consistently outperform 50,000 noisy examples</w:t>
      </w:r>
      <w:r>
        <w:t xml:space="preserve">”</w:t>
      </w:r>
      <w:r>
        <w:t xml:space="preserve"> </w:t>
      </w:r>
      <w:r>
        <w:t xml:space="preserve">for domain adaptation</w:t>
      </w:r>
      <w:r>
        <w:t xml:space="preserve"> </w:t>
      </w:r>
      <w:fldSimple w:instr="NOTEREF _Ref_Footnote_133 \h \f">
        <w:r>
          <w:rPr>
            <w:vertAlign w:val="superscript"/>
          </w:rPr>
          <w:t>133</w:t>
        </w:r>
      </w:fldSimple>
      <w:r>
        <w:t xml:space="preserve">. The total cost for specialist SLM development — including data curation, training, evaluation, and deployment — is typically estimated at approximately $3 million versus $100 million or more for frontier model training or extensive LLM fine-tuning. This 30-fold cost differential means organizations can deploy 30 specialist SLMs for the cost of one adapted LLM, each optimized for a specific domain or task within the agentic ecosystem.</w:t>
      </w:r>
    </w:p>
    <w:bookmarkEnd w:id="102"/>
    <w:bookmarkStart w:id="103" w:name="the-emerging-specialist-economy"/>
    <w:p>
      <w:pPr>
        <w:pStyle w:val="Heading4"/>
      </w:pPr>
      <w:r>
        <w:t xml:space="preserve">4.3.4 The Emerging</w:t>
      </w:r>
      <w:r>
        <w:t xml:space="preserve"> </w:t>
      </w:r>
      <w:r>
        <w:t xml:space="preserve">“</w:t>
      </w:r>
      <w:r>
        <w:t xml:space="preserve">Specialist Economy</w:t>
      </w:r>
      <w:r>
        <w:t xml:space="preserve">”</w:t>
      </w:r>
    </w:p>
    <w:p>
      <w:pPr>
        <w:pStyle w:val="FirstParagraph"/>
      </w:pPr>
      <w:r>
        <w:t xml:space="preserve">The convergence of three factors — the economics of SLM fine-tuning, the interoperability enabled by the Model Context Protocol (MCP) and Agent-to-Agent (A2A) protocols, and the demonstrated superiority of specialists on narrow tasks — is creating a marketplace for domain-specific SLMs analogous to the App Store’s creation of a marketplace for mobile applications</w:t>
      </w:r>
      <w:r>
        <w:t xml:space="preserve"> </w:t>
      </w:r>
      <w:fldSimple w:instr="NOTEREF _Ref_Footnote_125 \h \f">
        <w:r>
          <w:rPr>
            <w:vertAlign w:val="superscript"/>
          </w:rPr>
          <w:t>125</w:t>
        </w:r>
      </w:fldSimple>
      <w:r>
        <w:t xml:space="preserve">. MCP’s 97 million monthly SDK downloads and 10,000+ tool servers provide the infrastructure layer; A2A’s 50+ partner ecosystem provides the agent interoperability layer</w:t>
      </w:r>
      <w:r>
        <w:t xml:space="preserve"> </w:t>
      </w:r>
      <w:fldSimple w:instr="NOTEREF _Ref_Footnote_125 \h \f">
        <w:r>
          <w:rPr>
            <w:vertAlign w:val="superscript"/>
          </w:rPr>
          <w:t>125</w:t>
        </w:r>
      </w:fldSimple>
      <w:r>
        <w:t xml:space="preserve">. The</w:t>
      </w:r>
      <w:r>
        <w:t xml:space="preserve"> </w:t>
      </w:r>
      <w:r>
        <w:t xml:space="preserve">“</w:t>
      </w:r>
      <w:r>
        <w:t xml:space="preserve">mixture of specialists</w:t>
      </w:r>
      <w:r>
        <w:t xml:space="preserve">”</w:t>
      </w:r>
      <w:r>
        <w:t xml:space="preserve"> </w:t>
      </w:r>
      <w:r>
        <w:t xml:space="preserve">paradigm replaces monolithic LLM deployment with modular composition: a healthcare triage SLM, a legal document review SLM, a financial compliance SLM, each connected via standardized protocols and orchestrated by a lightweight router</w:t>
      </w:r>
      <w:r>
        <w:t xml:space="preserve"> </w:t>
      </w:r>
      <w:fldSimple w:instr="NOTEREF _Ref_Footnote_126 \h \f">
        <w:r>
          <w:rPr>
            <w:vertAlign w:val="superscript"/>
          </w:rPr>
          <w:t>126</w:t>
        </w:r>
      </w:fldSimple>
      <w:r>
        <w:t xml:space="preserve">. The winning platform in this economy will not be the one with the largest model but the one that makes discovery, integration, and orchestration of specialist SLMs as seamless as installing applications.</w:t>
      </w:r>
    </w:p>
    <w:bookmarkEnd w:id="103"/>
    <w:bookmarkEnd w:id="104"/>
    <w:bookmarkStart w:id="110" w:name="X28b5b2e9dfe8796ad44a536797e4d0bd2fe9741"/>
    <w:p>
      <w:pPr>
        <w:pStyle w:val="Heading3"/>
      </w:pPr>
      <w:r>
        <w:t xml:space="preserve">4.4 Smart Response Generation: How SLMs Produce and Facilitate</w:t>
      </w:r>
    </w:p>
    <w:p>
      <w:pPr>
        <w:pStyle w:val="FirstParagraph"/>
      </w:pPr>
      <w:r>
        <w:t xml:space="preserve">Placement in the agentic ecosystem is not merely about routing and classification — it is also about how SLMs generate responses that advance the system’s objectives. An SLM positioned as a workflow step executor must produce outputs that downstream agents can consume; an SLM serving as a first-line document processor must generate structured extractions that conform to schemas; an SLM acting as a collaborative drafter must produce outputs that an LLM verifier can efficiently refine. This section examines five response generation patterns through which SLMs actively facilitate the agentic ecosystem.</w:t>
      </w:r>
    </w:p>
    <w:p>
      <w:pPr>
        <w:pStyle w:val="BodyText"/>
      </w:pPr>
      <w:r>
        <w:rPr>
          <w:bCs/>
          <w:b/>
        </w:rPr>
        <w:t xml:space="preserve">Table 4.3 — SLM Response Generation Patterns in Agentic Ecosystems</w:t>
      </w:r>
    </w:p>
    <w:tbl>
      <w:tblPr>
        <w:tblStyle w:val="Table"/>
        <w:tblW w:type="pct" w:w="5000"/>
        <w:tblLook w:firstRow="1" w:lastRow="0" w:firstColumn="0" w:lastColumn="0" w:noHBand="0" w:noVBand="0" w:val="0020"/>
      </w:tblPr>
      <w:tblGrid>
        <w:gridCol w:w="1033"/>
        <w:gridCol w:w="1262"/>
        <w:gridCol w:w="1721"/>
        <w:gridCol w:w="1951"/>
        <w:gridCol w:w="1951"/>
      </w:tblGrid>
      <w:tr>
        <w:trPr>
          <w:tblHeader w:val="true"/>
        </w:trPr>
        <w:tc>
          <w:tcPr/>
          <w:p>
            <w:pPr>
              <w:pStyle w:val="Compact"/>
              <w:jc w:val="left"/>
            </w:pPr>
            <w:r>
              <w:t xml:space="preserve">Pattern</w:t>
            </w:r>
          </w:p>
        </w:tc>
        <w:tc>
          <w:tcPr/>
          <w:p>
            <w:pPr>
              <w:pStyle w:val="Compact"/>
              <w:jc w:val="left"/>
            </w:pPr>
            <w:r>
              <w:t xml:space="preserve">Mechanism</w:t>
            </w:r>
          </w:p>
        </w:tc>
        <w:tc>
          <w:tcPr/>
          <w:p>
            <w:pPr>
              <w:pStyle w:val="Compact"/>
              <w:jc w:val="left"/>
            </w:pPr>
            <w:r>
              <w:t xml:space="preserve">SLM Size Range</w:t>
            </w:r>
          </w:p>
        </w:tc>
        <w:tc>
          <w:tcPr/>
          <w:p>
            <w:pPr>
              <w:pStyle w:val="Compact"/>
              <w:jc w:val="left"/>
            </w:pPr>
            <w:r>
              <w:t xml:space="preserve">Accuracy Impact</w:t>
            </w:r>
          </w:p>
        </w:tc>
        <w:tc>
          <w:tcPr/>
          <w:p>
            <w:pPr>
              <w:pStyle w:val="Compact"/>
              <w:jc w:val="left"/>
            </w:pPr>
            <w:r>
              <w:t xml:space="preserve">Best Applied When</w:t>
            </w:r>
          </w:p>
        </w:tc>
      </w:tr>
      <w:tr>
        <w:tc>
          <w:tcPr/>
          <w:p>
            <w:pPr>
              <w:pStyle w:val="Compact"/>
              <w:jc w:val="left"/>
            </w:pPr>
            <w:r>
              <w:t xml:space="preserve">Structured Generation</w:t>
            </w:r>
          </w:p>
        </w:tc>
        <w:tc>
          <w:tcPr/>
          <w:p>
            <w:pPr>
              <w:pStyle w:val="Compact"/>
              <w:jc w:val="left"/>
            </w:pPr>
            <w:r>
              <w:t xml:space="preserve">Guided/constrained decoding against JSON schema</w:t>
            </w:r>
          </w:p>
        </w:tc>
        <w:tc>
          <w:tcPr/>
          <w:p>
            <w:pPr>
              <w:pStyle w:val="Compact"/>
              <w:jc w:val="left"/>
            </w:pPr>
            <w:r>
              <w:t xml:space="preserve">1B–7B</w:t>
            </w:r>
          </w:p>
        </w:tc>
        <w:tc>
          <w:tcPr/>
          <w:p>
            <w:pPr>
              <w:pStyle w:val="Compact"/>
              <w:jc w:val="left"/>
            </w:pPr>
            <w:r>
              <w:t xml:space="preserve">+4% task performance; 50% faster generation</w:t>
            </w:r>
            <w:r>
              <w:t xml:space="preserve"> </w:t>
            </w:r>
            <w:fldSimple w:instr="NOTEREF _Ref_Footnote_114 \h \f">
              <w:r>
                <w:rPr>
                  <w:vertAlign w:val="superscript"/>
                </w:rPr>
                <w:t>114</w:t>
              </w:r>
            </w:fldSimple>
          </w:p>
        </w:tc>
        <w:tc>
          <w:tcPr/>
          <w:p>
            <w:pPr>
              <w:pStyle w:val="Compact"/>
              <w:jc w:val="left"/>
            </w:pPr>
            <w:r>
              <w:t xml:space="preserve">API calls, form filling, database operations</w:t>
            </w:r>
          </w:p>
        </w:tc>
      </w:tr>
      <w:tr>
        <w:tc>
          <w:tcPr/>
          <w:p>
            <w:pPr>
              <w:pStyle w:val="Compact"/>
              <w:jc w:val="left"/>
            </w:pPr>
            <w:r>
              <w:t xml:space="preserve">Tool-Augmented Generation</w:t>
            </w:r>
          </w:p>
        </w:tc>
        <w:tc>
          <w:tcPr/>
          <w:p>
            <w:pPr>
              <w:pStyle w:val="Compact"/>
              <w:jc w:val="left"/>
            </w:pPr>
            <w:r>
              <w:t xml:space="preserve">Query knowledge base before responding (RAG)</w:t>
            </w:r>
          </w:p>
        </w:tc>
        <w:tc>
          <w:tcPr/>
          <w:p>
            <w:pPr>
              <w:pStyle w:val="Compact"/>
              <w:jc w:val="left"/>
            </w:pPr>
            <w:r>
              <w:t xml:space="preserve">3B–7B</w:t>
            </w:r>
          </w:p>
        </w:tc>
        <w:tc>
          <w:tcPr/>
          <w:p>
            <w:pPr>
              <w:pStyle w:val="Compact"/>
              <w:jc w:val="left"/>
            </w:pPr>
            <w:r>
              <w:t xml:space="preserve">Reduces hallucination; factuality from retrieval</w:t>
            </w:r>
          </w:p>
        </w:tc>
        <w:tc>
          <w:tcPr/>
          <w:p>
            <w:pPr>
              <w:pStyle w:val="Compact"/>
              <w:jc w:val="left"/>
            </w:pPr>
            <w:r>
              <w:t xml:space="preserve">Document Q&amp;A, compliance queries</w:t>
            </w:r>
          </w:p>
        </w:tc>
      </w:tr>
      <w:tr>
        <w:tc>
          <w:tcPr/>
          <w:p>
            <w:pPr>
              <w:pStyle w:val="Compact"/>
              <w:jc w:val="left"/>
            </w:pPr>
            <w:r>
              <w:t xml:space="preserve">Chain-of-Thought (CoT)</w:t>
            </w:r>
          </w:p>
        </w:tc>
        <w:tc>
          <w:tcPr/>
          <w:p>
            <w:pPr>
              <w:pStyle w:val="Compact"/>
              <w:jc w:val="left"/>
            </w:pPr>
            <w:r>
              <w:t xml:space="preserve">Step-by-step reasoning before answer</w:t>
            </w:r>
          </w:p>
        </w:tc>
        <w:tc>
          <w:tcPr/>
          <w:p>
            <w:pPr>
              <w:pStyle w:val="Compact"/>
              <w:jc w:val="left"/>
            </w:pPr>
            <w:r>
              <w:t xml:space="preserve">3B–14B</w:t>
            </w:r>
          </w:p>
        </w:tc>
        <w:tc>
          <w:tcPr/>
          <w:p>
            <w:pPr>
              <w:pStyle w:val="Compact"/>
              <w:jc w:val="left"/>
            </w:pPr>
            <w:r>
              <w:t xml:space="preserve">Matches zero-shot frontier LLMs on specific tasks</w:t>
            </w:r>
            <w:r>
              <w:t xml:space="preserve"> </w:t>
            </w:r>
            <w:fldSimple w:instr="NOTEREF _Ref_Footnote_100 \h \f">
              <w:r>
                <w:rPr>
                  <w:vertAlign w:val="superscript"/>
                </w:rPr>
                <w:t>100</w:t>
              </w:r>
            </w:fldSimple>
          </w:p>
        </w:tc>
        <w:tc>
          <w:tcPr/>
          <w:p>
            <w:pPr>
              <w:pStyle w:val="Compact"/>
              <w:jc w:val="left"/>
            </w:pPr>
            <w:r>
              <w:t xml:space="preserve">Math, logic, multi-step reasoning</w:t>
            </w:r>
          </w:p>
        </w:tc>
      </w:tr>
      <w:tr>
        <w:tc>
          <w:tcPr/>
          <w:p>
            <w:pPr>
              <w:pStyle w:val="Compact"/>
              <w:jc w:val="left"/>
            </w:pPr>
            <w:r>
              <w:t xml:space="preserve">Collaborative Generation</w:t>
            </w:r>
          </w:p>
        </w:tc>
        <w:tc>
          <w:tcPr/>
          <w:p>
            <w:pPr>
              <w:pStyle w:val="Compact"/>
              <w:jc w:val="left"/>
            </w:pPr>
            <w:r>
              <w:t xml:space="preserve">“</w:t>
            </w:r>
            <w:r>
              <w:t xml:space="preserve">SLM draft → LLM verify</w:t>
            </w:r>
            <w:r>
              <w:t xml:space="preserve">”</w:t>
            </w:r>
            <w:r>
              <w:t xml:space="preserve"> </w:t>
            </w:r>
            <w:r>
              <w:t xml:space="preserve">pipeline</w:t>
            </w:r>
          </w:p>
        </w:tc>
        <w:tc>
          <w:tcPr/>
          <w:p>
            <w:pPr>
              <w:pStyle w:val="Compact"/>
              <w:jc w:val="left"/>
            </w:pPr>
            <w:r>
              <w:t xml:space="preserve">3B–7B draft; LLM verify</w:t>
            </w:r>
          </w:p>
        </w:tc>
        <w:tc>
          <w:tcPr/>
          <w:p>
            <w:pPr>
              <w:pStyle w:val="Compact"/>
              <w:jc w:val="left"/>
            </w:pPr>
            <w:r>
              <w:t xml:space="preserve">DisCIPL: exceeds GPT-4o accuracy at lower cost</w:t>
            </w:r>
            <w:r>
              <w:t xml:space="preserve"> </w:t>
            </w:r>
            <w:r>
              <w:rPr>
                <w:vertAlign w:val="superscript"/>
              </w:rPr>
              <w:footnoteReference w:id="135"/>
            </w:r>
          </w:p>
        </w:tc>
        <w:tc>
          <w:tcPr/>
          <w:p>
            <w:pPr>
              <w:pStyle w:val="Compact"/>
              <w:jc w:val="left"/>
            </w:pPr>
            <w:r>
              <w:t xml:space="preserve">High-stakes content, regulatory documents</w:t>
            </w:r>
          </w:p>
        </w:tc>
      </w:tr>
      <w:tr>
        <w:tc>
          <w:tcPr/>
          <w:p>
            <w:pPr>
              <w:pStyle w:val="Compact"/>
              <w:jc w:val="left"/>
            </w:pPr>
            <w:r>
              <w:t xml:space="preserve">Traffic Controller</w:t>
            </w:r>
          </w:p>
        </w:tc>
        <w:tc>
          <w:tcPr/>
          <w:p>
            <w:pPr>
              <w:pStyle w:val="Compact"/>
              <w:jc w:val="left"/>
            </w:pPr>
            <w:r>
              <w:t xml:space="preserve">Route + synthesize across specialist agents</w:t>
            </w:r>
          </w:p>
        </w:tc>
        <w:tc>
          <w:tcPr/>
          <w:p>
            <w:pPr>
              <w:pStyle w:val="Compact"/>
              <w:jc w:val="left"/>
            </w:pPr>
            <w:r>
              <w:t xml:space="preserve">1.5B–3B router</w:t>
            </w:r>
          </w:p>
        </w:tc>
        <w:tc>
          <w:tcPr/>
          <w:p>
            <w:pPr>
              <w:pStyle w:val="Compact"/>
              <w:jc w:val="left"/>
            </w:pPr>
            <w:r>
              <w:t xml:space="preserve">92–97% routing accuracy</w:t>
            </w:r>
            <w:r>
              <w:t xml:space="preserve"> </w:t>
            </w:r>
            <w:fldSimple w:instr="NOTEREF _Ref_Footnote_12 \h \f">
              <w:r>
                <w:rPr>
                  <w:vertAlign w:val="superscript"/>
                </w:rPr>
                <w:t>12</w:t>
              </w:r>
            </w:fldSimple>
          </w:p>
        </w:tc>
        <w:tc>
          <w:tcPr/>
          <w:p>
            <w:pPr>
              <w:pStyle w:val="Compact"/>
              <w:jc w:val="left"/>
            </w:pPr>
            <w:r>
              <w:t xml:space="preserve">Multi-agent orchestration, cross-domain queries</w:t>
            </w:r>
          </w:p>
        </w:tc>
      </w:tr>
    </w:tbl>
    <w:bookmarkStart w:id="105" w:name="X946d4af0bdbe84631bed464778cf280a22d6068"/>
    <w:p>
      <w:pPr>
        <w:pStyle w:val="Heading4"/>
      </w:pPr>
      <w:r>
        <w:t xml:space="preserve">4.4.1 Structured Generation: Deterministic, Schema-Validated Outputs</w:t>
      </w:r>
    </w:p>
    <w:p>
      <w:pPr>
        <w:pStyle w:val="FirstParagraph"/>
      </w:pPr>
      <w:r>
        <w:t xml:space="preserve">Structured generation — constraining model outputs to conform to a predefined schema (JSON, SQL, etc.) — is the foundational response pattern for agentic SLMs. Frameworks such as XGrammar, Outlines, and LLGuidance implement guided decoding that restricts the model’s next-token choices to grammatically valid options based on the target schema</w:t>
      </w:r>
      <w:r>
        <w:t xml:space="preserve"> </w:t>
      </w:r>
      <w:fldSimple w:instr="NOTEREF _Ref_Footnote_113 \h \f">
        <w:r>
          <w:rPr>
            <w:vertAlign w:val="superscript"/>
          </w:rPr>
          <w:t>113</w:t>
        </w:r>
      </w:fldSimple>
      <w:r>
        <w:t xml:space="preserve"> </w:t>
      </w:r>
      <w:fldSimple w:instr="NOTEREF _Ref_Footnote_114 \h \f">
        <w:r>
          <w:rPr>
            <w:vertAlign w:val="superscript"/>
          </w:rPr>
          <w:t>114</w:t>
        </w:r>
      </w:fldSimple>
      <w:r>
        <w:t xml:space="preserve">. The workflow proceeds in three steps: create a grammar from the schema, generate a token mask at each decoding step, and apply the token bitmask to the model’s logits before sampling</w:t>
      </w:r>
      <w:r>
        <w:t xml:space="preserve"> </w:t>
      </w:r>
      <w:fldSimple w:instr="NOTEREF _Ref_Footnote_113 \h \f">
        <w:r>
          <w:rPr>
            <w:vertAlign w:val="superscript"/>
          </w:rPr>
          <w:t>113</w:t>
        </w:r>
      </w:fldSimple>
      <w:r>
        <w:t xml:space="preserve">. This approach delivers two benefits simultaneously: it improves downstream task performance by up to 4% (even for minimally structured tasks like GSM8K) and accelerates generation by 50% compared to unconstrained decoding by eliminating invalid token sequences from consideration</w:t>
      </w:r>
      <w:r>
        <w:t xml:space="preserve"> </w:t>
      </w:r>
      <w:fldSimple w:instr="NOTEREF _Ref_Footnote_114 \h \f">
        <w:r>
          <w:rPr>
            <w:vertAlign w:val="superscript"/>
          </w:rPr>
          <w:t>114</w:t>
        </w:r>
      </w:fldSimple>
      <w:r>
        <w:t xml:space="preserve">. For agentic systems, structured generation transforms the SLM from a probabilistic text generator into a deterministic API endpoint — a critical property when downstream agents depend on receiving valid, parseable inputs.</w:t>
      </w:r>
    </w:p>
    <w:bookmarkEnd w:id="105"/>
    <w:bookmarkStart w:id="106" w:name="X41ca33545d17a28b085f62e7911982268a1fbae"/>
    <w:p>
      <w:pPr>
        <w:pStyle w:val="Heading4"/>
      </w:pPr>
      <w:r>
        <w:t xml:space="preserve">4.4.2 Tool-Augmented Generation: Querying Knowledge Bases Before Responding</w:t>
      </w:r>
    </w:p>
    <w:p>
      <w:pPr>
        <w:pStyle w:val="FirstParagraph"/>
      </w:pPr>
      <w:r>
        <w:t xml:space="preserve">Tool-augmented generation extends the SLM’s response capability by interleaving text generation with knowledge base queries. In the standard Thought-Action-Observation (TAO) cycle, the SLM reasons about what information it needs, issues a tool call to retrieve it, incorporates the observation into its context, and then generates a response grounded in retrieved facts</w:t>
      </w:r>
      <w:r>
        <w:t xml:space="preserve"> </w:t>
      </w:r>
      <w:fldSimple w:instr="NOTEREF _Ref_Footnote_116 \h \f">
        <w:r>
          <w:rPr>
            <w:vertAlign w:val="superscript"/>
          </w:rPr>
          <w:t>116</w:t>
        </w:r>
      </w:fldSimple>
      <w:r>
        <w:t xml:space="preserve">. This pattern is particularly effective for SLMs because it compensates for their narrower parametric knowledge: rather than relying on what the model has memorized, the model retrieves facts from external sources before generating. The ReWOO (Reasoning WithOut Observation) variant achieves 5x token efficiency and 4% accuracy improvement over standard ReAct by separating planning from execution — the planner creates a plan with evidence placeholders, a worker executes all tool calls, and a solver generates the final answer</w:t>
      </w:r>
      <w:r>
        <w:t xml:space="preserve"> </w:t>
      </w:r>
      <w:fldSimple w:instr="NOTEREF _Ref_Footnote_45 \h \f">
        <w:r>
          <w:rPr>
            <w:vertAlign w:val="superscript"/>
          </w:rPr>
          <w:t>45</w:t>
        </w:r>
      </w:fldSimple>
      <w:r>
        <w:t xml:space="preserve">. Critically, ReWOO demonstrated that reasoning ability can be offloaded from a 175B-parameter GPT-3.5 into a 7B-parameter LLaMA through instruction fine-tuning,</w:t>
      </w:r>
      <w:r>
        <w:t xml:space="preserve"> </w:t>
      </w:r>
      <w:r>
        <w:t xml:space="preserve">“</w:t>
      </w:r>
      <w:r>
        <w:t xml:space="preserve">demonstrating the significant potential for truly efficient and scalable ALM systems</w:t>
      </w:r>
      <w:r>
        <w:t xml:space="preserve">”</w:t>
      </w:r>
      <w:r>
        <w:t xml:space="preserve"> </w:t>
      </w:r>
      <w:fldSimple w:instr="NOTEREF _Ref_Footnote_45 \h \f">
        <w:r>
          <w:rPr>
            <w:vertAlign w:val="superscript"/>
          </w:rPr>
          <w:t>45</w:t>
        </w:r>
      </w:fldSimple>
      <w:r>
        <w:t xml:space="preserve">.</w:t>
      </w:r>
    </w:p>
    <w:bookmarkEnd w:id="106"/>
    <w:bookmarkStart w:id="107" w:name="X87640357532720a9cb1e8dbd6cd1ee668259fb2"/>
    <w:p>
      <w:pPr>
        <w:pStyle w:val="Heading4"/>
      </w:pPr>
      <w:r>
        <w:t xml:space="preserve">4.4.3 Chain-of-Thought for SLMs: 3B–9B Range Matches Zero-Shot Frontier LLMs</w:t>
      </w:r>
    </w:p>
    <w:p>
      <w:pPr>
        <w:pStyle w:val="FirstParagraph"/>
      </w:pPr>
      <w:r>
        <w:t xml:space="preserve">Chain-of-Thought (CoT) prompting — eliciting step-by-step reasoning before the final answer — was initially believed to require models of at least 62 billion parameters to be effective</w:t>
      </w:r>
      <w:r>
        <w:t xml:space="preserve"> </w:t>
      </w:r>
      <w:r>
        <w:rPr>
          <w:vertAlign w:val="superscript"/>
        </w:rPr>
        <w:footnoteReference w:id="136"/>
      </w:r>
      <w:r>
        <w:t xml:space="preserve">. More recent evidence challenges this threshold. ReflectEvo, a reflection-based training approach demonstrated at ACL 2025, boosted Llama-3-8B from 52.4% to 71.2% and Mistral-7B from 44.4% to 71.1% on reasoning benchmarks, enabling these models to</w:t>
      </w:r>
      <w:r>
        <w:t xml:space="preserve"> </w:t>
      </w:r>
      <w:r>
        <w:t xml:space="preserve">“</w:t>
      </w:r>
      <w:r>
        <w:t xml:space="preserve">rival or even surpass the reasoning capability</w:t>
      </w:r>
      <w:r>
        <w:t xml:space="preserve">”</w:t>
      </w:r>
      <w:r>
        <w:t xml:space="preserve"> </w:t>
      </w:r>
      <w:r>
        <w:t xml:space="preserve">of models eight times their size</w:t>
      </w:r>
      <w:r>
        <w:t xml:space="preserve"> </w:t>
      </w:r>
      <w:r>
        <w:rPr>
          <w:vertAlign w:val="superscript"/>
        </w:rPr>
        <w:footnoteReference w:id="137"/>
      </w:r>
      <w:r>
        <w:t xml:space="preserve">. Fine-tuned CoT SLMs in the 3B–9B parameter range frequently match or exceed zero-shot frontier LLMs on specific reasoning tasks</w:t>
      </w:r>
      <w:r>
        <w:t xml:space="preserve"> </w:t>
      </w:r>
      <w:fldSimple w:instr="NOTEREF _Ref_Footnote_100 \h \f">
        <w:r>
          <w:rPr>
            <w:vertAlign w:val="superscript"/>
          </w:rPr>
          <w:t>100</w:t>
        </w:r>
      </w:fldSimple>
      <w:r>
        <w:t xml:space="preserve">. Microsoft Phi-4 (14B) achieves 80.4% on the MATH benchmark — surpassing GPT-4o’s 76.6% — and 56.1% on GPQA Diamond versus GPT-4o’s 53.6%</w:t>
      </w:r>
      <w:r>
        <w:t xml:space="preserve"> </w:t>
      </w:r>
      <w:fldSimple w:instr="NOTEREF _Ref_Footnote_101 \h \f">
        <w:r>
          <w:rPr>
            <w:vertAlign w:val="superscript"/>
          </w:rPr>
          <w:t>101</w:t>
        </w:r>
      </w:fldSimple>
      <w:r>
        <w:t xml:space="preserve">. These results suggest that for bounded reasoning tasks within a specific domain, CoT-enabled SLMs can replace frontier LLMs without accuracy degradation. The caveat, established by the</w:t>
      </w:r>
      <w:r>
        <w:t xml:space="preserve"> </w:t>
      </w:r>
      <w:r>
        <w:t xml:space="preserve">“</w:t>
      </w:r>
      <w:r>
        <w:t xml:space="preserve">Chain of Thoughtlessness</w:t>
      </w:r>
      <w:r>
        <w:t xml:space="preserve">”</w:t>
      </w:r>
      <w:r>
        <w:t xml:space="preserve"> </w:t>
      </w:r>
      <w:r>
        <w:t xml:space="preserve">research, is that CoT improvements</w:t>
      </w:r>
      <w:r>
        <w:t xml:space="preserve"> </w:t>
      </w:r>
      <w:r>
        <w:t xml:space="preserve">“</w:t>
      </w:r>
      <w:r>
        <w:t xml:space="preserve">do not stem from the model learning general algorithmic procedures via demonstrations but depend on carefully engineering highly problem specific prompts</w:t>
      </w:r>
      <w:r>
        <w:t xml:space="preserve">”</w:t>
      </w:r>
      <w:r>
        <w:t xml:space="preserve"> </w:t>
      </w:r>
      <w:r>
        <w:rPr>
          <w:vertAlign w:val="superscript"/>
        </w:rPr>
        <w:footnoteReference w:id="138"/>
      </w:r>
      <w:r>
        <w:t xml:space="preserve">— meaning CoT SLMs require careful prompt engineering and task-specific tuning to achieve these results.</w:t>
      </w:r>
    </w:p>
    <w:bookmarkEnd w:id="107"/>
    <w:bookmarkStart w:id="108" w:name="X901efb4ec30fe682035392d43eb45fd30a6e8cb"/>
    <w:p>
      <w:pPr>
        <w:pStyle w:val="Heading4"/>
      </w:pPr>
      <w:r>
        <w:t xml:space="preserve">4.4.4 Collaborative Generation:</w:t>
      </w:r>
      <w:r>
        <w:t xml:space="preserve"> </w:t>
      </w:r>
      <w:r>
        <w:t xml:space="preserve">“</w:t>
      </w:r>
      <w:r>
        <w:t xml:space="preserve">SLM Draft → LLM Verify</w:t>
      </w:r>
      <w:r>
        <w:t xml:space="preserve">”</w:t>
      </w:r>
      <w:r>
        <w:t xml:space="preserve"> </w:t>
      </w:r>
      <w:r>
        <w:t xml:space="preserve">Pattern</w:t>
      </w:r>
    </w:p>
    <w:p>
      <w:pPr>
        <w:pStyle w:val="FirstParagraph"/>
      </w:pPr>
      <w:r>
        <w:t xml:space="preserve">The collaborative generation pattern leverages the complementary failure modes of SLMs and LLMs. SLMs</w:t>
      </w:r>
      <w:r>
        <w:t xml:space="preserve"> </w:t>
      </w:r>
      <w:r>
        <w:t xml:space="preserve">“</w:t>
      </w:r>
      <w:r>
        <w:t xml:space="preserve">tend to fail by refusing or producing short, generic answers when uncertain,</w:t>
      </w:r>
      <w:r>
        <w:t xml:space="preserve">”</w:t>
      </w:r>
      <w:r>
        <w:t xml:space="preserve"> </w:t>
      </w:r>
      <w:r>
        <w:t xml:space="preserve">while LLMs are</w:t>
      </w:r>
      <w:r>
        <w:t xml:space="preserve"> </w:t>
      </w:r>
      <w:r>
        <w:t xml:space="preserve">“</w:t>
      </w:r>
      <w:r>
        <w:t xml:space="preserve">more confident and more verbose, which makes their hallucinations harder to spot</w:t>
      </w:r>
      <w:r>
        <w:t xml:space="preserve">”</w:t>
      </w:r>
      <w:r>
        <w:t xml:space="preserve"> </w:t>
      </w:r>
      <w:r>
        <w:rPr>
          <w:vertAlign w:val="superscript"/>
        </w:rPr>
        <w:footnoteReference w:id="139"/>
      </w:r>
      <w:r>
        <w:t xml:space="preserve">. The DisCIPL framework from MIT CSAIL operationalizes this complementarity: an LLM performs high-level planning, then distributes the execution steps among smaller models, with the ensemble achieving</w:t>
      </w:r>
      <w:r>
        <w:t xml:space="preserve"> </w:t>
      </w:r>
      <w:r>
        <w:t xml:space="preserve">“</w:t>
      </w:r>
      <w:r>
        <w:t xml:space="preserve">more accurate responses than leading LLMs like OpenAI’s GPT-4o, and approach the precision of top reasoning systems such as o1, while being more efficient than both</w:t>
      </w:r>
      <w:r>
        <w:t xml:space="preserve">”</w:t>
      </w:r>
      <w:r>
        <w:t xml:space="preserve"> </w:t>
      </w:r>
      <w:fldSimple w:instr="NOTEREF _Ref_Footnote_135 \h \f">
        <w:r>
          <w:rPr>
            <w:vertAlign w:val="superscript"/>
          </w:rPr>
          <w:t>135</w:t>
        </w:r>
      </w:fldSimple>
      <w:r>
        <w:t xml:space="preserve">. In the</w:t>
      </w:r>
      <w:r>
        <w:t xml:space="preserve"> </w:t>
      </w:r>
      <w:r>
        <w:t xml:space="preserve">“</w:t>
      </w:r>
      <w:r>
        <w:t xml:space="preserve">SLM draft → LLM verify</w:t>
      </w:r>
      <w:r>
        <w:t xml:space="preserve">”</w:t>
      </w:r>
      <w:r>
        <w:t xml:space="preserve"> </w:t>
      </w:r>
      <w:r>
        <w:t xml:space="preserve">pipeline, the SLM generates an initial response quickly and cheaply, and the LLM verifies, corrects, or augments only when necessary. This pattern cuts total token costs by 40–60% on typical multi-agent workflows because the LLM only processes the subset of requests that fail SLM verification</w:t>
      </w:r>
      <w:r>
        <w:t xml:space="preserve"> </w:t>
      </w:r>
      <w:fldSimple w:instr="NOTEREF _Ref_Footnote_117 \h \f">
        <w:r>
          <w:rPr>
            <w:vertAlign w:val="superscript"/>
          </w:rPr>
          <w:t>117</w:t>
        </w:r>
      </w:fldSimple>
      <w:r>
        <w:t xml:space="preserve">. MARS (Multi-Agent Review System) achieves approximately 50% reduction in token usage and inference time through this collaborative review pattern</w:t>
      </w:r>
      <w:r>
        <w:t xml:space="preserve"> </w:t>
      </w:r>
      <w:fldSimple w:instr="NOTEREF _Ref_Footnote_18 \h \f">
        <w:r>
          <w:rPr>
            <w:vertAlign w:val="superscript"/>
          </w:rPr>
          <w:t>18</w:t>
        </w:r>
      </w:fldSimple>
      <w:r>
        <w:t xml:space="preserve">.</w:t>
      </w:r>
    </w:p>
    <w:bookmarkEnd w:id="108"/>
    <w:bookmarkStart w:id="109" w:name="X99751c182389ebc35579d769405a04341b2cd2c"/>
    <w:p>
      <w:pPr>
        <w:pStyle w:val="Heading4"/>
      </w:pPr>
      <w:r>
        <w:t xml:space="preserve">4.4.5 Facilitating the Ecosystem: SLMs as</w:t>
      </w:r>
      <w:r>
        <w:t xml:space="preserve"> </w:t>
      </w:r>
      <w:r>
        <w:t xml:space="preserve">“</w:t>
      </w:r>
      <w:r>
        <w:t xml:space="preserve">Traffic Controllers</w:t>
      </w:r>
      <w:r>
        <w:t xml:space="preserve">”</w:t>
      </w:r>
    </w:p>
    <w:p>
      <w:pPr>
        <w:pStyle w:val="FirstParagraph"/>
      </w:pPr>
      <w:r>
        <w:t xml:space="preserve">The highest-value placement for an SLM in an agentic ecosystem is not as a task executor but as a traffic controller — the component that ensures the right task reaches the right agent at the right time with the right context. In this role, the SLM operates as an active facilitator rather than a passive service. NVIDIA’s gateway routing pattern exemplifies this: the router does not merely classify intent but applies gateway policies — requiring schema-validated JSON, comparing answers to retrieved evidence, validating tool schemas before execution — that protect downstream agents from malformed inputs and ensure output quality</w:t>
      </w:r>
      <w:r>
        <w:t xml:space="preserve"> </w:t>
      </w:r>
      <w:r>
        <w:rPr>
          <w:vertAlign w:val="superscript"/>
        </w:rPr>
        <w:footnoteReference w:id="140"/>
      </w:r>
      <w:r>
        <w:t xml:space="preserve">. The AT&amp;T case study demonstrates the operational impact of this pattern: transitioning from ChatGPT to a tailored open-source SLM solution reduced costs to 35% of the original expenditure while maintaining 91% of ChatGPT’s accuracy and improving processing speed from 15 hours to under five hours per day</w:t>
      </w:r>
      <w:r>
        <w:t xml:space="preserve"> </w:t>
      </w:r>
      <w:r>
        <w:rPr>
          <w:vertAlign w:val="superscript"/>
        </w:rPr>
        <w:footnoteReference w:id="141"/>
      </w:r>
      <w:r>
        <w:t xml:space="preserve"> </w:t>
      </w:r>
      <w:fldSimple w:instr="NOTEREF _Ref_Footnote_76 \h \f">
        <w:r>
          <w:rPr>
            <w:vertAlign w:val="superscript"/>
          </w:rPr>
          <w:t>76</w:t>
        </w:r>
      </w:fldSimple>
      <w:r>
        <w:t xml:space="preserve">. The cost reduction and speed improvement are not merely the result of using a smaller model — they reflect the architectural restructuring of the system around SLM-based routing, classification, and generation with targeted LLM escalation.</w:t>
      </w:r>
    </w:p>
    <w:p>
      <w:pPr>
        <w:pStyle w:val="BodyText"/>
      </w:pPr>
      <w:r>
        <w:t xml:space="preserve">The</w:t>
      </w:r>
      <w:r>
        <w:t xml:space="preserve"> </w:t>
      </w:r>
      <w:r>
        <w:t xml:space="preserve">“</w:t>
      </w:r>
      <w:r>
        <w:t xml:space="preserve">traffic controller</w:t>
      </w:r>
      <w:r>
        <w:t xml:space="preserve">”</w:t>
      </w:r>
      <w:r>
        <w:t xml:space="preserve"> </w:t>
      </w:r>
      <w:r>
        <w:t xml:space="preserve">metaphor captures the SLM’s facilitative function at multiple levels. At the routing layer, the SLM ensures requests flow to the specialist best equipped to handle them. At the guardrail layer, the SLM validates that inputs and outputs conform to safety and schema constraints before they propagate. At the orchestration layer, the SLM executes workflow steps in a deterministic sequence, maintaining state across multi-turn interactions. At the edge layer, the SLM enables operation in environments where cloud connectivity is unavailable, ensuring the ecosystem’s continuity. The cumulative effect is that SLMs do not merely reduce costs — they increase the system’s resilience, modularity, and coverage by handling the high-volume, structured, deterministic work that would otherwise consume expensive LLM capacity or fail entirely in edge environments.</w:t>
      </w:r>
    </w:p>
    <w:p>
      <w:pPr>
        <w:pStyle w:val="BodyText"/>
      </w:pPr>
      <w:r>
        <w:t xml:space="preserve">The evidence across production deployments, academic benchmarks, and vendor research positions presents a coherent architectural vision: agentic ecosystems should be designed as heterogeneous compositions in which SLMs serve as the default execution layer for narrow, structured, and repetitive tasks, with LLMs invoked selectively for complex reasoning, creative generation, and edge-case handling</w:t>
      </w:r>
      <w:r>
        <w:t xml:space="preserve"> </w:t>
      </w:r>
      <w:fldSimple w:instr="NOTEREF _Ref_Footnote_126 \h \f">
        <w:r>
          <w:rPr>
            <w:vertAlign w:val="superscript"/>
          </w:rPr>
          <w:t>126</w:t>
        </w:r>
      </w:fldSimple>
      <w:r>
        <w:t xml:space="preserve"> </w:t>
      </w:r>
      <w:fldSimple w:instr="NOTEREF _Ref_Footnote_125 \h \f">
        <w:r>
          <w:rPr>
            <w:vertAlign w:val="superscript"/>
          </w:rPr>
          <w:t>125</w:t>
        </w:r>
      </w:fldSimple>
      <w:r>
        <w:t xml:space="preserve">. The SLM’s role is not to replace the LLM but to optimize the ecosystem’s efficiency by ensuring that intelligence — whether small or large — is applied precisely where it adds value. This placement strategy transforms the SLM from a cost-saving substitute into an architectural enabler: the traffic controller that makes the entire agentic ecosystem function at scale.</w:t>
      </w:r>
    </w:p>
    <w:p>
      <w:r>
        <w:pict>
          <v:rect style="width:0;height:1.5pt" o:hralign="center" o:hrstd="t" o:hr="t"/>
        </w:pict>
      </w:r>
    </w:p>
    <w:bookmarkEnd w:id="109"/>
    <w:bookmarkEnd w:id="110"/>
    <w:bookmarkEnd w:id="111"/>
    <w:bookmarkStart w:id="128" w:name="Xb5b734d1df5e6e2a693cbe9ae23ad499e40b931"/>
    <w:p>
      <w:pPr>
        <w:pStyle w:val="Heading2"/>
      </w:pPr>
      <w:r>
        <w:t xml:space="preserve">5. Hybrid Architectures: Smart Routing and Model Cascades</w:t>
      </w:r>
    </w:p>
    <w:p>
      <w:pPr>
        <w:pStyle w:val="FirstParagraph"/>
      </w:pPr>
      <w:r>
        <w:t xml:space="preserve">The proposition that every query in an agentic system must traverse a frontier Large Language Model (LLM) is no longer economically or operationally tenable. Enterprise LLM Application Programming Interface (API) spending doubled from $3.5 billion in late 2024 to $8.4 billion by mid-2025, and research estimates that 50–90% of that spend is addressable through optimization without measurable quality loss</w:t>
      </w:r>
      <w:r>
        <w:t xml:space="preserve"> </w:t>
      </w:r>
      <w:r>
        <w:rPr>
          <w:vertAlign w:val="superscript"/>
        </w:rPr>
        <w:footnoteReference w:id="142"/>
      </w:r>
      <w:r>
        <w:t xml:space="preserve">. Hybrid architectures — systems that dynamically route queries between Small Language Models (SLMs) and LLMs based on estimated difficulty, confidence thresholds, and cost constraints — have emerged as the dominant paradigm for production-scale agentic AI. These architectures achieve cost reductions ranging from 20% to 98% while preserving near-equivalent quality to always-frontier baselines</w:t>
      </w:r>
      <w:r>
        <w:t xml:space="preserve"> </w:t>
      </w:r>
      <w:r>
        <w:rPr>
          <w:vertAlign w:val="superscript"/>
        </w:rPr>
        <w:footnoteReference w:id="143"/>
      </w:r>
      <w:r>
        <w:t xml:space="preserve">.</w:t>
      </w:r>
    </w:p>
    <w:p>
      <w:pPr>
        <w:pStyle w:val="BodyText"/>
      </w:pPr>
      <w:r>
        <w:t xml:space="preserve">The core insight driving this shift is query heterogeneity. Not all requests are equally complex: a substantial portion of production traffic consists of classification, routing, summarization, and structured extraction tasks that SLMs handle with competence rivaling frontier models. The engineering challenge is not model selection per se but</w:t>
      </w:r>
      <w:r>
        <w:t xml:space="preserve"> </w:t>
      </w:r>
      <w:r>
        <w:rPr>
          <w:iCs/>
          <w:i/>
        </w:rPr>
        <w:t xml:space="preserve">routing</w:t>
      </w:r>
      <w:r>
        <w:t xml:space="preserve"> </w:t>
      </w:r>
      <w:r>
        <w:t xml:space="preserve">— determining, at inference time, which model in a heterogeneous pool should process each query. This chapter examines the cascade strategy that underpins most production deployments, the algorithms that estimate query difficulty and route accordingly, and the architectural patterns that engineers use to implement these systems at scale.</w:t>
      </w:r>
    </w:p>
    <w:bookmarkStart w:id="116" w:name="X3aee9e12381ceb46744fa849fee68b6b7a899c9"/>
    <w:p>
      <w:pPr>
        <w:pStyle w:val="Heading3"/>
      </w:pPr>
      <w:r>
        <w:t xml:space="preserve">5.1 The Cascade Strategy: SLM-First, LLM-When-Needed</w:t>
      </w:r>
    </w:p>
    <w:bookmarkStart w:id="112" w:name="Xfb0ccb0ad84e92662ebad92a7833b2e36006a9a"/>
    <w:p>
      <w:pPr>
        <w:pStyle w:val="Heading4"/>
      </w:pPr>
      <w:r>
        <w:t xml:space="preserve">5.1.1 Cascading Architecture: SLM → Confidence Check → LLM Escalation</w:t>
      </w:r>
    </w:p>
    <w:p>
      <w:pPr>
        <w:pStyle w:val="FirstParagraph"/>
      </w:pPr>
      <w:r>
        <w:t xml:space="preserve">Cascading architectures sequentially query a pool of language models, beginning with the smallest and cheapest, until a response of sufficient quality is obtained. As described in the comprehensive 2026 survey on dynamic model routing and cascading,</w:t>
      </w:r>
      <w:r>
        <w:t xml:space="preserve"> </w:t>
      </w:r>
      <w:r>
        <w:t xml:space="preserve">“</w:t>
      </w:r>
      <w:r>
        <w:t xml:space="preserve">a smaller and cheaper LLM is first queried to generate an initial response. Based on the quality of this response, the system decides whether to accept it or escalate the query to a larger and more capable LLM</w:t>
      </w:r>
      <w:r>
        <w:t xml:space="preserve">”</w:t>
      </w:r>
      <w:r>
        <w:t xml:space="preserve"> </w:t>
      </w:r>
      <w:fldSimple w:instr="NOTEREF _Ref_Footnote_10 \h \f">
        <w:r>
          <w:rPr>
            <w:vertAlign w:val="superscript"/>
          </w:rPr>
          <w:t>10</w:t>
        </w:r>
      </w:fldSimple>
      <w:r>
        <w:t xml:space="preserve">. This sequential approach is distinct from single-shot routing in that it may involve multiple model invocations per query — but in practice, the majority of queries are resolved at the first tier, making the average cost per request dramatically lower than always using the largest available model.</w:t>
      </w:r>
    </w:p>
    <w:p>
      <w:pPr>
        <w:pStyle w:val="BodyText"/>
      </w:pPr>
      <w:r>
        <w:t xml:space="preserve">The canonical cascade implementation follows a three-stage pipeline. First, an SLM — typically under 10 billion parameters — generates an initial response and a confidence score. Second, a quality estimator (which may be the SLM itself through self-verification, or a dedicated evaluation module) assesses whether the response meets a predetermined threshold. Third, a stop judge determines whether to return the response to the user or escalate to the next tier. The escalation path itself is a design feature, not an emergency hatch: every component in a well-designed cascade is treated as potentially fallible, with failure modes defined explicitly</w:t>
      </w:r>
      <w:r>
        <w:t xml:space="preserve"> </w:t>
      </w:r>
      <w:fldSimple w:instr="NOTEREF _Ref_Footnote_11 \h \f">
        <w:r>
          <w:rPr>
            <w:vertAlign w:val="superscript"/>
          </w:rPr>
          <w:t>11</w:t>
        </w:r>
      </w:fldSimple>
      <w:r>
        <w:t xml:space="preserve">.</w:t>
      </w:r>
    </w:p>
    <w:p>
      <w:pPr>
        <w:pStyle w:val="BodyText"/>
      </w:pPr>
      <w:r>
        <w:t xml:space="preserve">The design of a production SLM router illustrates these principles concretely. A typical router forces structured JSON output from the SLM, validates the parsed response, and escalates automatically on parse failure. The confidence threshold — typically set at 0.7 based on cross-study validation — acts as the primary gating mechanism: anything below this value routes to the LLM handler regardless of the assigned route label. This pattern embodies graceful degradation: router failure produces a slower, more expensive response rather than a crash or a silently wrong routing decision</w:t>
      </w:r>
      <w:r>
        <w:t xml:space="preserve"> </w:t>
      </w:r>
      <w:fldSimple w:instr="NOTEREF _Ref_Footnote_11 \h \f">
        <w:r>
          <w:rPr>
            <w:vertAlign w:val="superscript"/>
          </w:rPr>
          <w:t>11</w:t>
        </w:r>
      </w:fldSimple>
      <w:r>
        <w:t xml:space="preserve">.</w:t>
      </w:r>
    </w:p>
    <w:p>
      <w:pPr>
        <w:pStyle w:val="BodyText"/>
      </w:pPr>
      <w:r>
        <w:t xml:space="preserve">The economic logic of the hybrid design that combines cloud LLMs and on-device SLMs operates along three axes simultaneously: cost, latency, and compliance</w:t>
      </w:r>
      <w:r>
        <w:t xml:space="preserve"> </w:t>
      </w:r>
      <w:fldSimple w:instr="NOTEREF _Ref_Footnote_141 \h \f">
        <w:r>
          <w:rPr>
            <w:vertAlign w:val="superscript"/>
          </w:rPr>
          <w:t>141</w:t>
        </w:r>
      </w:fldSimple>
      <w:r>
        <w:t xml:space="preserve">. SLMs deliver latencies of 20–250 milliseconds compared with 500 milliseconds to several seconds for frontier LLMs, a difference that is decisive for time-sensitive paths such as authentication, routing, and balance inquiries where sub-second response is critical</w:t>
      </w:r>
      <w:r>
        <w:t xml:space="preserve"> </w:t>
      </w:r>
      <w:r>
        <w:rPr>
          <w:vertAlign w:val="superscript"/>
        </w:rPr>
        <w:footnoteReference w:id="144"/>
      </w:r>
      <w:r>
        <w:t xml:space="preserve">. On-device SLMs further eliminate network round-trips, which typically add 200 milliseconds or more to cloud API calls</w:t>
      </w:r>
      <w:r>
        <w:t xml:space="preserve"> </w:t>
      </w:r>
      <w:r>
        <w:rPr>
          <w:vertAlign w:val="superscript"/>
        </w:rPr>
        <w:footnoteReference w:id="145"/>
      </w:r>
      <w:r>
        <w:t xml:space="preserve">. The compliance advantage stems from keeping sensitive data local rather than transmitting it to third-party APIs — a consideration that has driven Apple’s deployment of 3-billion-parameter SLMs on-device for summarization and writing assistance, with a private fallback LLM reserved for high-complexity tasks</w:t>
      </w:r>
      <w:r>
        <w:t xml:space="preserve"> </w:t>
      </w:r>
      <w:r>
        <w:rPr>
          <w:vertAlign w:val="superscript"/>
        </w:rPr>
        <w:footnoteReference w:id="146"/>
      </w:r>
      <w:r>
        <w:t xml:space="preserve">.</w:t>
      </w:r>
    </w:p>
    <w:bookmarkEnd w:id="112"/>
    <w:bookmarkStart w:id="113" w:name="X7ad11d261aa4caa9db848dd946bf10352f35b3c"/>
    <w:p>
      <w:pPr>
        <w:pStyle w:val="Heading4"/>
      </w:pPr>
      <w:r>
        <w:t xml:space="preserve">5.1.2 FrugalGPT: 98% Cost Reduction While Matching GPT-4</w:t>
      </w:r>
    </w:p>
    <w:p>
      <w:pPr>
        <w:pStyle w:val="FirstParagraph"/>
      </w:pPr>
      <w:r>
        <w:t xml:space="preserve">The foundational academic work in this space is FrugalGPT, developed at Stanford in 2023. FrugalGPT demonstrated that a three-component cascade — LLM router, quality estimator, and stop judge — could</w:t>
      </w:r>
      <w:r>
        <w:t xml:space="preserve"> </w:t>
      </w:r>
      <w:r>
        <w:t xml:space="preserve">“</w:t>
      </w:r>
      <w:r>
        <w:t xml:space="preserve">match the performance of the best individual LLM (e.g. GPT-4) with up to 98% cost reduction or improve the accuracy over GPT-4 by 4% with the same cost</w:t>
      </w:r>
      <w:r>
        <w:t xml:space="preserve">”</w:t>
      </w:r>
      <w:r>
        <w:t xml:space="preserve"> </w:t>
      </w:r>
      <w:fldSimple w:instr="NOTEREF _Ref_Footnote_8 \h \f">
        <w:r>
          <w:rPr>
            <w:vertAlign w:val="superscript"/>
          </w:rPr>
          <w:t>8</w:t>
        </w:r>
      </w:fldSimple>
      <w:r>
        <w:t xml:space="preserve">. This result established the proof-of-concept that cascading was not merely a cost-saving heuristic but a principled optimization that could dominate the best single-model baseline on both quality and cost simultaneously.</w:t>
      </w:r>
    </w:p>
    <w:p>
      <w:pPr>
        <w:pStyle w:val="BodyText"/>
      </w:pPr>
      <w:r>
        <w:t xml:space="preserve">FrugalGPT’s three key techniques — prompt adaptation (using concise, optimized prompts to minimize processing costs), LLM approximation (utilizing caches and model fine-tuning to avoid repeated queries), and LLM cascade (dynamically selecting the optimal model sequence based on the input) — remain central to production systems today</w:t>
      </w:r>
      <w:r>
        <w:t xml:space="preserve"> </w:t>
      </w:r>
      <w:fldSimple w:instr="NOTEREF _Ref_Footnote_8 \h \f">
        <w:r>
          <w:rPr>
            <w:vertAlign w:val="superscript"/>
          </w:rPr>
          <w:t>8</w:t>
        </w:r>
      </w:fldSimple>
      <w:r>
        <w:t xml:space="preserve">. The cascade component is the most widely adopted: it routes simple queries to low-cost models and escalates only when the quality estimator signals insufficient confidence. The empirical finding that 98% cost reduction is achievable while maintaining GPT-4-level quality set the benchmark against which subsequent routing frameworks are measured.</w:t>
      </w:r>
    </w:p>
    <w:bookmarkEnd w:id="113"/>
    <w:bookmarkStart w:id="114" w:name="automix-self-verification-as-pomdp"/>
    <w:p>
      <w:pPr>
        <w:pStyle w:val="Heading4"/>
      </w:pPr>
      <w:r>
        <w:t xml:space="preserve">5.1.3 AutoMix: Self-Verification as POMDP</w:t>
      </w:r>
    </w:p>
    <w:p>
      <w:pPr>
        <w:pStyle w:val="FirstParagraph"/>
      </w:pPr>
      <w:r>
        <w:t xml:space="preserve">AutoMix extends the cascade framework by formalizing the routing decision as a Partially Observable Markov Decision Process (POMDP). Rather than relying solely on a fixed confidence threshold, AutoMix uses a smaller model to generate an initial answer and then self-verify its response before potentially routing the query to a larger model. The approach relies on few-shot prompting without fine-tuning, making it suitable even for black-box models whose internal states are not accessible</w:t>
      </w:r>
      <w:r>
        <w:t xml:space="preserve"> </w:t>
      </w:r>
      <w:r>
        <w:rPr>
          <w:vertAlign w:val="superscript"/>
        </w:rPr>
        <w:footnoteReference w:id="147"/>
      </w:r>
      <w:r>
        <w:t xml:space="preserve">.</w:t>
      </w:r>
    </w:p>
    <w:p>
      <w:pPr>
        <w:pStyle w:val="BodyText"/>
      </w:pPr>
      <w:r>
        <w:t xml:space="preserve">The three-step AutoMix process proceeds as follows. First, a small model (LM1) generates an initial response. Second, the same model performs self-verification of the generated answer. Third, the confidence assessment from self-verification determines whether to route to a larger model (LM2) or return the current response. Modeling the cascade as a POMDP enables the system to incorporate the history of routing decisions and observations, optimizing the expected cumulative cost rather than making myopic per-query decisions. This formalization becomes particularly valuable when routing costs are asymmetric — when the cost of a wrong answer (e.g., in healthcare or financial applications) far exceeds the cost of an unnecessary LLM call.</w:t>
      </w:r>
    </w:p>
    <w:bookmarkEnd w:id="114"/>
    <w:bookmarkStart w:id="115" w:name="typical-confidence-threshold-0.7"/>
    <w:p>
      <w:pPr>
        <w:pStyle w:val="Heading4"/>
      </w:pPr>
      <w:r>
        <w:t xml:space="preserve">5.1.4 Typical Confidence Threshold: 0.7</w:t>
      </w:r>
    </w:p>
    <w:p>
      <w:pPr>
        <w:pStyle w:val="FirstParagraph"/>
      </w:pPr>
      <w:r>
        <w:t xml:space="preserve">Across multiple studies, a confidence threshold of approximately 0.7 has emerged as the standard escalation boundary in SLM-first cascades. This value reflects a pragmatic trade-off between cost and quality: setting the threshold too high (e.g., 0.9) causes excessive escalation, undermining the cost advantage of the SLM-first approach; setting it too low (e.g., 0.5) risks returning incorrect responses to users. Production implementations typically expose this threshold as a configurable parameter, allowing operators to tune the cost-quality frontier based on application requirements</w:t>
      </w:r>
      <w:r>
        <w:t xml:space="preserve"> </w:t>
      </w:r>
      <w:fldSimple w:instr="NOTEREF _Ref_Footnote_11 \h \f">
        <w:r>
          <w:rPr>
            <w:vertAlign w:val="superscript"/>
          </w:rPr>
          <w:t>11</w:t>
        </w:r>
      </w:fldSimple>
      <w:r>
        <w:t xml:space="preserve">.</w:t>
      </w:r>
    </w:p>
    <w:p>
      <w:pPr>
        <w:pStyle w:val="BodyText"/>
      </w:pPr>
      <w:r>
        <w:t xml:space="preserve">Empirical cascade data from educational assessment scoring provides concrete validation of this threshold’s effectiveness. A 2026 study measured the performance of three model-family cascades — Claude (Haiku → Opus), GPT (GPT-3.5 → GPT-4), and Gemini (Gemini Lite → Gemini Pro) — under real-world conditions. The Claude cascade achieved a 76% cost reduction and 61% median latency reduction versus always-large scoring, with only 7% of queries escalating to the larger model</w:t>
      </w:r>
      <w:r>
        <w:t xml:space="preserve"> </w:t>
      </w:r>
      <w:r>
        <w:rPr>
          <w:vertAlign w:val="superscript"/>
        </w:rPr>
        <w:footnoteReference w:id="148"/>
      </w:r>
      <w:r>
        <w:t xml:space="preserve">. The GPT cascade, by contrast, saw a 47% escalation rate, reflecting the wider capability gap between GPT-3.5 and GPT-4 and suggesting that the optimal threshold varies with the specific model pair. The Gemini cascade delivered the most dramatic results — an 81% cost reduction and 82% median latency reduction — underscoring that the narrowest capability gaps between cascade tiers produce the best cost-quality trade-offs</w:t>
      </w:r>
      <w:r>
        <w:t xml:space="preserve"> </w:t>
      </w:r>
      <w:fldSimple w:instr="NOTEREF _Ref_Footnote_148 \h \f">
        <w:r>
          <w:rPr>
            <w:vertAlign w:val="superscript"/>
          </w:rPr>
          <w:t>148</w:t>
        </w:r>
      </w:fldSimple>
      <w:r>
        <w:t xml:space="preserve">.</w:t>
      </w:r>
    </w:p>
    <w:bookmarkEnd w:id="115"/>
    <w:bookmarkEnd w:id="116"/>
    <w:bookmarkStart w:id="121" w:name="query-difficulty-estimation-and-routing"/>
    <w:p>
      <w:pPr>
        <w:pStyle w:val="Heading3"/>
      </w:pPr>
      <w:r>
        <w:t xml:space="preserve">5.2 Query Difficulty Estimation and Routing</w:t>
      </w:r>
    </w:p>
    <w:p>
      <w:pPr>
        <w:pStyle w:val="FirstParagraph"/>
      </w:pPr>
      <w:r>
        <w:t xml:space="preserve">While cascades evaluate responses after generation, routing systems attempt to predict query difficulty</w:t>
      </w:r>
      <w:r>
        <w:t xml:space="preserve"> </w:t>
      </w:r>
      <w:r>
        <w:rPr>
          <w:iCs/>
          <w:i/>
        </w:rPr>
        <w:t xml:space="preserve">before</w:t>
      </w:r>
      <w:r>
        <w:t xml:space="preserve"> </w:t>
      </w:r>
      <w:r>
        <w:t xml:space="preserve">invoking any model, thereby saving even the cost of the initial SLM call on queries destined for escalation. This section examines the leading difficulty-aware, preference-aligned, and reinforcement-learning-based routing frameworks, each representing a distinct approach to the fundamental problem of matching queries to models.</w:t>
      </w:r>
    </w:p>
    <w:bookmarkStart w:id="117" w:name="X969ad625fbb1e4648ac23339a55e571e98ad881"/>
    <w:p>
      <w:pPr>
        <w:pStyle w:val="Heading4"/>
      </w:pPr>
      <w:r>
        <w:t xml:space="preserve">5.2.1 BEST-Route (Microsoft): 60% Cost Reduction, &lt;1% Degradation</w:t>
      </w:r>
    </w:p>
    <w:p>
      <w:pPr>
        <w:pStyle w:val="FirstParagraph"/>
      </w:pPr>
      <w:r>
        <w:t xml:space="preserve">BEST-Route, developed by Microsoft Research and published at the International Conference on Machine Learning (ICML) 2025, represents the state of the art in difficulty-aware routing. The system employs a multi-head router built on DeBERTa-v3-small (44 million parameters) to estimate query difficulty, then applies best-of-</w:t>
      </w:r>
      <w:r>
        <w:rPr>
          <w:iCs/>
          <w:i/>
        </w:rPr>
        <w:t xml:space="preserve">n</w:t>
      </w:r>
      <w:r>
        <w:t xml:space="preserve"> </w:t>
      </w:r>
      <w:r>
        <w:t xml:space="preserve">sampling to adaptively determine how many samples to draw from a small model to match large-model quality. A cost-aware selector then picks the cheapest model-plus-sample combination that meets the quality threshold. BEST-Route achieves up to 60% cost reduction with less than 1% performance degradation, significantly improving upon prior routing techniques: at 60% cost reduction, BEST-Route incurs only 0.8% quality drop versus always using GPT-4o, compared with 5.08% for N-label routing baselines</w:t>
      </w:r>
      <w:r>
        <w:t xml:space="preserve"> </w:t>
      </w:r>
      <w:fldSimple w:instr="NOTEREF _Ref_Footnote_7 \h \f">
        <w:r>
          <w:rPr>
            <w:vertAlign w:val="superscript"/>
          </w:rPr>
          <w:t>7</w:t>
        </w:r>
      </w:fldSimple>
      <w:r>
        <w:t xml:space="preserve">.</w:t>
      </w:r>
    </w:p>
    <w:p>
      <w:pPr>
        <w:pStyle w:val="BodyText"/>
      </w:pPr>
      <w:r>
        <w:t xml:space="preserve">The technical innovation of BEST-Route lies in its joint optimization across three variables — model size, sample count, and quality threshold — rather than treating routing as a binary SLM-or-LLM decision. By allowing the system to draw multiple samples from a mid-tier model when that is cheaper than a single frontier-model call, BEST-Route expands the effective solution space and finds Pareto-optimal configurations that simpler routers miss. This approach is particularly effective for queries of intermediate difficulty, where a mid-tier model with moderate sampling can match frontier quality at substantially lower cost.</w:t>
      </w:r>
    </w:p>
    <w:bookmarkEnd w:id="117"/>
    <w:bookmarkStart w:id="118" w:name="X785f7beeb47e443512a35ce30cbc1b4069e54cd"/>
    <w:p>
      <w:pPr>
        <w:pStyle w:val="Heading4"/>
      </w:pPr>
      <w:r>
        <w:t xml:space="preserve">5.2.2 RouteLLM (UC Berkeley): 85% Cost Reduction on MT Bench</w:t>
      </w:r>
    </w:p>
    <w:p>
      <w:pPr>
        <w:pStyle w:val="FirstParagraph"/>
      </w:pPr>
      <w:r>
        <w:t xml:space="preserve">RouteLLM, developed at UC Berkeley and presented at the International Conference on Learning Representations (ICLR) 2025, takes a different approach: it trains routers on human preference data. Evaluations on public benchmarks show that RouteLLM</w:t>
      </w:r>
      <w:r>
        <w:t xml:space="preserve"> </w:t>
      </w:r>
      <w:r>
        <w:t xml:space="preserve">“</w:t>
      </w:r>
      <w:r>
        <w:t xml:space="preserve">can reduce costs by over 2 times without sacrificing response quality</w:t>
      </w:r>
      <w:r>
        <w:t xml:space="preserve">”</w:t>
      </w:r>
      <w:r>
        <w:t xml:space="preserve"> </w:t>
      </w:r>
      <w:r>
        <w:rPr>
          <w:vertAlign w:val="superscript"/>
        </w:rPr>
        <w:footnoteReference w:id="149"/>
      </w:r>
      <w:r>
        <w:t xml:space="preserve">. On specific benchmarks, the cost reductions are more dramatic still: 85% cost reduction on MT Bench while achieving 95% of GPT-4’s score, 45% cost reduction on Massive Multitask Language Understanding (MMLU), and 35% cost reduction on Grade School Math 8K (GSM8K)</w:t>
      </w:r>
      <w:r>
        <w:t xml:space="preserve"> </w:t>
      </w:r>
      <w:fldSimple w:instr="NOTEREF _Ref_Footnote_9 \h \f">
        <w:r>
          <w:rPr>
            <w:vertAlign w:val="superscript"/>
          </w:rPr>
          <w:t>9</w:t>
        </w:r>
      </w:fldSimple>
      <w:r>
        <w:t xml:space="preserve">.</w:t>
      </w:r>
    </w:p>
    <w:p>
      <w:pPr>
        <w:pStyle w:val="BodyText"/>
      </w:pPr>
      <w:r>
        <w:t xml:space="preserve">RouteLLM offers four router architectures: similarity-weighted ranking, matrix factorization, BERT (Bidirectional Encoder Representations from Transformers) classifier, and causal LLM classifier. Matrix factorization emerged as the most efficient and cost-effective router in evaluations, with the advantage that it can generalize to new models not seen during training by updating only the model embedding vectors</w:t>
      </w:r>
      <w:r>
        <w:t xml:space="preserve"> </w:t>
      </w:r>
      <w:fldSimple w:instr="NOTEREF _Ref_Footnote_131 \h \f">
        <w:r>
          <w:rPr>
            <w:vertAlign w:val="superscript"/>
          </w:rPr>
          <w:t>131</w:t>
        </w:r>
      </w:fldSimple>
      <w:r>
        <w:t xml:space="preserve">. This generalization property is critical for production systems where the model pool evolves continuously as new SLMs and LLMs are released.</w:t>
      </w:r>
    </w:p>
    <w:bookmarkEnd w:id="118"/>
    <w:bookmarkStart w:id="119" w:name="mixllm-97.25-quality-at-24.18-cost"/>
    <w:p>
      <w:pPr>
        <w:pStyle w:val="Heading4"/>
      </w:pPr>
      <w:r>
        <w:t xml:space="preserve">5.2.3 MixLLM: 97.25% Quality at 24.18% Cost</w:t>
      </w:r>
    </w:p>
    <w:p>
      <w:pPr>
        <w:pStyle w:val="FirstParagraph"/>
      </w:pPr>
      <w:r>
        <w:t xml:space="preserve">MixLLM leverages contextual bandits — a class of reinforcement learning algorithms optimized for sequential decision-making under uncertainty — for dynamic routing with continual learning. The system achieves the best trade-offs in response quality, cost, and latency among published frameworks: 97.25% of GPT-4’s quality at 24.18% of the cost under time constraints</w:t>
      </w:r>
      <w:r>
        <w:t xml:space="preserve"> </w:t>
      </w:r>
      <w:r>
        <w:rPr>
          <w:vertAlign w:val="superscript"/>
        </w:rPr>
        <w:footnoteReference w:id="150"/>
      </w:r>
      <w:r>
        <w:t xml:space="preserve">. MixLLM addresses three challenges that prior frameworks handled less effectively: dynamic trade-offs among quality, cost, and latency; continual learning from user feedback in deployed systems; and adapting to varying sets of LLM candidates over time without requiring full retraining</w:t>
      </w:r>
      <w:r>
        <w:t xml:space="preserve"> </w:t>
      </w:r>
      <w:r>
        <w:rPr>
          <w:vertAlign w:val="superscript"/>
        </w:rPr>
        <w:footnoteReference w:id="151"/>
      </w:r>
      <w:r>
        <w:t xml:space="preserve">.</w:t>
      </w:r>
    </w:p>
    <w:p>
      <w:pPr>
        <w:pStyle w:val="BodyText"/>
      </w:pPr>
      <w:r>
        <w:t xml:space="preserve">The continual learning capability distinguishes MixLLM from static routers. When Llama 3.1 models were added to the candidate pool, MixLLM achieved 98.55% of GPT-4’s quality at only 18.36% of the cost — without retraining the original router</w:t>
      </w:r>
      <w:r>
        <w:t xml:space="preserve"> </w:t>
      </w:r>
      <w:r>
        <w:rPr>
          <w:vertAlign w:val="superscript"/>
        </w:rPr>
        <w:footnoteReference w:id="152"/>
      </w:r>
      <w:r>
        <w:t xml:space="preserve">. This zero-shot adaptation to new models is achieved through a modular router design that learns model-agnostic query features, enabling the system to incorporate new entrants into the candidate pool with minimal overhead.</w:t>
      </w:r>
    </w:p>
    <w:bookmarkEnd w:id="119"/>
    <w:bookmarkStart w:id="120" w:name="routing-frameworks-compared"/>
    <w:p>
      <w:pPr>
        <w:pStyle w:val="Heading4"/>
      </w:pPr>
      <w:r>
        <w:t xml:space="preserve">5.2.4 Routing Frameworks Compared</w:t>
      </w:r>
    </w:p>
    <w:p>
      <w:pPr>
        <w:pStyle w:val="FirstParagraph"/>
      </w:pPr>
      <w:r>
        <w:t xml:space="preserve">The following table synthesizes the quantitative performance of the four leading routing frameworks across cost reduction, quality preservation, and architectural approach.</w:t>
      </w:r>
    </w:p>
    <w:tbl>
      <w:tblPr>
        <w:tblStyle w:val="Table"/>
        <w:tblW w:type="pct" w:w="5000"/>
        <w:tblLook w:firstRow="1" w:lastRow="0" w:firstColumn="0" w:lastColumn="0" w:noHBand="0" w:noVBand="0" w:val="0020"/>
      </w:tblPr>
      <w:tblGrid>
        <w:gridCol w:w="1320"/>
        <w:gridCol w:w="1320"/>
        <w:gridCol w:w="1320"/>
        <w:gridCol w:w="1320"/>
        <w:gridCol w:w="1320"/>
        <w:gridCol w:w="1320"/>
      </w:tblGrid>
      <w:tr>
        <w:trPr>
          <w:tblHeader w:val="true"/>
        </w:trPr>
        <w:tc>
          <w:tcPr/>
          <w:p>
            <w:pPr>
              <w:pStyle w:val="Compact"/>
              <w:jc w:val="left"/>
            </w:pPr>
            <w:r>
              <w:t xml:space="preserve">Framework</w:t>
            </w:r>
          </w:p>
        </w:tc>
        <w:tc>
          <w:tcPr/>
          <w:p>
            <w:pPr>
              <w:pStyle w:val="Compact"/>
              <w:jc w:val="left"/>
            </w:pPr>
            <w:r>
              <w:t xml:space="preserve">Institution</w:t>
            </w:r>
          </w:p>
        </w:tc>
        <w:tc>
          <w:tcPr/>
          <w:p>
            <w:pPr>
              <w:pStyle w:val="Compact"/>
              <w:jc w:val="left"/>
            </w:pPr>
            <w:r>
              <w:t xml:space="preserve">Cost Reduction</w:t>
            </w:r>
          </w:p>
        </w:tc>
        <w:tc>
          <w:tcPr/>
          <w:p>
            <w:pPr>
              <w:pStyle w:val="Compact"/>
              <w:jc w:val="left"/>
            </w:pPr>
            <w:r>
              <w:t xml:space="preserve">Quality Preservation</w:t>
            </w:r>
          </w:p>
        </w:tc>
        <w:tc>
          <w:tcPr/>
          <w:p>
            <w:pPr>
              <w:pStyle w:val="Compact"/>
              <w:jc w:val="left"/>
            </w:pPr>
            <w:r>
              <w:t xml:space="preserve">Routing Approach</w:t>
            </w:r>
          </w:p>
        </w:tc>
        <w:tc>
          <w:tcPr/>
          <w:p>
            <w:pPr>
              <w:pStyle w:val="Compact"/>
              <w:jc w:val="left"/>
            </w:pPr>
            <w:r>
              <w:t xml:space="preserve">Key Innovation</w:t>
            </w:r>
          </w:p>
        </w:tc>
      </w:tr>
      <w:tr>
        <w:tc>
          <w:tcPr/>
          <w:p>
            <w:pPr>
              <w:pStyle w:val="Compact"/>
              <w:jc w:val="left"/>
            </w:pPr>
            <w:r>
              <w:t xml:space="preserve">FrugalGPT</w:t>
            </w:r>
          </w:p>
        </w:tc>
        <w:tc>
          <w:tcPr/>
          <w:p>
            <w:pPr>
              <w:pStyle w:val="Compact"/>
              <w:jc w:val="left"/>
            </w:pPr>
            <w:r>
              <w:t xml:space="preserve">Stanford</w:t>
            </w:r>
          </w:p>
        </w:tc>
        <w:tc>
          <w:tcPr/>
          <w:p>
            <w:pPr>
              <w:pStyle w:val="Compact"/>
              <w:jc w:val="left"/>
            </w:pPr>
            <w:r>
              <w:t xml:space="preserve">98%</w:t>
            </w:r>
            <w:r>
              <w:t xml:space="preserve"> </w:t>
            </w:r>
            <w:fldSimple w:instr="NOTEREF _Ref_Footnote_8 \h \f">
              <w:r>
                <w:rPr>
                  <w:vertAlign w:val="superscript"/>
                </w:rPr>
                <w:t>8</w:t>
              </w:r>
            </w:fldSimple>
          </w:p>
        </w:tc>
        <w:tc>
          <w:tcPr/>
          <w:p>
            <w:pPr>
              <w:pStyle w:val="Compact"/>
              <w:jc w:val="left"/>
            </w:pPr>
            <w:r>
              <w:t xml:space="preserve">Matches GPT-4</w:t>
            </w:r>
          </w:p>
        </w:tc>
        <w:tc>
          <w:tcPr/>
          <w:p>
            <w:pPr>
              <w:pStyle w:val="Compact"/>
              <w:jc w:val="left"/>
            </w:pPr>
            <w:r>
              <w:t xml:space="preserve">Cascade (sequential)</w:t>
            </w:r>
          </w:p>
        </w:tc>
        <w:tc>
          <w:tcPr/>
          <w:p>
            <w:pPr>
              <w:pStyle w:val="Compact"/>
              <w:jc w:val="left"/>
            </w:pPr>
            <w:r>
              <w:t xml:space="preserve">Three-component pipeline with stop judge</w:t>
            </w:r>
          </w:p>
        </w:tc>
      </w:tr>
      <w:tr>
        <w:tc>
          <w:tcPr/>
          <w:p>
            <w:pPr>
              <w:pStyle w:val="Compact"/>
              <w:jc w:val="left"/>
            </w:pPr>
            <w:r>
              <w:t xml:space="preserve">RouteLLM</w:t>
            </w:r>
          </w:p>
        </w:tc>
        <w:tc>
          <w:tcPr/>
          <w:p>
            <w:pPr>
              <w:pStyle w:val="Compact"/>
              <w:jc w:val="left"/>
            </w:pPr>
            <w:r>
              <w:t xml:space="preserve">UC Berkeley</w:t>
            </w:r>
          </w:p>
        </w:tc>
        <w:tc>
          <w:tcPr/>
          <w:p>
            <w:pPr>
              <w:pStyle w:val="Compact"/>
              <w:jc w:val="left"/>
            </w:pPr>
            <w:r>
              <w:t xml:space="preserve">85% (MT Bench)</w:t>
            </w:r>
            <w:r>
              <w:t xml:space="preserve"> </w:t>
            </w:r>
            <w:fldSimple w:instr="NOTEREF _Ref_Footnote_9 \h \f">
              <w:r>
                <w:rPr>
                  <w:vertAlign w:val="superscript"/>
                </w:rPr>
                <w:t>9</w:t>
              </w:r>
            </w:fldSimple>
          </w:p>
        </w:tc>
        <w:tc>
          <w:tcPr/>
          <w:p>
            <w:pPr>
              <w:pStyle w:val="Compact"/>
              <w:jc w:val="left"/>
            </w:pPr>
            <w:r>
              <w:t xml:space="preserve">95% of GPT-4</w:t>
            </w:r>
          </w:p>
        </w:tc>
        <w:tc>
          <w:tcPr/>
          <w:p>
            <w:pPr>
              <w:pStyle w:val="Compact"/>
              <w:jc w:val="left"/>
            </w:pPr>
            <w:r>
              <w:t xml:space="preserve">Preference-aligned</w:t>
            </w:r>
          </w:p>
        </w:tc>
        <w:tc>
          <w:tcPr/>
          <w:p>
            <w:pPr>
              <w:pStyle w:val="Compact"/>
              <w:jc w:val="left"/>
            </w:pPr>
            <w:r>
              <w:t xml:space="preserve">Matrix factorization router; generalizes to new models</w:t>
            </w:r>
          </w:p>
        </w:tc>
      </w:tr>
      <w:tr>
        <w:tc>
          <w:tcPr/>
          <w:p>
            <w:pPr>
              <w:pStyle w:val="Compact"/>
              <w:jc w:val="left"/>
            </w:pPr>
            <w:r>
              <w:t xml:space="preserve">BEST-Route</w:t>
            </w:r>
          </w:p>
        </w:tc>
        <w:tc>
          <w:tcPr/>
          <w:p>
            <w:pPr>
              <w:pStyle w:val="Compact"/>
              <w:jc w:val="left"/>
            </w:pPr>
            <w:r>
              <w:t xml:space="preserve">Microsoft</w:t>
            </w:r>
          </w:p>
        </w:tc>
        <w:tc>
          <w:tcPr/>
          <w:p>
            <w:pPr>
              <w:pStyle w:val="Compact"/>
              <w:jc w:val="left"/>
            </w:pPr>
            <w:r>
              <w:t xml:space="preserve">60%</w:t>
            </w:r>
            <w:r>
              <w:t xml:space="preserve"> </w:t>
            </w:r>
            <w:fldSimple w:instr="NOTEREF _Ref_Footnote_7 \h \f">
              <w:r>
                <w:rPr>
                  <w:vertAlign w:val="superscript"/>
                </w:rPr>
                <w:t>7</w:t>
              </w:r>
            </w:fldSimple>
          </w:p>
        </w:tc>
        <w:tc>
          <w:tcPr/>
          <w:p>
            <w:pPr>
              <w:pStyle w:val="Compact"/>
              <w:jc w:val="left"/>
            </w:pPr>
            <w:r>
              <w:t xml:space="preserve">&lt;1% degradation</w:t>
            </w:r>
          </w:p>
        </w:tc>
        <w:tc>
          <w:tcPr/>
          <w:p>
            <w:pPr>
              <w:pStyle w:val="Compact"/>
              <w:jc w:val="left"/>
            </w:pPr>
            <w:r>
              <w:t xml:space="preserve">Difficulty-aware</w:t>
            </w:r>
          </w:p>
        </w:tc>
        <w:tc>
          <w:tcPr/>
          <w:p>
            <w:pPr>
              <w:pStyle w:val="Compact"/>
              <w:jc w:val="left"/>
            </w:pPr>
            <w:r>
              <w:t xml:space="preserve">Multi-head router + best-of-</w:t>
            </w:r>
            <w:r>
              <w:rPr>
                <w:iCs/>
                <w:i/>
              </w:rPr>
              <w:t xml:space="preserve">n</w:t>
            </w:r>
            <w:r>
              <w:t xml:space="preserve"> </w:t>
            </w:r>
            <w:r>
              <w:t xml:space="preserve">sampling</w:t>
            </w:r>
          </w:p>
        </w:tc>
      </w:tr>
      <w:tr>
        <w:tc>
          <w:tcPr/>
          <w:p>
            <w:pPr>
              <w:pStyle w:val="Compact"/>
              <w:jc w:val="left"/>
            </w:pPr>
            <w:r>
              <w:t xml:space="preserve">MixLLM</w:t>
            </w:r>
          </w:p>
        </w:tc>
        <w:tc>
          <w:tcPr/>
          <w:p>
            <w:pPr>
              <w:pStyle w:val="Compact"/>
              <w:jc w:val="left"/>
            </w:pPr>
            <w:r>
              <w:t xml:space="preserve">—</w:t>
            </w:r>
          </w:p>
        </w:tc>
        <w:tc>
          <w:tcPr/>
          <w:p>
            <w:pPr>
              <w:pStyle w:val="Compact"/>
              <w:jc w:val="left"/>
            </w:pPr>
            <w:r>
              <w:t xml:space="preserve">75.82%</w:t>
            </w:r>
            <w:r>
              <w:t xml:space="preserve"> </w:t>
            </w:r>
            <w:fldSimple w:instr="NOTEREF _Ref_Footnote_150 \h \f">
              <w:r>
                <w:rPr>
                  <w:vertAlign w:val="superscript"/>
                </w:rPr>
                <w:t>150</w:t>
              </w:r>
            </w:fldSimple>
          </w:p>
        </w:tc>
        <w:tc>
          <w:tcPr/>
          <w:p>
            <w:pPr>
              <w:pStyle w:val="Compact"/>
              <w:jc w:val="left"/>
            </w:pPr>
            <w:r>
              <w:t xml:space="preserve">97.25% of GPT-4</w:t>
            </w:r>
          </w:p>
        </w:tc>
        <w:tc>
          <w:tcPr/>
          <w:p>
            <w:pPr>
              <w:pStyle w:val="Compact"/>
              <w:jc w:val="left"/>
            </w:pPr>
            <w:r>
              <w:t xml:space="preserve">Contextual bandit</w:t>
            </w:r>
          </w:p>
        </w:tc>
        <w:tc>
          <w:tcPr/>
          <w:p>
            <w:pPr>
              <w:pStyle w:val="Compact"/>
              <w:jc w:val="left"/>
            </w:pPr>
            <w:r>
              <w:t xml:space="preserve">Continual learning; adapts to new model pools</w:t>
            </w:r>
          </w:p>
        </w:tc>
      </w:tr>
    </w:tbl>
    <w:p>
      <w:pPr>
        <w:pStyle w:val="BodyText"/>
      </w:pPr>
      <w:r>
        <w:t xml:space="preserve">The choice among these frameworks depends on the production context. FrugalGPT’s cascade architecture is the simplest to implement and offers the highest cost reduction for workloads where the majority of queries are simple, but it incurs the overhead of sequential model invocations. RouteLLM excels when the model pool changes frequently, as its matrix factorization router adapts without retraining. BEST-Route is optimal when quality degradation must be minimized — its sub-1% degradation makes it suitable for applications where even small accuracy losses have meaningful consequences. MixLLM offers the best balance for dynamic environments where quality, cost, and latency constraints shift over time and the system must learn from deployment feedback. All four frameworks share a common finding: routing is not merely a cost optimization but a quality enabler, as the right model for a given query often outperforms a one-size-fits-all frontier model that is not optimized for that specific task type.</w:t>
      </w:r>
    </w:p>
    <w:bookmarkEnd w:id="120"/>
    <w:bookmarkEnd w:id="121"/>
    <w:bookmarkStart w:id="127" w:name="architectural-patterns-for-production"/>
    <w:p>
      <w:pPr>
        <w:pStyle w:val="Heading3"/>
      </w:pPr>
      <w:r>
        <w:t xml:space="preserve">5.3 Architectural Patterns for Production</w:t>
      </w:r>
    </w:p>
    <w:p>
      <w:pPr>
        <w:pStyle w:val="FirstParagraph"/>
      </w:pPr>
      <w:r>
        <w:t xml:space="preserve">The algorithms described in Section 5.2 must be embedded in production architectures that handle real traffic at scale. This section examines five routing patterns used in production agentic systems, from the simplest static assignment to sophisticated multi-tier fallback chains.</w:t>
      </w:r>
    </w:p>
    <w:bookmarkStart w:id="122" w:name="static-routing-fixed-by-task-type"/>
    <w:p>
      <w:pPr>
        <w:pStyle w:val="Heading4"/>
      </w:pPr>
      <w:r>
        <w:t xml:space="preserve">5.3.1 Static Routing: Fixed by Task Type</w:t>
      </w:r>
    </w:p>
    <w:p>
      <w:pPr>
        <w:pStyle w:val="FirstParagraph"/>
      </w:pPr>
      <w:r>
        <w:t xml:space="preserve">Static routing assigns queries to models based on predefined task categories. A classification module — typically a lightweight SLM — categorizes each incoming query (e.g.,</w:t>
      </w:r>
      <w:r>
        <w:t xml:space="preserve"> </w:t>
      </w:r>
      <w:r>
        <w:t xml:space="preserve">“</w:t>
      </w:r>
      <w:r>
        <w:t xml:space="preserve">simple lookup,</w:t>
      </w:r>
      <w:r>
        <w:t xml:space="preserve">”</w:t>
      </w:r>
      <w:r>
        <w:t xml:space="preserve"> </w:t>
      </w:r>
      <w:r>
        <w:t xml:space="preserve">“</w:t>
      </w:r>
      <w:r>
        <w:t xml:space="preserve">tool call,</w:t>
      </w:r>
      <w:r>
        <w:t xml:space="preserve">”</w:t>
      </w:r>
      <w:r>
        <w:t xml:space="preserve"> </w:t>
      </w:r>
      <w:r>
        <w:t xml:space="preserve">“</w:t>
      </w:r>
      <w:r>
        <w:t xml:space="preserve">complex reasoning,</w:t>
      </w:r>
      <w:r>
        <w:t xml:space="preserve">”</w:t>
      </w:r>
      <w:r>
        <w:t xml:space="preserve"> </w:t>
      </w:r>
      <w:r>
        <w:t xml:space="preserve">“</w:t>
      </w:r>
      <w:r>
        <w:t xml:space="preserve">clarification needed</w:t>
      </w:r>
      <w:r>
        <w:t xml:space="preserve">”</w:t>
      </w:r>
      <w:r>
        <w:t xml:space="preserve">), and a fixed mapping table routes each category to a designated model tier. This approach is the simplest to implement, offers predictable latency and cost, and requires no per-query model invocation beyond the initial classification step</w:t>
      </w:r>
      <w:r>
        <w:t xml:space="preserve"> </w:t>
      </w:r>
      <w:fldSimple w:instr="NOTEREF _Ref_Footnote_141 \h \f">
        <w:r>
          <w:rPr>
            <w:vertAlign w:val="superscript"/>
          </w:rPr>
          <w:t>141</w:t>
        </w:r>
      </w:fldSimple>
      <w:r>
        <w:t xml:space="preserve">.</w:t>
      </w:r>
    </w:p>
    <w:p>
      <w:pPr>
        <w:pStyle w:val="BodyText"/>
      </w:pPr>
      <w:r>
        <w:t xml:space="preserve">Static routing is best suited for systems with well-defined, stable task domains where the complexity distribution does not shift rapidly. Its primary limitation is inflexibility: if the classification module mislabels a query, there is no recovery mechanism beyond the initial routing decision. Production systems typically use static routing as a baseline, adding dynamic elements only when the cost of misrouting becomes apparent from monitoring data.</w:t>
      </w:r>
    </w:p>
    <w:bookmarkEnd w:id="122"/>
    <w:bookmarkStart w:id="123" w:name="X8d87753dd14132b06fe9a1b75694f3b6d1bf9c3"/>
    <w:p>
      <w:pPr>
        <w:pStyle w:val="Heading4"/>
      </w:pPr>
      <w:r>
        <w:t xml:space="preserve">5.3.2 Dynamic Routing: Real-Time Model Selection</w:t>
      </w:r>
    </w:p>
    <w:p>
      <w:pPr>
        <w:pStyle w:val="FirstParagraph"/>
      </w:pPr>
      <w:r>
        <w:t xml:space="preserve">Dynamic routing extends static routing by making model selection contingent on real-time signals beyond task category. These signals may include the SLM’s confidence score, estimated query complexity from a dedicated router model, current system load, latency constraints, and user tier. Production deployments increasingly use explicit Service Level Objective (SLO) tiers that codify these trade-offs: Realtime tier (&lt;500 ms latency, $0.001 per request cost ceiling, Haiku or GPT-4o Mini), Standard tier (&lt;3 seconds, $0.01 per request, Sonnet or GPT-4o), Premium tier (&lt;30 seconds, $0.10 per request, Opus or o3), and Batch tier (hours, $0.001 per token, local Llama or DeepSeek)</w:t>
      </w:r>
      <w:r>
        <w:t xml:space="preserve"> </w:t>
      </w:r>
      <w:r>
        <w:rPr>
          <w:vertAlign w:val="superscript"/>
        </w:rPr>
        <w:footnoteReference w:id="153"/>
      </w:r>
      <w:r>
        <w:t xml:space="preserve">.</w:t>
      </w:r>
    </w:p>
    <w:p>
      <w:pPr>
        <w:pStyle w:val="BodyText"/>
      </w:pPr>
      <w:r>
        <w:t xml:space="preserve">The implementation of dynamic routing in production frameworks has matured significantly. LangGraph provides three routing approaches for multi-agent systems: single-agent routing (a router function returns a</w:t>
      </w:r>
      <w:r>
        <w:t xml:space="preserve"> </w:t>
      </w:r>
      <w:r>
        <w:rPr>
          <w:rStyle w:val="VerbatimChar"/>
        </w:rPr>
        <w:t xml:space="preserve">Command</w:t>
      </w:r>
      <w:r>
        <w:t xml:space="preserve"> </w:t>
      </w:r>
      <w:r>
        <w:t xml:space="preserve">directing the query to a specific agent), multi-agent parallel routing (a router dispatches to multiple agents simultaneously via a</w:t>
      </w:r>
      <w:r>
        <w:t xml:space="preserve"> </w:t>
      </w:r>
      <w:r>
        <w:rPr>
          <w:rStyle w:val="VerbatimChar"/>
        </w:rPr>
        <w:t xml:space="preserve">Send</w:t>
      </w:r>
      <w:r>
        <w:t xml:space="preserve"> </w:t>
      </w:r>
      <w:r>
        <w:t xml:space="preserve">primitive), and hierarchical routing (multiple levels of routing decisions where a top-level router selects a domain and a second-level router selects a specialist)</w:t>
      </w:r>
      <w:r>
        <w:t xml:space="preserve"> </w:t>
      </w:r>
      <w:fldSimple w:instr="NOTEREF _Ref_Footnote_140 \h \f">
        <w:r>
          <w:rPr>
            <w:vertAlign w:val="superscript"/>
          </w:rPr>
          <w:t>140</w:t>
        </w:r>
      </w:fldSimple>
      <w:r>
        <w:t xml:space="preserve"> </w:t>
      </w:r>
      <w:r>
        <w:rPr>
          <w:vertAlign w:val="superscript"/>
        </w:rPr>
        <w:footnoteReference w:id="154"/>
      </w:r>
      <w:r>
        <w:t xml:space="preserve">. These patterns give engineers full control over routing logic, the ability to combine LLM and rule-based routing, explicit graph topology, and parallel execution when queries can benefit from multiple model perspectives</w:t>
      </w:r>
      <w:r>
        <w:t xml:space="preserve"> </w:t>
      </w:r>
      <w:r>
        <w:rPr>
          <w:vertAlign w:val="superscript"/>
        </w:rPr>
        <w:footnoteReference w:id="155"/>
      </w:r>
      <w:r>
        <w:t xml:space="preserve">.</w:t>
      </w:r>
    </w:p>
    <w:p>
      <w:pPr>
        <w:pStyle w:val="BodyText"/>
      </w:pPr>
      <w:r>
        <w:t xml:space="preserve">Google’s Agent Development Kit (ADK) supports model-agnostic routing through LiteLLM integration, enabling teams to use Gemini, OpenAI, Anthropic, Mistral, and other models within a single agent hierarchy. ADK’s</w:t>
      </w:r>
      <w:r>
        <w:t xml:space="preserve"> </w:t>
      </w:r>
      <w:r>
        <w:rPr>
          <w:rStyle w:val="VerbatimChar"/>
        </w:rPr>
        <w:t xml:space="preserve">LlmAgent</w:t>
      </w:r>
      <w:r>
        <w:t xml:space="preserve"> </w:t>
      </w:r>
      <w:r>
        <w:t xml:space="preserve">provides LLM-driven dynamic routing with automatic transfer to sub-agents based on description-driven delegation — the LLM routes based on agent descriptions without requiring explicit routing logic</w:t>
      </w:r>
      <w:r>
        <w:t xml:space="preserve"> </w:t>
      </w:r>
      <w:r>
        <w:rPr>
          <w:vertAlign w:val="superscript"/>
        </w:rPr>
        <w:footnoteReference w:id="156"/>
      </w:r>
      <w:r>
        <w:t xml:space="preserve"> </w:t>
      </w:r>
      <w:r>
        <w:rPr>
          <w:vertAlign w:val="superscript"/>
        </w:rPr>
        <w:footnoteReference w:id="157"/>
      </w:r>
      <w:r>
        <w:t xml:space="preserve">. This approach reduces implementation complexity but introduces a dependency on the LLM’s understanding of agent capabilities, which may be less reliable than engineered routing rules for complex workflows.</w:t>
      </w:r>
    </w:p>
    <w:bookmarkEnd w:id="123"/>
    <w:bookmarkStart w:id="124" w:name="slm-draft-llm-verify-parallel-generation"/>
    <w:p>
      <w:pPr>
        <w:pStyle w:val="Heading4"/>
      </w:pPr>
      <w:r>
        <w:t xml:space="preserve">5.3.3 SLM Draft → LLM Verify: Parallel Generation</w:t>
      </w:r>
    </w:p>
    <w:p>
      <w:pPr>
        <w:pStyle w:val="FirstParagraph"/>
      </w:pPr>
      <w:r>
        <w:t xml:space="preserve">The draft-verify pattern inverts the cascade: rather than having the SLM attempt a full response and escalate if inadequate, the SLM produces a draft and the LLM verifies (and potentially refines) it. This pattern is optimized for generation tasks — summarization, code completion, document drafting — where the SLM’s speed advantage is most pronounced and the LLM’s verification step adds minimal latency compared with full LLM generation</w:t>
      </w:r>
      <w:r>
        <w:t xml:space="preserve"> </w:t>
      </w:r>
      <w:fldSimple w:instr="NOTEREF _Ref_Footnote_141 \h \f">
        <w:r>
          <w:rPr>
            <w:vertAlign w:val="superscript"/>
          </w:rPr>
          <w:t>141</w:t>
        </w:r>
      </w:fldSimple>
      <w:r>
        <w:t xml:space="preserve">. The pattern is particularly effective when the SLM draft is correct in substance but requires stylistic or formatting refinement from the LLM, as the verification step can be substantially shorter than de novo generation.</w:t>
      </w:r>
    </w:p>
    <w:p>
      <w:pPr>
        <w:pStyle w:val="BodyText"/>
      </w:pPr>
      <w:r>
        <w:t xml:space="preserve">The practical advantage of the draft-verify pattern is parallelization. In the standard cascade, the LLM is invoked only after the SLM completes — a sequential dependency that adds the SLM’s latency to the total path length. In the draft-verify pattern, both models can operate concurrently: the SLM generates the draft while the LLM processes a verification prompt against the same draft, or the system can pre-fetch the LLM’s verification capacity while the SLM is still generating. This parallelization is especially valuable in streaming contexts where the user expects incremental output.</w:t>
      </w:r>
    </w:p>
    <w:bookmarkEnd w:id="124"/>
    <w:bookmarkStart w:id="125" w:name="fallback-chains-slm-mid-tier-frontier"/>
    <w:p>
      <w:pPr>
        <w:pStyle w:val="Heading4"/>
      </w:pPr>
      <w:r>
        <w:t xml:space="preserve">5.3.4 Fallback Chains: SLM → Mid-Tier → Frontier</w:t>
      </w:r>
    </w:p>
    <w:p>
      <w:pPr>
        <w:pStyle w:val="FirstParagraph"/>
      </w:pPr>
      <w:r>
        <w:t xml:space="preserve">The most robust production pattern is the multi-tier fallback chain, which extends the simple SLM → LLM cascade to three or more tiers. A typical chain routes to a 1–3-billion-parameter SLM first, escalates to a 7–14-billion-parameter mid-tier model on low confidence, and invokes a frontier LLM only as a last resort. This architecture provides two advantages: finer-grained cost control (the majority of queries resolve at the first tier, a minority at the second, and very few reach the frontier), and graceful degradation under load (if the frontier model is rate-limited or down, the mid-tier can handle more queries than a pure SLM could).</w:t>
      </w:r>
    </w:p>
    <w:p>
      <w:pPr>
        <w:pStyle w:val="BodyText"/>
      </w:pPr>
      <w:r>
        <w:t xml:space="preserve">Production case studies validate the economics of multi-tier chains. Checkr, a background-check automation company, achieved 5x cost savings versus GPT-4 and 30x faster inference by using a fine-tuned Llama-3-8B model with GPT-4 fallback for edge cases</w:t>
      </w:r>
      <w:r>
        <w:t xml:space="preserve"> </w:t>
      </w:r>
      <w:fldSimple w:instr="NOTEREF _Ref_Footnote_142 \h \f">
        <w:r>
          <w:rPr>
            <w:vertAlign w:val="superscript"/>
          </w:rPr>
          <w:t>142</w:t>
        </w:r>
      </w:fldSimple>
      <w:r>
        <w:t xml:space="preserve">. A healthcare patient intake system achieved 94% savings versus GPT-4 using a fine-tuned Mistral-7B model, with LLM escalation reserved for complex medical history cases</w:t>
      </w:r>
      <w:r>
        <w:t xml:space="preserve"> </w:t>
      </w:r>
      <w:fldSimple w:instr="NOTEREF _Ref_Footnote_142 \h \f">
        <w:r>
          <w:rPr>
            <w:vertAlign w:val="superscript"/>
          </w:rPr>
          <w:t>142</w:t>
        </w:r>
      </w:fldSimple>
      <w:r>
        <w:t xml:space="preserve">. Convirza, an agent evaluation platform, achieved 10x cost reduction with an 8% accuracy improvement by replacing GPT-4 with a LoRA (Low-Rank Adaptation)-fine-tuned model in a cascade configuration</w:t>
      </w:r>
      <w:r>
        <w:t xml:space="preserve"> </w:t>
      </w:r>
      <w:fldSimple w:instr="NOTEREF _Ref_Footnote_142 \h \f">
        <w:r>
          <w:rPr>
            <w:vertAlign w:val="superscript"/>
          </w:rPr>
          <w:t>142</w:t>
        </w:r>
      </w:fldSimple>
      <w:r>
        <w:t xml:space="preserve">.</w:t>
      </w:r>
    </w:p>
    <w:p>
      <w:pPr>
        <w:pStyle w:val="BodyText"/>
      </w:pPr>
      <w:r>
        <w:t xml:space="preserve">At the infrastructure level, systems like HERA (Hybrid Edge-Cloud Resource Allocation) push the multi-tier concept further by routing at the</w:t>
      </w:r>
      <w:r>
        <w:t xml:space="preserve"> </w:t>
      </w:r>
      <w:r>
        <w:rPr>
          <w:iCs/>
          <w:i/>
        </w:rPr>
        <w:t xml:space="preserve">subtask</w:t>
      </w:r>
      <w:r>
        <w:t xml:space="preserve"> </w:t>
      </w:r>
      <w:r>
        <w:t xml:space="preserve">level rather than per-query. HERA recognizes that AI agent tasks comprise interconnected subtasks where some can run on SLM and others require LLM capability. By allocating 45.67% of subtasks to local hardware while preserving accuracy within 2–5% of cloud-exclusive approaches, HERA reduces operational costs by up to 30% — for a typical deployment processing 1 million requests monthly, this translates to $9,000–$26,000 in monthly savings</w:t>
      </w:r>
      <w:r>
        <w:t xml:space="preserve"> </w:t>
      </w:r>
      <w:r>
        <w:rPr>
          <w:vertAlign w:val="superscript"/>
        </w:rPr>
        <w:footnoteReference w:id="158"/>
      </w:r>
      <w:r>
        <w:t xml:space="preserve">.</w:t>
      </w:r>
    </w:p>
    <w:bookmarkEnd w:id="125"/>
    <w:bookmarkStart w:id="126" w:name="routing-patterns-compared"/>
    <w:p>
      <w:pPr>
        <w:pStyle w:val="Heading4"/>
      </w:pPr>
      <w:r>
        <w:t xml:space="preserve">5.3.5 Routing Patterns Compared</w:t>
      </w:r>
    </w:p>
    <w:p>
      <w:pPr>
        <w:pStyle w:val="FirstParagraph"/>
      </w:pPr>
      <w:r>
        <w:t xml:space="preserve">The following table compares the five production routing patterns across implementation complexity, cost efficiency, latency characteristics, quality ceiling, and primary use case.</w:t>
      </w:r>
    </w:p>
    <w:tbl>
      <w:tblPr>
        <w:tblStyle w:val="Table"/>
        <w:tblW w:type="pct" w:w="5000"/>
        <w:tblLook w:firstRow="1" w:lastRow="0" w:firstColumn="0" w:lastColumn="0" w:noHBand="0" w:noVBand="0" w:val="0020"/>
      </w:tblPr>
      <w:tblGrid>
        <w:gridCol w:w="1320"/>
        <w:gridCol w:w="1320"/>
        <w:gridCol w:w="1320"/>
        <w:gridCol w:w="1320"/>
        <w:gridCol w:w="1320"/>
        <w:gridCol w:w="1320"/>
      </w:tblGrid>
      <w:tr>
        <w:trPr>
          <w:tblHeader w:val="true"/>
        </w:trPr>
        <w:tc>
          <w:tcPr/>
          <w:p>
            <w:pPr>
              <w:pStyle w:val="Compact"/>
              <w:jc w:val="left"/>
            </w:pPr>
            <w:r>
              <w:t xml:space="preserve">Pattern</w:t>
            </w:r>
          </w:p>
        </w:tc>
        <w:tc>
          <w:tcPr/>
          <w:p>
            <w:pPr>
              <w:pStyle w:val="Compact"/>
              <w:jc w:val="left"/>
            </w:pPr>
            <w:r>
              <w:t xml:space="preserve">Complexity</w:t>
            </w:r>
          </w:p>
        </w:tc>
        <w:tc>
          <w:tcPr/>
          <w:p>
            <w:pPr>
              <w:pStyle w:val="Compact"/>
              <w:jc w:val="left"/>
            </w:pPr>
            <w:r>
              <w:t xml:space="preserve">Avg. Cost Reduction</w:t>
            </w:r>
          </w:p>
        </w:tc>
        <w:tc>
          <w:tcPr/>
          <w:p>
            <w:pPr>
              <w:pStyle w:val="Compact"/>
              <w:jc w:val="left"/>
            </w:pPr>
            <w:r>
              <w:t xml:space="preserve">Latency Profile</w:t>
            </w:r>
          </w:p>
        </w:tc>
        <w:tc>
          <w:tcPr/>
          <w:p>
            <w:pPr>
              <w:pStyle w:val="Compact"/>
              <w:jc w:val="left"/>
            </w:pPr>
            <w:r>
              <w:t xml:space="preserve">Quality Ceiling</w:t>
            </w:r>
          </w:p>
        </w:tc>
        <w:tc>
          <w:tcPr/>
          <w:p>
            <w:pPr>
              <w:pStyle w:val="Compact"/>
              <w:jc w:val="left"/>
            </w:pPr>
            <w:r>
              <w:t xml:space="preserve">Best For</w:t>
            </w:r>
          </w:p>
        </w:tc>
      </w:tr>
      <w:tr>
        <w:tc>
          <w:tcPr/>
          <w:p>
            <w:pPr>
              <w:pStyle w:val="Compact"/>
              <w:jc w:val="left"/>
            </w:pPr>
            <w:r>
              <w:t xml:space="preserve">Static (task-based)</w:t>
            </w:r>
          </w:p>
        </w:tc>
        <w:tc>
          <w:tcPr/>
          <w:p>
            <w:pPr>
              <w:pStyle w:val="Compact"/>
              <w:jc w:val="left"/>
            </w:pPr>
            <w:r>
              <w:t xml:space="preserve">Low</w:t>
            </w:r>
          </w:p>
        </w:tc>
        <w:tc>
          <w:tcPr/>
          <w:p>
            <w:pPr>
              <w:pStyle w:val="Compact"/>
              <w:jc w:val="left"/>
            </w:pPr>
            <w:r>
              <w:t xml:space="preserve">40–60%</w:t>
            </w:r>
            <w:r>
              <w:t xml:space="preserve"> </w:t>
            </w:r>
            <w:fldSimple w:instr="NOTEREF _Ref_Footnote_141 \h \f">
              <w:r>
                <w:rPr>
                  <w:vertAlign w:val="superscript"/>
                </w:rPr>
                <w:t>141</w:t>
              </w:r>
            </w:fldSimple>
          </w:p>
        </w:tc>
        <w:tc>
          <w:tcPr/>
          <w:p>
            <w:pPr>
              <w:pStyle w:val="Compact"/>
              <w:jc w:val="left"/>
            </w:pPr>
            <w:r>
              <w:t xml:space="preserve">Predictable, medium</w:t>
            </w:r>
          </w:p>
        </w:tc>
        <w:tc>
          <w:tcPr/>
          <w:p>
            <w:pPr>
              <w:pStyle w:val="Compact"/>
              <w:jc w:val="left"/>
            </w:pPr>
            <w:r>
              <w:t xml:space="preserve">Near-match</w:t>
            </w:r>
          </w:p>
        </w:tc>
        <w:tc>
          <w:tcPr/>
          <w:p>
            <w:pPr>
              <w:pStyle w:val="Compact"/>
              <w:jc w:val="left"/>
            </w:pPr>
            <w:r>
              <w:t xml:space="preserve">Fixed task domains; stable workloads</w:t>
            </w:r>
          </w:p>
        </w:tc>
      </w:tr>
      <w:tr>
        <w:tc>
          <w:tcPr/>
          <w:p>
            <w:pPr>
              <w:pStyle w:val="Compact"/>
              <w:jc w:val="left"/>
            </w:pPr>
            <w:r>
              <w:t xml:space="preserve">Dynamic (confidence-based)</w:t>
            </w:r>
          </w:p>
        </w:tc>
        <w:tc>
          <w:tcPr/>
          <w:p>
            <w:pPr>
              <w:pStyle w:val="Compact"/>
              <w:jc w:val="left"/>
            </w:pPr>
            <w:r>
              <w:t xml:space="preserve">Medium</w:t>
            </w:r>
          </w:p>
        </w:tc>
        <w:tc>
          <w:tcPr/>
          <w:p>
            <w:pPr>
              <w:pStyle w:val="Compact"/>
              <w:jc w:val="left"/>
            </w:pPr>
            <w:r>
              <w:t xml:space="preserve">49–98%</w:t>
            </w:r>
            <w:r>
              <w:t xml:space="preserve"> </w:t>
            </w:r>
            <w:fldSimple w:instr="NOTEREF _Ref_Footnote_10 \h \f">
              <w:r>
                <w:rPr>
                  <w:vertAlign w:val="superscript"/>
                </w:rPr>
                <w:t>10</w:t>
              </w:r>
            </w:fldSimple>
          </w:p>
        </w:tc>
        <w:tc>
          <w:tcPr/>
          <w:p>
            <w:pPr>
              <w:pStyle w:val="Compact"/>
              <w:jc w:val="left"/>
            </w:pPr>
            <w:r>
              <w:t xml:space="preserve">Variable, low–medium</w:t>
            </w:r>
          </w:p>
        </w:tc>
        <w:tc>
          <w:tcPr/>
          <w:p>
            <w:pPr>
              <w:pStyle w:val="Compact"/>
              <w:jc w:val="left"/>
            </w:pPr>
            <w:r>
              <w:t xml:space="preserve">Near-match</w:t>
            </w:r>
          </w:p>
        </w:tc>
        <w:tc>
          <w:tcPr/>
          <w:p>
            <w:pPr>
              <w:pStyle w:val="Compact"/>
              <w:jc w:val="left"/>
            </w:pPr>
            <w:r>
              <w:t xml:space="preserve">Variable query complexity; evolving workloads</w:t>
            </w:r>
          </w:p>
        </w:tc>
      </w:tr>
      <w:tr>
        <w:tc>
          <w:tcPr/>
          <w:p>
            <w:pPr>
              <w:pStyle w:val="Compact"/>
              <w:jc w:val="left"/>
            </w:pPr>
            <w:r>
              <w:t xml:space="preserve">SLM draft → LLM verify</w:t>
            </w:r>
          </w:p>
        </w:tc>
        <w:tc>
          <w:tcPr/>
          <w:p>
            <w:pPr>
              <w:pStyle w:val="Compact"/>
              <w:jc w:val="left"/>
            </w:pPr>
            <w:r>
              <w:t xml:space="preserve">Medium</w:t>
            </w:r>
          </w:p>
        </w:tc>
        <w:tc>
          <w:tcPr/>
          <w:p>
            <w:pPr>
              <w:pStyle w:val="Compact"/>
              <w:jc w:val="left"/>
            </w:pPr>
            <w:r>
              <w:t xml:space="preserve">30–50%</w:t>
            </w:r>
          </w:p>
        </w:tc>
        <w:tc>
          <w:tcPr/>
          <w:p>
            <w:pPr>
              <w:pStyle w:val="Compact"/>
              <w:jc w:val="left"/>
            </w:pPr>
            <w:r>
              <w:t xml:space="preserve">Low (parallelizable)</w:t>
            </w:r>
          </w:p>
        </w:tc>
        <w:tc>
          <w:tcPr/>
          <w:p>
            <w:pPr>
              <w:pStyle w:val="Compact"/>
              <w:jc w:val="left"/>
            </w:pPr>
            <w:r>
              <w:t xml:space="preserve">High</w:t>
            </w:r>
          </w:p>
        </w:tc>
        <w:tc>
          <w:tcPr/>
          <w:p>
            <w:pPr>
              <w:pStyle w:val="Compact"/>
              <w:jc w:val="left"/>
            </w:pPr>
            <w:r>
              <w:t xml:space="preserve">Generation tasks; streaming outputs</w:t>
            </w:r>
          </w:p>
        </w:tc>
      </w:tr>
      <w:tr>
        <w:tc>
          <w:tcPr/>
          <w:p>
            <w:pPr>
              <w:pStyle w:val="Compact"/>
              <w:jc w:val="left"/>
            </w:pPr>
            <w:r>
              <w:t xml:space="preserve">Fallback chain (3+ tiers)</w:t>
            </w:r>
          </w:p>
        </w:tc>
        <w:tc>
          <w:tcPr/>
          <w:p>
            <w:pPr>
              <w:pStyle w:val="Compact"/>
              <w:jc w:val="left"/>
            </w:pPr>
            <w:r>
              <w:t xml:space="preserve">High</w:t>
            </w:r>
          </w:p>
        </w:tc>
        <w:tc>
          <w:tcPr/>
          <w:p>
            <w:pPr>
              <w:pStyle w:val="Compact"/>
              <w:jc w:val="left"/>
            </w:pPr>
            <w:r>
              <w:t xml:space="preserve">50–90%</w:t>
            </w:r>
            <w:r>
              <w:t xml:space="preserve"> </w:t>
            </w:r>
            <w:fldSimple w:instr="NOTEREF _Ref_Footnote_148 \h \f">
              <w:r>
                <w:rPr>
                  <w:vertAlign w:val="superscript"/>
                </w:rPr>
                <w:t>148</w:t>
              </w:r>
            </w:fldSimple>
          </w:p>
        </w:tc>
        <w:tc>
          <w:tcPr/>
          <w:p>
            <w:pPr>
              <w:pStyle w:val="Compact"/>
              <w:jc w:val="left"/>
            </w:pPr>
            <w:r>
              <w:t xml:space="preserve">Low for most; high for tail</w:t>
            </w:r>
          </w:p>
        </w:tc>
        <w:tc>
          <w:tcPr/>
          <w:p>
            <w:pPr>
              <w:pStyle w:val="Compact"/>
              <w:jc w:val="left"/>
            </w:pPr>
            <w:r>
              <w:t xml:space="preserve">Near-match</w:t>
            </w:r>
          </w:p>
        </w:tc>
        <w:tc>
          <w:tcPr/>
          <w:p>
            <w:pPr>
              <w:pStyle w:val="Compact"/>
              <w:jc w:val="left"/>
            </w:pPr>
            <w:r>
              <w:t xml:space="preserve">High-volume mixed-complexity traffic</w:t>
            </w:r>
          </w:p>
        </w:tc>
      </w:tr>
      <w:tr>
        <w:tc>
          <w:tcPr/>
          <w:p>
            <w:pPr>
              <w:pStyle w:val="Compact"/>
              <w:jc w:val="left"/>
            </w:pPr>
            <w:r>
              <w:t xml:space="preserve">Token-level routing</w:t>
            </w:r>
          </w:p>
        </w:tc>
        <w:tc>
          <w:tcPr/>
          <w:p>
            <w:pPr>
              <w:pStyle w:val="Compact"/>
              <w:jc w:val="left"/>
            </w:pPr>
            <w:r>
              <w:t xml:space="preserve">Very high</w:t>
            </w:r>
          </w:p>
        </w:tc>
        <w:tc>
          <w:tcPr/>
          <w:p>
            <w:pPr>
              <w:pStyle w:val="Compact"/>
              <w:jc w:val="left"/>
            </w:pPr>
            <w:r>
              <w:t xml:space="preserve">80%+</w:t>
            </w:r>
            <w:r>
              <w:t xml:space="preserve"> </w:t>
            </w:r>
            <w:r>
              <w:rPr>
                <w:vertAlign w:val="superscript"/>
              </w:rPr>
              <w:footnoteReference w:id="159"/>
            </w:r>
          </w:p>
        </w:tc>
        <w:tc>
          <w:tcPr/>
          <w:p>
            <w:pPr>
              <w:pStyle w:val="Compact"/>
              <w:jc w:val="left"/>
            </w:pPr>
            <w:r>
              <w:t xml:space="preserve">Lowest</w:t>
            </w:r>
          </w:p>
        </w:tc>
        <w:tc>
          <w:tcPr/>
          <w:p>
            <w:pPr>
              <w:pStyle w:val="Compact"/>
              <w:jc w:val="left"/>
            </w:pPr>
            <w:r>
              <w:t xml:space="preserve">Improved</w:t>
            </w:r>
          </w:p>
        </w:tc>
        <w:tc>
          <w:tcPr/>
          <w:p>
            <w:pPr>
              <w:pStyle w:val="Compact"/>
              <w:jc w:val="left"/>
            </w:pPr>
            <w:r>
              <w:t xml:space="preserve">Edge devices; token streaming</w:t>
            </w:r>
          </w:p>
        </w:tc>
      </w:tr>
    </w:tbl>
    <w:p>
      <w:pPr>
        <w:pStyle w:val="BodyText"/>
      </w:pPr>
      <w:r>
        <w:t xml:space="preserve">The pattern selection depends on three workload characteristics: query complexity variance, latency sensitivity, and acceptable implementation complexity. Static routing suffices when task types are stable and well-understood. Dynamic routing is the general-purpose choice for most production workloads, offering the best balance of cost reduction and implementation effort. The draft-verify pattern excels for generation-heavy workloads where streaming latency matters. Fallback chains are the safest choice for mission-critical applications where availability and quality guarantees are paramount. Token-level routing — deciding per-token whether the SLM or LLM should generate — remains the most technically ambitious approach, with research from MBZUAI and the University of North Carolina demonstrating a 60% performance gain on CommonsenseQA using only a 0.5-billion-parameter model on an M1 MacBook, with under 7% of tokens uploaded to the cloud LLM</w:t>
      </w:r>
      <w:r>
        <w:t xml:space="preserve"> </w:t>
      </w:r>
      <w:fldSimple w:instr="NOTEREF _Ref_Footnote_159 \h \f">
        <w:r>
          <w:rPr>
            <w:vertAlign w:val="superscript"/>
          </w:rPr>
          <w:t>159</w:t>
        </w:r>
      </w:fldSimple>
      <w:r>
        <w:t xml:space="preserve">.</w:t>
      </w:r>
    </w:p>
    <w:p>
      <w:pPr>
        <w:pStyle w:val="BodyText"/>
      </w:pPr>
      <w:r>
        <w:t xml:space="preserve">Infrastructure-level routing is also moving toward gateway-based solutions that operate outside application code. Envoy AI Gateway, released in 2026, moves LLM routing from application logic to the Kubernetes-native infrastructure layer, providing unified AI service access, routing across model backends, rate limiting, traffic management, and observability hooks</w:t>
      </w:r>
      <w:r>
        <w:t xml:space="preserve"> </w:t>
      </w:r>
      <w:r>
        <w:rPr>
          <w:vertAlign w:val="superscript"/>
        </w:rPr>
        <w:footnoteReference w:id="160"/>
      </w:r>
      <w:r>
        <w:t xml:space="preserve">. This shift represents a maturation of the routing discipline: instead of each application implementing its own router, organizations can centralize routing policy at the infrastructure layer, enabling consistent cost governance, model rotation, and fallback management across all agentic workloads.</w:t>
      </w:r>
    </w:p>
    <w:p>
      <w:pPr>
        <w:pStyle w:val="BodyText"/>
      </w:pPr>
      <w:r>
        <w:t xml:space="preserve">The quantitative evidence across all routing patterns points to a consistent conclusion. Hybrid architectures that route simple queries to SLMs and escalate complex queries to LLMs are not a marginal optimization but a fundamental redesign of how agentic AI systems consume compute. Whether through cascades, preference-trained routers, contextual bandits, or static task-based assignment, the principle is the same: match the model to the query, not the query to the model. For engineering teams building production systems, the implementation priority is clear — establish a routing layer first, then optimize the models within each tier. A well-routed mid-tier model will outperform a poorly routed frontier model on every metric that matters in production: cost, latency, reliability, and, in most cases, quality.</w:t>
      </w:r>
    </w:p>
    <w:p>
      <w:r>
        <w:pict>
          <v:rect style="width:0;height:1.5pt" o:hralign="center" o:hrstd="t" o:hr="t"/>
        </w:pict>
      </w:r>
    </w:p>
    <w:bookmarkEnd w:id="126"/>
    <w:bookmarkEnd w:id="127"/>
    <w:bookmarkEnd w:id="128"/>
    <w:bookmarkStart w:id="142" w:name="X5388b4ab849a6f72b5741f7c53b08f291dcf4ba"/>
    <w:p>
      <w:pPr>
        <w:pStyle w:val="Heading2"/>
      </w:pPr>
      <w:r>
        <w:t xml:space="preserve">6. Cross-Dimensional Insights and Strategic Implications</w:t>
      </w:r>
    </w:p>
    <w:p>
      <w:pPr>
        <w:pStyle w:val="FirstParagraph"/>
      </w:pPr>
      <w:r>
        <w:t xml:space="preserve">The preceding five chapters examined agentic AI from discrete angles — conceptual foundations, architectural tiers, SLM capabilities, placement strategies, and hybrid routing. When these dimensions are cross-compared, a set of higher-order patterns emerges that none of the individual analyses fully captures on its own. These cross-dimensional insights invert several pieces of conventional wisdom about model selection, security, sustainability, and the sequencing of engineering investments. This chapter synthesizes those patterns into actionable strategic implications for organizations at any stage of agentic AI adoption.</w:t>
      </w:r>
    </w:p>
    <w:bookmarkStart w:id="131" w:name="the-scaffold-over-model-paradox"/>
    <w:p>
      <w:pPr>
        <w:pStyle w:val="Heading3"/>
      </w:pPr>
      <w:r>
        <w:t xml:space="preserve">6.1 The Scaffold-Over-Model Paradox</w:t>
      </w:r>
    </w:p>
    <w:bookmarkStart w:id="129" w:name="X0cded42e3ca590a4ae53eb05b9014b91ab55daf"/>
    <w:p>
      <w:pPr>
        <w:pStyle w:val="Heading4"/>
      </w:pPr>
      <w:r>
        <w:t xml:space="preserve">6.1.1 Orchestration Quality Affects Performance More Than Model Size</w:t>
      </w:r>
    </w:p>
    <w:p>
      <w:pPr>
        <w:pStyle w:val="FirstParagraph"/>
      </w:pPr>
      <w:r>
        <w:t xml:space="preserve">The most counterintuitive finding across the entire research corpus is that the choice of orchestration framework and scaffolding pattern exerts a larger influence on agentic performance than the choice of language model. The Princeton HAL benchmark demonstrates that identical models score 64.9% versus 57.6% depending solely on the orchestration scaffold — a 7.3 percentage point swing attributable to framework engineering rather than model capability</w:t>
      </w:r>
      <w:r>
        <w:t xml:space="preserve"> </w:t>
      </w:r>
      <w:fldSimple w:instr="NOTEREF _Ref_Footnote_38 \h \f">
        <w:r>
          <w:rPr>
            <w:vertAlign w:val="superscript"/>
          </w:rPr>
          <w:t>38</w:t>
        </w:r>
      </w:fldSimple>
      <w:r>
        <w:t xml:space="preserve">. When the analysis is extended across multiple scaffolds, the same underlying model exhibits performance variation of up to 30 percentage points — a range that dwarfs the typical 1–3 point accuracy difference observed when swapping an SLM for an LLM within a fixed scaffold</w:t>
      </w:r>
      <w:r>
        <w:t xml:space="preserve"> </w:t>
      </w:r>
      <w:fldSimple w:instr="NOTEREF _Ref_Footnote_38 \h \f">
        <w:r>
          <w:rPr>
            <w:vertAlign w:val="superscript"/>
          </w:rPr>
          <w:t>38</w:t>
        </w:r>
      </w:fldSimple>
      <w:r>
        <w:t xml:space="preserve">.</w:t>
      </w:r>
    </w:p>
    <w:p>
      <w:pPr>
        <w:pStyle w:val="BodyText"/>
      </w:pPr>
      <w:r>
        <w:t xml:space="preserve">This empirical result inverts the dominant procurement narrative in enterprise AI. Organizations routinely dedicate 80–90% of their AI budgets to model licensing and API costs while treating orchestration as an afterthought — a pattern that the evidence suggests is precisely backwards. Microsoft’s BEST-Route framework demonstrates that a well-routed 3.8-billion-parameter Phi-4-mini incurs only 0.8% quality degradation compared with always using GPT-4o, while delivering 60% cost reduction</w:t>
      </w:r>
      <w:r>
        <w:t xml:space="preserve"> </w:t>
      </w:r>
      <w:fldSimple w:instr="NOTEREF _Ref_Footnote_7 \h \f">
        <w:r>
          <w:rPr>
            <w:vertAlign w:val="superscript"/>
          </w:rPr>
          <w:t>7</w:t>
        </w:r>
      </w:fldSimple>
      <w:r>
        <w:t xml:space="preserve">. The scaffold — not the model — is the dominant variable in the performance equation. The hybrid planning results reinforce this finding: systems that combine LLMs with symbolic planners (PDDL-based) achieve 85–100% task completion on complex benchmarks, while pure LLM planning without scaffold support falls to 15% or below on identical tasks</w:t>
      </w:r>
      <w:r>
        <w:t xml:space="preserve"> </w:t>
      </w:r>
      <w:fldSimple w:instr="NOTEREF _Ref_Footnote_38 \h \f">
        <w:r>
          <w:rPr>
            <w:vertAlign w:val="superscript"/>
          </w:rPr>
          <w:t>38</w:t>
        </w:r>
      </w:fldSimple>
      <w:r>
        <w:t xml:space="preserve">. A 70–85 percentage point improvement from adding a planning scaffold vastly exceeds any model swap currently available.</w:t>
      </w:r>
    </w:p>
    <w:p>
      <w:pPr>
        <w:pStyle w:val="BodyText"/>
      </w:pPr>
      <w:r>
        <w:t xml:space="preserve">The architectural implication is that agentic AI is fundamentally a systems engineering problem, not a model capability problem. The orchestration layer — how plans are decomposed, how tools are called, how errors are handled, how memory is managed — determines system performance more than raw model intelligence. This explains why SLMs can match LLMs in well-engineered agentic systems: the scaffold does the structural heavy lifting, and the model’s role is reduced to pattern completion within a constrained decision space.</w:t>
      </w:r>
    </w:p>
    <w:bookmarkEnd w:id="129"/>
    <w:bookmarkStart w:id="130" w:name="invest-in-framework-before-model"/>
    <w:p>
      <w:pPr>
        <w:pStyle w:val="Heading4"/>
      </w:pPr>
      <w:r>
        <w:t xml:space="preserve">6.1.2 Invest in Framework Before Model</w:t>
      </w:r>
    </w:p>
    <w:p>
      <w:pPr>
        <w:pStyle w:val="FirstParagraph"/>
      </w:pPr>
      <w:r>
        <w:t xml:space="preserve">The practical corollary of the scaffold-over-model finding is that a Phi-4-mini operating within a LangGraph scaffold will outperform GPT-4 running in a naive prompt-loop architecture on the majority of agentic tasks. LangGraph’s graph-based orchestration provides explicit state management, checkpointing, and structured routing — capabilities that compensate for the SLM’s smaller parameter count by constraining the decision space and managing context persistence</w:t>
      </w:r>
      <w:r>
        <w:t xml:space="preserve"> </w:t>
      </w:r>
      <w:fldSimple w:instr="NOTEREF _Ref_Footnote_140 \h \f">
        <w:r>
          <w:rPr>
            <w:vertAlign w:val="superscript"/>
          </w:rPr>
          <w:t>140</w:t>
        </w:r>
      </w:fldSimple>
      <w:r>
        <w:t xml:space="preserve">. GPT-4 in a naive loop, by contrast, squanders its reasoning advantage on structural failures: lost context across turns, redundant tool calls, missing error handling, and unbounded response generation that ignores schema constraints.</w:t>
      </w:r>
    </w:p>
    <w:p>
      <w:pPr>
        <w:pStyle w:val="BodyText"/>
      </w:pPr>
      <w:r>
        <w:t xml:space="preserve">The 95% enterprise AI pilot failure rate documented by MIT NANDA research correlates directly with this misallocation of engineering priority</w:t>
      </w:r>
      <w:r>
        <w:t xml:space="preserve"> </w:t>
      </w:r>
      <w:fldSimple w:instr="NOTEREF _Ref_Footnote_33 \h \f">
        <w:r>
          <w:rPr>
            <w:vertAlign w:val="superscript"/>
          </w:rPr>
          <w:t>33</w:t>
        </w:r>
      </w:fldSimple>
      <w:r>
        <w:t xml:space="preserve">. Root cause analysis identifies data readiness (85% of failures) and governance vacuum (79% of failures) as primary drivers — both infrastructure and process problems, not model inadequacy</w:t>
      </w:r>
      <w:r>
        <w:t xml:space="preserve"> </w:t>
      </w:r>
      <w:fldSimple w:instr="NOTEREF _Ref_Footnote_33 \h \f">
        <w:r>
          <w:rPr>
            <w:vertAlign w:val="superscript"/>
          </w:rPr>
          <w:t>33</w:t>
        </w:r>
      </w:fldSimple>
      <w:r>
        <w:t xml:space="preserve">. Gartner’s</w:t>
      </w:r>
      <w:r>
        <w:t xml:space="preserve"> </w:t>
      </w:r>
      <w:r>
        <w:t xml:space="preserve">“</w:t>
      </w:r>
      <w:r>
        <w:t xml:space="preserve">agentwashing</w:t>
      </w:r>
      <w:r>
        <w:t xml:space="preserve">”</w:t>
      </w:r>
      <w:r>
        <w:t xml:space="preserve"> </w:t>
      </w:r>
      <w:r>
        <w:t xml:space="preserve">diagnosis — the mislabeling of simple assistants as agents — compounds the issue by creating architectural mismatches in which enterprises deploy complex multi-agent LLM systems for simple routing and classification tasks that a single fine-tuned SLM could handle at 10–30x lower cost</w:t>
      </w:r>
      <w:r>
        <w:t xml:space="preserve"> </w:t>
      </w:r>
      <w:fldSimple w:instr="NOTEREF _Ref_Footnote_27 \h \f">
        <w:r>
          <w:rPr>
            <w:vertAlign w:val="superscript"/>
          </w:rPr>
          <w:t>27</w:t>
        </w:r>
      </w:fldSimple>
      <w:r>
        <w:t xml:space="preserve">. The failure is architectural, not intellectual. Organizations that reallocate investment from larger models to better scaffolds — persistent memory, structured routing, error-handling graphs, confidence-based escalation — should expect larger performance gains than from any model upgrade available on the market.</w:t>
      </w:r>
    </w:p>
    <w:bookmarkEnd w:id="130"/>
    <w:bookmarkEnd w:id="131"/>
    <w:bookmarkStart w:id="134" w:name="the-memory-slm-synergy"/>
    <w:p>
      <w:pPr>
        <w:pStyle w:val="Heading3"/>
      </w:pPr>
      <w:r>
        <w:t xml:space="preserve">6.2 The Memory-SLM Synergy</w:t>
      </w:r>
    </w:p>
    <w:bookmarkStart w:id="132" w:name="Xd1c522143cad7b924ad710dddd193de03453d4c"/>
    <w:p>
      <w:pPr>
        <w:pStyle w:val="Heading4"/>
      </w:pPr>
      <w:r>
        <w:t xml:space="preserve">6.2.1 Persistent Memory Compensates for SLMs’ Limited Context Windows</w:t>
      </w:r>
    </w:p>
    <w:p>
      <w:pPr>
        <w:pStyle w:val="FirstParagraph"/>
      </w:pPr>
      <w:r>
        <w:t xml:space="preserve">The viability of an SLM-first agentic architecture depends critically on memory infrastructure. Without persistent memory, SLMs — which typically operate with context windows of 4K–32K tokens versus 128K+ for frontier LLMs — lack sufficient conversational context to handle multi-turn agentic workflows and would require constant LLM escalation. Modern memory hierarchies transform this constraint into a manageable engineering problem. MemGPT/Letta’s three-tier architecture (hierarchical context, external context via vector search, and archival storage) achieves a 90% reduction in token costs by moving infrequently accessed information out of the active context window while maintaining retrieval access</w:t>
      </w:r>
      <w:r>
        <w:t xml:space="preserve"> </w:t>
      </w:r>
      <w:fldSimple w:instr="NOTEREF _Ref_Footnote_49 \h \f">
        <w:r>
          <w:rPr>
            <w:vertAlign w:val="superscript"/>
          </w:rPr>
          <w:t>49</w:t>
        </w:r>
      </w:fldSimple>
      <w:r>
        <w:t xml:space="preserve">. LangGraph’s checkpointing system provides deterministic state persistence across graph executions, enabling SLMs to resume workflows with full context after interruptions without reloading the entire conversation history</w:t>
      </w:r>
      <w:r>
        <w:t xml:space="preserve"> </w:t>
      </w:r>
      <w:fldSimple w:instr="NOTEREF _Ref_Footnote_84 \h \f">
        <w:r>
          <w:rPr>
            <w:vertAlign w:val="superscript"/>
          </w:rPr>
          <w:t>84</w:t>
        </w:r>
      </w:fldSimple>
      <w:r>
        <w:t xml:space="preserve">.</w:t>
      </w:r>
    </w:p>
    <w:p>
      <w:pPr>
        <w:pStyle w:val="BodyText"/>
      </w:pPr>
      <w:r>
        <w:t xml:space="preserve">The quantitative impact is substantial. With memory hierarchies in place, 60–70% of LLM calls in a typical agentic workflow become SLM-viable — not because the SLMs have become more capable, but because the memory system provides structured access to historical context that the SLM would otherwise lack</w:t>
      </w:r>
      <w:r>
        <w:t xml:space="preserve"> </w:t>
      </w:r>
      <w:fldSimple w:instr="NOTEREF _Ref_Footnote_126 \h \f">
        <w:r>
          <w:rPr>
            <w:vertAlign w:val="superscript"/>
          </w:rPr>
          <w:t>126</w:t>
        </w:r>
      </w:fldSimple>
      <w:r>
        <w:t xml:space="preserve">. The SLM transitions from a stateless, forgetful responder into a stateful, context-aware agent whose effective memory span is determined by the storage hierarchy rather than its parameter count. This is the critical enabler for the SLM-first architectures described in Chapter 4: the routing, classification, and tool-calling roles that dominate agentic workloads all benefit from persistent memory, and with memory available, SLMs perform these roles at accuracy levels indistinguishable from LLMs in production deployments</w:t>
      </w:r>
      <w:r>
        <w:t xml:space="preserve"> </w:t>
      </w:r>
      <w:fldSimple w:instr="NOTEREF _Ref_Footnote_12 \h \f">
        <w:r>
          <w:rPr>
            <w:vertAlign w:val="superscript"/>
          </w:rPr>
          <w:t>12</w:t>
        </w:r>
      </w:fldSimple>
      <w:r>
        <w:t xml:space="preserve">.</w:t>
      </w:r>
    </w:p>
    <w:bookmarkEnd w:id="132"/>
    <w:bookmarkStart w:id="133" w:name="X666ee9b3b47e64a539c6e1f6f03efb682c05814"/>
    <w:p>
      <w:pPr>
        <w:pStyle w:val="Heading4"/>
      </w:pPr>
      <w:r>
        <w:t xml:space="preserve">6.2.2</w:t>
      </w:r>
      <w:r>
        <w:t xml:space="preserve"> </w:t>
      </w:r>
      <w:r>
        <w:t xml:space="preserve">“</w:t>
      </w:r>
      <w:r>
        <w:t xml:space="preserve">Big Memory + Small Model</w:t>
      </w:r>
      <w:r>
        <w:t xml:space="preserve">”</w:t>
      </w:r>
      <w:r>
        <w:t xml:space="preserve"> </w:t>
      </w:r>
      <w:r>
        <w:t xml:space="preserve">Outperforms</w:t>
      </w:r>
      <w:r>
        <w:t xml:space="preserve"> </w:t>
      </w:r>
      <w:r>
        <w:t xml:space="preserve">“</w:t>
      </w:r>
      <w:r>
        <w:t xml:space="preserve">Small Memory + Big Model</w:t>
      </w:r>
      <w:r>
        <w:t xml:space="preserve">”</w:t>
      </w:r>
    </w:p>
    <w:p>
      <w:pPr>
        <w:pStyle w:val="FirstParagraph"/>
      </w:pPr>
      <w:r>
        <w:t xml:space="preserve">The memory-SLM synergy produces a configuration principle that runs counter to prevailing practice: an architecture with robust persistent memory and small models outperforms one with limited memory and large models on both cost and capability metrics simultaneously. The reasoning is straightforward. Large models are frequently invoked not because a task requires deep reasoning, but because the system has lost context and needs to reconstruct understanding from scratch. Persistent memory eliminates this waste: an SLM with access to a complete interaction history, cached retrieval results, and structured state checkpoints can make routing decisions with full context at 20–50 ms and 80–90% lower cost than an LLM operating from a cold start.</w:t>
      </w:r>
    </w:p>
    <w:p>
      <w:pPr>
        <w:pStyle w:val="BodyText"/>
      </w:pPr>
      <w:r>
        <w:t xml:space="preserve">The compound savings are significant. The 90% token cost reduction from persistent memory</w:t>
      </w:r>
      <w:r>
        <w:t xml:space="preserve"> </w:t>
      </w:r>
      <w:fldSimple w:instr="NOTEREF _Ref_Footnote_49 \h \f">
        <w:r>
          <w:rPr>
            <w:vertAlign w:val="superscript"/>
          </w:rPr>
          <w:t>49</w:t>
        </w:r>
      </w:fldSimple>
      <w:r>
        <w:t xml:space="preserve">amplifies the 10–30x cost advantage of SLMs over LLMs</w:t>
      </w:r>
      <w:r>
        <w:t xml:space="preserve"> </w:t>
      </w:r>
      <w:fldSimple w:instr="NOTEREF _Ref_Footnote_126 \h \f">
        <w:r>
          <w:rPr>
            <w:vertAlign w:val="superscript"/>
          </w:rPr>
          <w:t>126</w:t>
        </w:r>
      </w:fldSimple>
      <w:r>
        <w:t xml:space="preserve">, producing workflow-level savings that approach two orders of magnitude. A 10-step agentic process in which each step consults a memory-backed SLM instead of re-invoking a frontier LLM from scratch can reduce both per-step latency and cumulative token consumption to levels that change the economics of automation from selective deployment to universal coverage. The recommendation for enterprise architects is unambiguous: invest in memory infrastructure — vector databases, state checkpointing, retrieval-augmented generation pipelines — before optimizing model selection. Memory is the force multiplier that makes SLM-first architectures viable; without it, even the best SLM placement strategy underperforms.</w:t>
      </w:r>
    </w:p>
    <w:bookmarkEnd w:id="133"/>
    <w:bookmarkEnd w:id="134"/>
    <w:bookmarkStart w:id="137" w:name="security-through-constraints"/>
    <w:p>
      <w:pPr>
        <w:pStyle w:val="Heading3"/>
      </w:pPr>
      <w:r>
        <w:t xml:space="preserve">6.3 Security Through Constraints</w:t>
      </w:r>
    </w:p>
    <w:bookmarkStart w:id="135" w:name="X8e2fe8add3bec770c6c0e21092ac6fb0a7d26cb"/>
    <w:p>
      <w:pPr>
        <w:pStyle w:val="Heading4"/>
      </w:pPr>
      <w:r>
        <w:t xml:space="preserve">6.3.1 SLMs May Be More Secure Than LLMs for Agentic Systems</w:t>
      </w:r>
    </w:p>
    <w:p>
      <w:pPr>
        <w:pStyle w:val="FirstParagraph"/>
      </w:pPr>
      <w:r>
        <w:t xml:space="preserve">The prevailing assumption that larger models are more secure because their alignment training is more extensive is contradicted by the evidence on attack surface geometry. While 94.4% of production agents are vulnerable to prompt injection attacks</w:t>
      </w:r>
      <w:r>
        <w:t xml:space="preserve"> </w:t>
      </w:r>
      <w:fldSimple w:instr="NOTEREF _Ref_Footnote_14 \h \f">
        <w:r>
          <w:rPr>
            <w:vertAlign w:val="superscript"/>
          </w:rPr>
          <w:t>14</w:t>
        </w:r>
      </w:fldSimple>
      <w:r>
        <w:t xml:space="preserve">, SLMs present a structurally smaller attack surface than LLMs for two reasons: capability scope and predictability. An SLM fine-tuned to call five specific APIs cannot be jailbroken into generating harmful content outside those API schemas because it lacks the generative breadth to produce such outputs. An LLM with broad world knowledge, by contrast, can be manipulated through creative prompts that exploit its expansive capability surface — a jailbreak surface that grows with model capacity.</w:t>
      </w:r>
    </w:p>
    <w:p>
      <w:pPr>
        <w:pStyle w:val="BodyText"/>
      </w:pPr>
      <w:r>
        <w:t xml:space="preserve">The principle at work is least privilege applied to model selection. SLMs are naturally constrained to their training domain and fine-tuned scope, making them less susceptible to creative jailbreaks that exploit general knowledge. A domain-specific SLM trained on healthcare triage queries will not respond to instructions to write exploit code or generate disinformation because those tasks fall entirely outside its operational distribution. The LiteLMGuard validation framework — achieving 97.75% classification accuracy at approximately 135 ms on-device latency — provides a defense-in-depth layer that operates independently of model size, filtering both inputs and outputs through a lightweight classifier that runs locally without data exposure</w:t>
      </w:r>
      <w:r>
        <w:t xml:space="preserve"> </w:t>
      </w:r>
      <w:fldSimple w:instr="NOTEREF _Ref_Footnote_14 \h \f">
        <w:r>
          <w:rPr>
            <w:vertAlign w:val="superscript"/>
          </w:rPr>
          <w:t>14</w:t>
        </w:r>
      </w:fldSimple>
      <w:r>
        <w:t xml:space="preserve">.</w:t>
      </w:r>
    </w:p>
    <w:bookmarkEnd w:id="135"/>
    <w:bookmarkStart w:id="136" w:name="Xc9be94c2664fcb32ce80f267c99a2924cb8045a"/>
    <w:p>
      <w:pPr>
        <w:pStyle w:val="Heading4"/>
      </w:pPr>
      <w:r>
        <w:t xml:space="preserve">6.3.2 Inter-Agent Trust Exploits Are Mitigated by Constrained SLM Communication</w:t>
      </w:r>
    </w:p>
    <w:p>
      <w:pPr>
        <w:pStyle w:val="FirstParagraph"/>
      </w:pPr>
      <w:r>
        <w:t xml:space="preserve">The most severe security finding in multi-agent research is the 100% vulnerability rate of multi-agent LLM systems to inter-agent trust exploits — attacks in which one compromised agent manipulates others through the message-passing layer</w:t>
      </w:r>
      <w:r>
        <w:t xml:space="preserve"> </w:t>
      </w:r>
      <w:fldSimple w:instr="NOTEREF _Ref_Footnote_28 \h \f">
        <w:r>
          <w:rPr>
            <w:vertAlign w:val="superscript"/>
          </w:rPr>
          <w:t>28</w:t>
        </w:r>
      </w:fldSimple>
      <w:r>
        <w:t xml:space="preserve">. This vulnerability is inherent to architectures where agents communicate through unconstrained natural language and implicitly trust messages from peer agents. The attack surface expands combinatorially with agent count: five agents require ten communication pathways, each a potential exploitation vector</w:t>
      </w:r>
      <w:r>
        <w:t xml:space="preserve"> </w:t>
      </w:r>
      <w:fldSimple w:instr="NOTEREF _Ref_Footnote_28 \h \f">
        <w:r>
          <w:rPr>
            <w:vertAlign w:val="superscript"/>
          </w:rPr>
          <w:t>28</w:t>
        </w:r>
      </w:fldSimple>
      <w:r>
        <w:t xml:space="preserve">.</w:t>
      </w:r>
    </w:p>
    <w:p>
      <w:pPr>
        <w:pStyle w:val="BodyText"/>
      </w:pPr>
      <w:r>
        <w:t xml:space="preserve">SLM-first architectures mitigate this vulnerability through structural constraints. When agents are narrow-purpose SLMs communicating through standardized protocols (Model Context Protocol for tool integration, Agent-to-Agent protocol for inter-agent messaging) rather than free-form LLM-to-LLM natural language, the message content is bounded by protocol schemas that cannot carry arbitrary payloads</w:t>
      </w:r>
      <w:r>
        <w:t xml:space="preserve"> </w:t>
      </w:r>
      <w:fldSimple w:instr="NOTEREF _Ref_Footnote_160 \h \f">
        <w:r>
          <w:rPr>
            <w:vertAlign w:val="superscript"/>
          </w:rPr>
          <w:t>160</w:t>
        </w:r>
      </w:fldSimple>
      <w:r>
        <w:t xml:space="preserve">. Reducing agent capability scope and communication expressiveness — replacing a generalist LLM agent with constrained SLM specialists — transforms the trust model from implicit authorization (any agent can say anything) to explicit capability boundaries (each agent can only perform protocol-defined actions within its domain). The security recommendation is therefore aligned with the cost recommendation: replace multi-agent LLM ensembles with fewer, simpler, protocol-bound SLM agents.</w:t>
      </w:r>
    </w:p>
    <w:bookmarkEnd w:id="136"/>
    <w:bookmarkEnd w:id="137"/>
    <w:bookmarkStart w:id="140" w:name="the-sustainability-imperative"/>
    <w:p>
      <w:pPr>
        <w:pStyle w:val="Heading3"/>
      </w:pPr>
      <w:r>
        <w:t xml:space="preserve">6.4 The Sustainability Imperative</w:t>
      </w:r>
    </w:p>
    <w:bookmarkStart w:id="138" w:name="X216d40a9896afd60070365dd17b4200b161c54c"/>
    <w:p>
      <w:pPr>
        <w:pStyle w:val="Heading4"/>
      </w:pPr>
      <w:r>
        <w:t xml:space="preserve">6.4.1 Economic and Environmental Arguments Converge</w:t>
      </w:r>
    </w:p>
    <w:p>
      <w:pPr>
        <w:pStyle w:val="FirstParagraph"/>
      </w:pPr>
      <w:r>
        <w:t xml:space="preserve">The economic case for SLMs and the environmental case for SLMs are not independent benefits — they are the same underlying efficiency argument expressed in different units. Research from UNESCO and University College London documents that small language models can reduce AI energy consumption by up to 90% compared with frontier models on identical task types</w:t>
      </w:r>
      <w:r>
        <w:t xml:space="preserve"> </w:t>
      </w:r>
      <w:fldSimple w:instr="NOTEREF _Ref_Footnote_132 \h \f">
        <w:r>
          <w:rPr>
            <w:vertAlign w:val="superscript"/>
          </w:rPr>
          <w:t>132</w:t>
        </w:r>
      </w:fldSimple>
      <w:r>
        <w:t xml:space="preserve">. NVIDIA’s cost analysis shows SLMs are 10–30x cheaper for routine agentic tasks</w:t>
      </w:r>
      <w:r>
        <w:t xml:space="preserve"> </w:t>
      </w:r>
      <w:fldSimple w:instr="NOTEREF _Ref_Footnote_126 \h \f">
        <w:r>
          <w:rPr>
            <w:vertAlign w:val="superscript"/>
          </w:rPr>
          <w:t>126</w:t>
        </w:r>
      </w:fldSimple>
      <w:r>
        <w:t xml:space="preserve">. Both reductions derive from the same source: fewer floating-point operations per inference. The convergence is mathematically inevitable — lower compute translates to both lower bills and lower carbon.</w:t>
      </w:r>
    </w:p>
    <w:p>
      <w:pPr>
        <w:pStyle w:val="BodyText"/>
      </w:pPr>
      <w:r>
        <w:t xml:space="preserve">For enterprises facing simultaneous cost pressure and carbon reporting requirements, SLM-first agentic architectures become the only responsible choice for high-volume deployment. The business case writes itself: lower cost per request, lower aggregate energy consumption, lower latency, and — with memory-backed routing — equivalent quality for 60–70% of the workload. Organizations with Environmental, Social, and Governance (ESG) commitments should treat SLM-first not as a cost-saving tactic but as a sustainability mandate. The agentic AI market, projected to grow from approximately $7–8 billion in 2025 to $50–55 billion by 2030 at a 46–47% compound annual growth rate</w:t>
      </w:r>
      <w:r>
        <w:t xml:space="preserve"> </w:t>
      </w:r>
      <w:fldSimple w:instr="NOTEREF _Ref_Footnote_27 \h \f">
        <w:r>
          <w:rPr>
            <w:vertAlign w:val="superscript"/>
          </w:rPr>
          <w:t>27</w:t>
        </w:r>
      </w:fldSimple>
      <w:r>
        <w:t xml:space="preserve">, will drive substantial increases in AI compute consumption; widespread SLM adoption at the infrastructure layer is essential for ensuring that growth is sustainable.</w:t>
      </w:r>
    </w:p>
    <w:bookmarkEnd w:id="138"/>
    <w:bookmarkStart w:id="139" w:name="inference-dominates-ai-compute-energy"/>
    <w:p>
      <w:pPr>
        <w:pStyle w:val="Heading4"/>
      </w:pPr>
      <w:r>
        <w:t xml:space="preserve">6.4.2 Inference Dominates AI Compute Energy</w:t>
      </w:r>
    </w:p>
    <w:p>
      <w:pPr>
        <w:pStyle w:val="FirstParagraph"/>
      </w:pPr>
      <w:r>
        <w:t xml:space="preserve">The sustainability argument strengthens when examined through the lens of compute distribution. Inference — the act of running a trained model on live requests — is projected to account for 80–90% of total AI compute energy consumption as deployment scales</w:t>
      </w:r>
      <w:r>
        <w:t xml:space="preserve"> </w:t>
      </w:r>
      <w:fldSimple w:instr="NOTEREF _Ref_Footnote_48 \h \f">
        <w:r>
          <w:rPr>
            <w:vertAlign w:val="superscript"/>
          </w:rPr>
          <w:t>48</w:t>
        </w:r>
      </w:fldSimple>
      <w:r>
        <w:t xml:space="preserve">. Training, despite its visibility, is a one-time cost amortized across billions of inference calls. Model size optimization at the inference layer — where SLMs run on CPUs and neural processing units (NPUs) instead of GPUs — multiplies the savings across every request in the system’s lifetime. An SLM running on an NPU at the edge consumes orders of magnitude less energy per inference than a frontier LLM running on a GPU cluster in a data center, while delivering sub-50 ms latency that enables new categories of always-on applications</w:t>
      </w:r>
      <w:r>
        <w:t xml:space="preserve"> </w:t>
      </w:r>
      <w:fldSimple w:instr="NOTEREF _Ref_Footnote_15 \h \f">
        <w:r>
          <w:rPr>
            <w:vertAlign w:val="superscript"/>
          </w:rPr>
          <w:t>15</w:t>
        </w:r>
      </w:fldSimple>
      <w:r>
        <w:t xml:space="preserve">. The 80% local inference projection for 2026, driven by on-device SLM deployment, represents a structural shift in compute distribution that reduces both network energy overhead and data center load</w:t>
      </w:r>
      <w:r>
        <w:t xml:space="preserve"> </w:t>
      </w:r>
      <w:fldSimple w:instr="NOTEREF _Ref_Footnote_132 \h \f">
        <w:r>
          <w:rPr>
            <w:vertAlign w:val="superscript"/>
          </w:rPr>
          <w:t>132</w:t>
        </w:r>
      </w:fldSimple>
      <w:r>
        <w:t xml:space="preserve">.</w:t>
      </w:r>
    </w:p>
    <w:bookmarkEnd w:id="139"/>
    <w:bookmarkEnd w:id="140"/>
    <w:bookmarkStart w:id="141" w:name="strategic-recommendations"/>
    <w:p>
      <w:pPr>
        <w:pStyle w:val="Heading3"/>
      </w:pPr>
      <w:r>
        <w:t xml:space="preserve">6.5 Strategic Recommendations</w:t>
      </w:r>
    </w:p>
    <w:p>
      <w:pPr>
        <w:pStyle w:val="FirstParagraph"/>
      </w:pPr>
      <w:r>
        <w:t xml:space="preserve">The cross-dimensional insights converge on a single strategic posture: organizations should adopt SLM-first, memory-backed, protocol-compliant, scaffold-optimized agentic architectures with LLM escalation reserved for genuinely complex edge cases. The speed and sequencing of this transition depend on organizational maturity. The following action matrix maps specific recommendations to three maturity stages — exploring, piloting, and scaling — across four decision dimensions: SLM placement strategy, framework selection, infrastructure priority, and success metrics.</w:t>
      </w:r>
    </w:p>
    <w:tbl>
      <w:tblPr>
        <w:tblStyle w:val="Table"/>
        <w:tblW w:type="pct" w:w="5000"/>
        <w:tblLook w:firstRow="1" w:lastRow="0" w:firstColumn="0" w:lastColumn="0" w:noHBand="0" w:noVBand="0" w:val="0020"/>
      </w:tblPr>
      <w:tblGrid>
        <w:gridCol w:w="1584"/>
        <w:gridCol w:w="1584"/>
        <w:gridCol w:w="1584"/>
        <w:gridCol w:w="1584"/>
        <w:gridCol w:w="1584"/>
      </w:tblGrid>
      <w:tr>
        <w:trPr>
          <w:tblHeader w:val="true"/>
        </w:trPr>
        <w:tc>
          <w:tcPr/>
          <w:p>
            <w:pPr>
              <w:pStyle w:val="Compact"/>
              <w:jc w:val="left"/>
            </w:pPr>
            <w:r>
              <w:t xml:space="preserve">Maturity Stage</w:t>
            </w:r>
          </w:p>
        </w:tc>
        <w:tc>
          <w:tcPr/>
          <w:p>
            <w:pPr>
              <w:pStyle w:val="Compact"/>
              <w:jc w:val="left"/>
            </w:pPr>
            <w:r>
              <w:t xml:space="preserve">SLM Placement Strategy</w:t>
            </w:r>
          </w:p>
        </w:tc>
        <w:tc>
          <w:tcPr/>
          <w:p>
            <w:pPr>
              <w:pStyle w:val="Compact"/>
              <w:jc w:val="left"/>
            </w:pPr>
            <w:r>
              <w:t xml:space="preserve">Framework Choice</w:t>
            </w:r>
          </w:p>
        </w:tc>
        <w:tc>
          <w:tcPr/>
          <w:p>
            <w:pPr>
              <w:pStyle w:val="Compact"/>
              <w:jc w:val="left"/>
            </w:pPr>
            <w:r>
              <w:t xml:space="preserve">Infrastructure Priority</w:t>
            </w:r>
          </w:p>
        </w:tc>
        <w:tc>
          <w:tcPr/>
          <w:p>
            <w:pPr>
              <w:pStyle w:val="Compact"/>
              <w:jc w:val="left"/>
            </w:pPr>
            <w:r>
              <w:t xml:space="preserve">Success Metrics</w:t>
            </w:r>
          </w:p>
        </w:tc>
      </w:tr>
      <w:tr>
        <w:tc>
          <w:tcPr/>
          <w:p>
            <w:pPr>
              <w:pStyle w:val="Compact"/>
              <w:jc w:val="left"/>
            </w:pPr>
            <w:r>
              <w:rPr>
                <w:bCs/>
                <w:b/>
              </w:rPr>
              <w:t xml:space="preserve">Exploring</w:t>
            </w:r>
            <w:r>
              <w:t xml:space="preserve"> </w:t>
            </w:r>
            <w:r>
              <w:t xml:space="preserve">(No production agents)</w:t>
            </w:r>
          </w:p>
        </w:tc>
        <w:tc>
          <w:tcPr/>
          <w:p>
            <w:pPr>
              <w:pStyle w:val="Compact"/>
              <w:jc w:val="left"/>
            </w:pPr>
            <w:r>
              <w:t xml:space="preserve">Deploy SLMs for single high-volume task (routing, classification, or extraction). No LLM fallback initially. Accept narrow scope as feature, not limitation.</w:t>
            </w:r>
            <w:r>
              <w:t xml:space="preserve"> </w:t>
            </w:r>
            <w:fldSimple w:instr="NOTEREF _Ref_Footnote_12 \h \f">
              <w:r>
                <w:rPr>
                  <w:vertAlign w:val="superscript"/>
                </w:rPr>
                <w:t>12</w:t>
              </w:r>
            </w:fldSimple>
          </w:p>
        </w:tc>
        <w:tc>
          <w:tcPr/>
          <w:p>
            <w:pPr>
              <w:pStyle w:val="Compact"/>
              <w:jc w:val="left"/>
            </w:pPr>
            <w:r>
              <w:t xml:space="preserve">LangGraph for graph-based workflows; LiteLLM for model-agnostic API layer. Avoid framework lock-in.</w:t>
            </w:r>
            <w:r>
              <w:t xml:space="preserve"> </w:t>
            </w:r>
            <w:fldSimple w:instr="NOTEREF _Ref_Footnote_140 \h \f">
              <w:r>
                <w:rPr>
                  <w:vertAlign w:val="superscript"/>
                </w:rPr>
                <w:t>140</w:t>
              </w:r>
            </w:fldSimple>
          </w:p>
        </w:tc>
        <w:tc>
          <w:tcPr/>
          <w:p>
            <w:pPr>
              <w:pStyle w:val="Compact"/>
              <w:jc w:val="left"/>
            </w:pPr>
            <w:r>
              <w:t xml:space="preserve">Persistent memory (vector DB + checkpointing). Establish before any model deployment.</w:t>
            </w:r>
            <w:r>
              <w:t xml:space="preserve"> </w:t>
            </w:r>
            <w:fldSimple w:instr="NOTEREF _Ref_Footnote_49 \h \f">
              <w:r>
                <w:rPr>
                  <w:vertAlign w:val="superscript"/>
                </w:rPr>
                <w:t>49</w:t>
              </w:r>
            </w:fldSimple>
          </w:p>
        </w:tc>
        <w:tc>
          <w:tcPr/>
          <w:p>
            <w:pPr>
              <w:pStyle w:val="Compact"/>
              <w:jc w:val="left"/>
            </w:pPr>
            <w:r>
              <w:t xml:space="preserve">Task accuracy &gt;95%; latency &lt;200 ms; cost per request &lt;$0.001. Prove viability on one bounded workflow.</w:t>
            </w:r>
          </w:p>
        </w:tc>
      </w:tr>
      <w:tr>
        <w:tc>
          <w:tcPr/>
          <w:p>
            <w:pPr>
              <w:pStyle w:val="Compact"/>
              <w:jc w:val="left"/>
            </w:pPr>
            <w:r>
              <w:rPr>
                <w:bCs/>
                <w:b/>
              </w:rPr>
              <w:t xml:space="preserve">Piloting</w:t>
            </w:r>
            <w:r>
              <w:t xml:space="preserve"> </w:t>
            </w:r>
            <w:r>
              <w:t xml:space="preserve">(1–3 agent workflows in production)</w:t>
            </w:r>
          </w:p>
        </w:tc>
        <w:tc>
          <w:tcPr/>
          <w:p>
            <w:pPr>
              <w:pStyle w:val="Compact"/>
              <w:jc w:val="left"/>
            </w:pPr>
            <w:r>
              <w:t xml:space="preserve">Extend SLMs to 3–5 agent nodes (router, guardrail, tool caller, validator). Add LLM escalation at 0.7 confidence threshold. Target 60–70% SLM traffic share.</w:t>
            </w:r>
            <w:r>
              <w:t xml:space="preserve"> </w:t>
            </w:r>
            <w:fldSimple w:instr="NOTEREF _Ref_Footnote_7 \h \f">
              <w:r>
                <w:rPr>
                  <w:vertAlign w:val="superscript"/>
                </w:rPr>
                <w:t>7</w:t>
              </w:r>
            </w:fldSimple>
          </w:p>
        </w:tc>
        <w:tc>
          <w:tcPr/>
          <w:p>
            <w:pPr>
              <w:pStyle w:val="Compact"/>
              <w:jc w:val="left"/>
            </w:pPr>
            <w:r>
              <w:t xml:space="preserve">LangGraph + MCP for tool integration. Add LiteLMGuard for input/output validation.</w:t>
            </w:r>
            <w:r>
              <w:t xml:space="preserve"> </w:t>
            </w:r>
            <w:fldSimple w:instr="NOTEREF _Ref_Footnote_14 \h \f">
              <w:r>
                <w:rPr>
                  <w:vertAlign w:val="superscript"/>
                </w:rPr>
                <w:t>14</w:t>
              </w:r>
            </w:fldSimple>
          </w:p>
        </w:tc>
        <w:tc>
          <w:tcPr/>
          <w:p>
            <w:pPr>
              <w:pStyle w:val="Compact"/>
              <w:jc w:val="left"/>
            </w:pPr>
            <w:r>
              <w:t xml:space="preserve">Hybrid routing layer (cascade or BEST-Route). Centralized model gateway for cost governance.</w:t>
            </w:r>
            <w:r>
              <w:t xml:space="preserve"> </w:t>
            </w:r>
            <w:fldSimple w:instr="NOTEREF _Ref_Footnote_160 \h \f">
              <w:r>
                <w:rPr>
                  <w:vertAlign w:val="superscript"/>
                </w:rPr>
                <w:t>160</w:t>
              </w:r>
            </w:fldSimple>
          </w:p>
        </w:tc>
        <w:tc>
          <w:tcPr/>
          <w:p>
            <w:pPr>
              <w:pStyle w:val="Compact"/>
              <w:jc w:val="left"/>
            </w:pPr>
            <w:r>
              <w:t xml:space="preserve">SLM traffic share &gt;60%; end-to-end accuracy within 2% of always-LLM baseline; 5–10x cost reduction.</w:t>
            </w:r>
          </w:p>
        </w:tc>
      </w:tr>
      <w:tr>
        <w:tc>
          <w:tcPr/>
          <w:p>
            <w:pPr>
              <w:pStyle w:val="Compact"/>
              <w:jc w:val="left"/>
            </w:pPr>
            <w:r>
              <w:rPr>
                <w:bCs/>
                <w:b/>
              </w:rPr>
              <w:t xml:space="preserve">Scaling</w:t>
            </w:r>
            <w:r>
              <w:t xml:space="preserve"> </w:t>
            </w:r>
            <w:r>
              <w:t xml:space="preserve">(Multi-agent ecosystem across business units)</w:t>
            </w:r>
          </w:p>
        </w:tc>
        <w:tc>
          <w:tcPr/>
          <w:p>
            <w:pPr>
              <w:pStyle w:val="Compact"/>
              <w:jc w:val="left"/>
            </w:pPr>
            <w:r>
              <w:t xml:space="preserve">Full heterogeneous architecture: domain-specific SLMs per business unit, LLM only for novel reasoning and cross-domain synthesis. SLM training pipeline for new domains.</w:t>
            </w:r>
            <w:r>
              <w:t xml:space="preserve"> </w:t>
            </w:r>
            <w:fldSimple w:instr="NOTEREF _Ref_Footnote_126 \h \f">
              <w:r>
                <w:rPr>
                  <w:vertAlign w:val="superscript"/>
                </w:rPr>
                <w:t>126</w:t>
              </w:r>
            </w:fldSimple>
          </w:p>
        </w:tc>
        <w:tc>
          <w:tcPr/>
          <w:p>
            <w:pPr>
              <w:pStyle w:val="Compact"/>
              <w:jc w:val="left"/>
            </w:pPr>
            <w:r>
              <w:t xml:space="preserve">Protocol-first: MCP + A2A compliance mandatory for all agent procurement. Model-agnostic orchestration.</w:t>
            </w:r>
            <w:r>
              <w:t xml:space="preserve"> </w:t>
            </w:r>
            <w:fldSimple w:instr="NOTEREF _Ref_Footnote_160 \h \f">
              <w:r>
                <w:rPr>
                  <w:vertAlign w:val="superscript"/>
                </w:rPr>
                <w:t>160</w:t>
              </w:r>
            </w:fldSimple>
          </w:p>
        </w:tc>
        <w:tc>
          <w:tcPr/>
          <w:p>
            <w:pPr>
              <w:pStyle w:val="Compact"/>
              <w:jc w:val="left"/>
            </w:pPr>
            <w:r>
              <w:t xml:space="preserve">Edge deployment for latency-sensitive paths; NPU inference infrastructure; carbon monitoring per request.</w:t>
            </w:r>
            <w:r>
              <w:t xml:space="preserve"> </w:t>
            </w:r>
            <w:fldSimple w:instr="NOTEREF _Ref_Footnote_15 \h \f">
              <w:r>
                <w:rPr>
                  <w:vertAlign w:val="superscript"/>
                </w:rPr>
                <w:t>15</w:t>
              </w:r>
            </w:fldSimple>
          </w:p>
        </w:tc>
        <w:tc>
          <w:tcPr/>
          <w:p>
            <w:pPr>
              <w:pStyle w:val="Compact"/>
              <w:jc w:val="left"/>
            </w:pPr>
            <w:r>
              <w:t xml:space="preserve">Cost per automated task &lt;10% of LLM baseline; &lt;50 ms latency for 80% of requests; energy per inference measurable and trending down.</w:t>
            </w:r>
          </w:p>
        </w:tc>
      </w:tr>
    </w:tbl>
    <w:p>
      <w:pPr>
        <w:pStyle w:val="BodyText"/>
      </w:pPr>
      <w:r>
        <w:t xml:space="preserve">The analytical interpretation of this matrix centers on sequencing discipline. Organizations at the Exploring stage frequently err by deploying an LLM for a task an SLM could handle, rationalizing the choice as future-proofing. The evidence suggests the opposite: starting with an LLM obscures the infrastructure gaps (memory, routing, checkpointing) that become visible only when a smaller model forces the scaffold to compensate. The SLM-first approach surfaces architectural weaknesses early, when they are cheap to fix, rather than late, when they are embedded in production workflows.</w:t>
      </w:r>
    </w:p>
    <w:p>
      <w:pPr>
        <w:pStyle w:val="BodyText"/>
      </w:pPr>
      <w:r>
        <w:t xml:space="preserve">For organizations at the Piloting stage, the critical decision is the confidence threshold for LLM escalation. The 0.7 value, validated across multiple production deployments, balances two failure modes: over-escalation wastes LLM capacity on tasks the SLM could handle, while under-escalation degrades quality on complex requests</w:t>
      </w:r>
      <w:r>
        <w:t xml:space="preserve"> </w:t>
      </w:r>
      <w:fldSimple w:instr="NOTEREF _Ref_Footnote_5 \h \f">
        <w:r>
          <w:rPr>
            <w:vertAlign w:val="superscript"/>
          </w:rPr>
          <w:t>5</w:t>
        </w:r>
      </w:fldSimple>
      <w:r>
        <w:t xml:space="preserve">. This threshold should be treated as a production parameter, tuned based on logged escalation patterns and continuously refined as the SLM’s coverage expands through retraining on newly encountered edge cases</w:t>
      </w:r>
      <w:r>
        <w:t xml:space="preserve"> </w:t>
      </w:r>
      <w:fldSimple w:instr="NOTEREF _Ref_Footnote_5 \h \f">
        <w:r>
          <w:rPr>
            <w:vertAlign w:val="superscript"/>
          </w:rPr>
          <w:t>5</w:t>
        </w:r>
      </w:fldSimple>
      <w:r>
        <w:t xml:space="preserve">.</w:t>
      </w:r>
    </w:p>
    <w:p>
      <w:pPr>
        <w:pStyle w:val="BodyText"/>
      </w:pPr>
      <w:r>
        <w:t xml:space="preserve">At the Scaling stage, the priority shifts from cost optimization to ecosystem governance. With 10–100 SLMs operating across business units, model proliferation becomes a management challenge. Mandating MCP and A2A protocol compliance for all agent procurement future-proofs investments and enables continuous model optimization without system redesign</w:t>
      </w:r>
      <w:r>
        <w:t xml:space="preserve"> </w:t>
      </w:r>
      <w:fldSimple w:instr="NOTEREF _Ref_Footnote_160 \h \f">
        <w:r>
          <w:rPr>
            <w:vertAlign w:val="superscript"/>
          </w:rPr>
          <w:t>160</w:t>
        </w:r>
      </w:fldSimple>
      <w:r>
        <w:t xml:space="preserve">. The protocol layer transforms model selection from an architectural decision into a runtime configuration — the ultimate expression of the scaffold-over-model principle at enterprise scale.</w:t>
      </w:r>
    </w:p>
    <w:p>
      <w:pPr>
        <w:pStyle w:val="BodyText"/>
      </w:pPr>
      <w:r>
        <w:t xml:space="preserve">The eight cross-dimensional insights examined in this chapter — scaffold dominance, memory synergy, security through constraints, sustainability convergence, protocol-enabled model agnosticism, ambient AI’s edge dependency, the specialist marketplace, and the agentwashing-governance gap — all point toward the same architectural destination. The organizations that internalize these findings and sequence their investments accordingly will operate agentic ecosystems at 5–30x lower cost, with lower latency, lower attack surface, lower carbon footprint, and equivalent or better quality on the majority of production tasks. The technology is available. The evidence is in. The remaining variable is engineering priority.</w:t>
      </w:r>
    </w:p>
    <w:p>
      <w:r>
        <w:pict>
          <v:rect style="width:0;height:1.5pt" o:hralign="center" o:hrstd="t" o:hr="t"/>
        </w:pict>
      </w:r>
    </w:p>
    <w:bookmarkEnd w:id="141"/>
    <w:bookmarkEnd w:id="142"/>
    <w:bookmarkEnd w:id="143"/>
    <w:bookmarkStart w:id="147" w:name="references-and-sources"/>
    <w:p>
      <w:pPr>
        <w:pStyle w:val="Heading1"/>
      </w:pPr>
      <w:r>
        <w:t xml:space="preserve">References and Sources</w:t>
      </w:r>
    </w:p>
    <w:bookmarkStart w:id="144" w:name="research-methodology"/>
    <w:p>
      <w:pPr>
        <w:pStyle w:val="Heading2"/>
      </w:pPr>
      <w:r>
        <w:t xml:space="preserve">Research Methodology</w:t>
      </w:r>
    </w:p>
    <w:p>
      <w:pPr>
        <w:pStyle w:val="FirstParagraph"/>
      </w:pPr>
      <w:r>
        <w:t xml:space="preserve">This report was produced through multi-agent deep research across 12 dimensions, incorporating 250+ independent web searches, cross-verification of findings from 60+ authoritative sources, and extraction of 8 cross-dimensional insights.</w:t>
      </w:r>
    </w:p>
    <w:bookmarkEnd w:id="144"/>
    <w:bookmarkStart w:id="145" w:name="primary-source-categories"/>
    <w:p>
      <w:pPr>
        <w:pStyle w:val="Heading2"/>
      </w:pPr>
      <w:r>
        <w:t xml:space="preserve">Primary Source Categories</w:t>
      </w:r>
    </w:p>
    <w:p>
      <w:pPr>
        <w:numPr>
          <w:ilvl w:val="0"/>
          <w:numId w:val="1001"/>
        </w:numPr>
        <w:pStyle w:val="Compact"/>
      </w:pPr>
      <w:r>
        <w:rPr>
          <w:bCs/>
          <w:b/>
        </w:rPr>
        <w:t xml:space="preserve">Academic</w:t>
      </w:r>
      <w:r>
        <w:t xml:space="preserve">: arXiv papers, peer-reviewed journals (IEEE, ACM), university research (Stanford, MIT, UC Berkeley)</w:t>
      </w:r>
    </w:p>
    <w:p>
      <w:pPr>
        <w:numPr>
          <w:ilvl w:val="0"/>
          <w:numId w:val="1001"/>
        </w:numPr>
        <w:pStyle w:val="Compact"/>
      </w:pPr>
      <w:r>
        <w:rPr>
          <w:bCs/>
          <w:b/>
        </w:rPr>
        <w:t xml:space="preserve">Industry</w:t>
      </w:r>
      <w:r>
        <w:t xml:space="preserve">: IBM, Microsoft, Google, NVIDIA, Anthropic, OpenAI technical documentation</w:t>
      </w:r>
    </w:p>
    <w:p>
      <w:pPr>
        <w:numPr>
          <w:ilvl w:val="0"/>
          <w:numId w:val="1001"/>
        </w:numPr>
        <w:pStyle w:val="Compact"/>
      </w:pPr>
      <w:r>
        <w:rPr>
          <w:bCs/>
          <w:b/>
        </w:rPr>
        <w:t xml:space="preserve">Analyst</w:t>
      </w:r>
      <w:r>
        <w:t xml:space="preserve">: Gartner, McKinsey, MarketsandMarkets, Grand View Research</w:t>
      </w:r>
    </w:p>
    <w:p>
      <w:pPr>
        <w:numPr>
          <w:ilvl w:val="0"/>
          <w:numId w:val="1001"/>
        </w:numPr>
        <w:pStyle w:val="Compact"/>
      </w:pPr>
      <w:r>
        <w:rPr>
          <w:bCs/>
          <w:b/>
        </w:rPr>
        <w:t xml:space="preserve">Framework Documentation</w:t>
      </w:r>
      <w:r>
        <w:t xml:space="preserve">: LangGraph, CrewAI, OpenAI Agents SDK, Google ADK</w:t>
      </w:r>
    </w:p>
    <w:bookmarkEnd w:id="145"/>
    <w:bookmarkStart w:id="146" w:name="research-artifacts"/>
    <w:p>
      <w:pPr>
        <w:pStyle w:val="Heading2"/>
      </w:pPr>
      <w:r>
        <w:t xml:space="preserve">Research Artifacts</w:t>
      </w:r>
    </w:p>
    <w:p>
      <w:pPr>
        <w:pStyle w:val="FirstParagraph"/>
      </w:pPr>
      <w:r>
        <w:t xml:space="preserve">All research dimension reports, cross-verification analysis, and insight extraction files are available at:</w:t>
      </w:r>
      <w:r>
        <w:t xml:space="preserve"> </w:t>
      </w:r>
      <w:r>
        <w:rPr>
          <w:rStyle w:val="VerbatimChar"/>
        </w:rPr>
        <w:t xml:space="preserve">/mnt/agents/output/research/agentic_ai_dim01.md</w:t>
      </w:r>
      <w:r>
        <w:t xml:space="preserve"> </w:t>
      </w:r>
      <w:r>
        <w:t xml:space="preserve">through</w:t>
      </w:r>
      <w:r>
        <w:t xml:space="preserve"> </w:t>
      </w:r>
      <w:r>
        <w:rPr>
          <w:rStyle w:val="VerbatimChar"/>
        </w:rPr>
        <w:t xml:space="preserve">agentic_ai_dim12.md</w:t>
      </w:r>
      <w:r>
        <w:t xml:space="preserve"> </w:t>
      </w:r>
      <w:r>
        <w:rPr>
          <w:rStyle w:val="VerbatimChar"/>
        </w:rPr>
        <w:t xml:space="preserve">/mnt/agents/output/research/agentic_ai_cross_verification.md</w:t>
      </w:r>
      <w:r>
        <w:t xml:space="preserve"> </w:t>
      </w:r>
      <w:r>
        <w:rPr>
          <w:rStyle w:val="VerbatimChar"/>
        </w:rPr>
        <w:t xml:space="preserve">/mnt/agents/output/research/agentic_ai_insight.md</w:t>
      </w:r>
    </w:p>
    <w:bookmarkEnd w:id="146"/>
    <w:bookmarkEnd w:id="147"/>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r="http://schemas.openxmlformats.org/officeDocument/2006/relationships" xmlns:w="http://schemas.openxmlformats.org/wordprocessingml/2006/main">
  <w:font w:name="Symbol">
    <w:panose1 w:val="020005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s>
</file>

<file path=word/footnotes.xml><?xml version="1.0" encoding="utf-8"?>
<w:footnotes xmlns:w="http://schemas.openxmlformats.org/wordprocessingml/2006/main" xmlns:r="http://schemas.openxmlformats.org/officeDocument/2006/relationships">
  <w:footnote w:type="separator" w:id="-1">
    <w:p>
      <w:r>
        <w:separator/>
      </w:r>
    </w:p>
  </w:footnote>
  <w:footnote w:type="continuationSeparator" w:id="0">
    <w:p>
      <w:r>
        <w:continuationSeparator/>
      </w:r>
    </w:p>
  </w:footnote>
  <w:footnote w:id="1">
    <w:p>
      <w:pPr>
        <w:pStyle w:val="FootnoteText"/>
        <w:spacing w:before="0" w:after="0" w:line="200" w:lineRule="exact"/>
      </w:pPr>
      <w:bookmarkStart w:id="10001" w:name="_Ref_Footnote_1"/>
      <w:r>
        <w:rPr>
          <w:rStyle w:val="FootnoteReference"/>
          <w:vertAlign w:val="superscript"/>
        </w:rPr>
        <w:footnoteRef/>
      </w:r>
      <w:r>
        <w:rPr>
          <w:sz w:val="18"/>
          <w:szCs w:val="18"/>
        </w:rPr>
        <w:t xml:space="preserve"> https://public.intellimedia.ncsu.edu/pubmgr/pubdb/pdfs/_collaborator/engageAI/Prasad-NAACL-2024.pdf</w:t>
      </w:r>
      <w:bookmarkEnd w:id="10001"/>
    </w:p>
  </w:footnote>
  <w:footnote w:id="2">
    <w:p>
      <w:pPr>
        <w:pStyle w:val="FootnoteText"/>
        <w:spacing w:before="0" w:after="0" w:line="200" w:lineRule="exact"/>
      </w:pPr>
      <w:bookmarkStart w:id="10002" w:name="_Ref_Footnote_2"/>
      <w:r>
        <w:rPr>
          <w:rStyle w:val="FootnoteReference"/>
          <w:vertAlign w:val="superscript"/>
        </w:rPr>
        <w:footnoteRef/>
      </w:r>
      <w:r>
        <w:rPr>
          <w:sz w:val="18"/>
          <w:szCs w:val="18"/>
        </w:rPr>
        <w:t xml:space="preserve"> NVIDIA Docs. https://docs.nvidia.com/nemo/agent-toolkit/1.1/workflows/about/rewoo-agent.html</w:t>
      </w:r>
      <w:bookmarkEnd w:id="10002"/>
    </w:p>
  </w:footnote>
  <w:footnote w:id="3">
    <w:p>
      <w:pPr>
        <w:pStyle w:val="FootnoteText"/>
        <w:spacing w:before="0" w:after="0" w:line="200" w:lineRule="exact"/>
      </w:pPr>
      <w:bookmarkStart w:id="10003" w:name="_Ref_Footnote_3"/>
      <w:r>
        <w:rPr>
          <w:rStyle w:val="FootnoteReference"/>
          <w:vertAlign w:val="superscript"/>
        </w:rPr>
        <w:footnoteRef/>
      </w:r>
      <w:r>
        <w:rPr>
          <w:sz w:val="18"/>
          <w:szCs w:val="18"/>
        </w:rPr>
        <w:t xml:space="preserve"> Medium. https://tao-hpu.medium.com/dynamic-planning-in-llm-agents-from-react-to-tree-of-thoughts-a3464a8b114e</w:t>
      </w:r>
      <w:bookmarkEnd w:id="10003"/>
    </w:p>
  </w:footnote>
  <w:footnote w:id="4">
    <w:p>
      <w:pPr>
        <w:pStyle w:val="FootnoteText"/>
        <w:spacing w:before="0" w:after="0" w:line="200" w:lineRule="exact"/>
      </w:pPr>
      <w:bookmarkStart w:id="10004" w:name="_Ref_Footnote_4"/>
      <w:r>
        <w:rPr>
          <w:rStyle w:val="FootnoteReference"/>
          <w:vertAlign w:val="superscript"/>
        </w:rPr>
        <w:footnoteRef/>
      </w:r>
      <w:r>
        <w:rPr>
          <w:sz w:val="18"/>
          <w:szCs w:val="18"/>
        </w:rPr>
        <w:t xml:space="preserve"> arXiv.org. https://arxiv.org/html/2511.04847v4</w:t>
      </w:r>
      <w:bookmarkEnd w:id="10004"/>
    </w:p>
  </w:footnote>
  <w:footnote w:id="5">
    <w:p>
      <w:pPr>
        <w:pStyle w:val="FootnoteText"/>
        <w:spacing w:before="0" w:after="0" w:line="200" w:lineRule="exact"/>
      </w:pPr>
      <w:bookmarkStart w:id="10005" w:name="_Ref_Footnote_5"/>
      <w:r>
        <w:rPr>
          <w:rStyle w:val="FootnoteReference"/>
          <w:vertAlign w:val="superscript"/>
        </w:rPr>
        <w:footnoteRef/>
      </w:r>
      <w:r>
        <w:rPr>
          <w:sz w:val="18"/>
          <w:szCs w:val="18"/>
        </w:rPr>
        <w:t xml:space="preserve"> DEV Community. https://dev.to/pockit_tools/langgraph-vs-crewai-vs-autogen-the-complete-multi-agent-ai-orchestration-guide-for-2026-2d63</w:t>
      </w:r>
      <w:bookmarkEnd w:id="10005"/>
    </w:p>
  </w:footnote>
  <w:footnote w:id="6">
    <w:p>
      <w:pPr>
        <w:pStyle w:val="FootnoteText"/>
        <w:spacing w:before="0" w:after="0" w:line="200" w:lineRule="exact"/>
      </w:pPr>
      <w:bookmarkStart w:id="10006" w:name="_Ref_Footnote_6"/>
      <w:r>
        <w:rPr>
          <w:rStyle w:val="FootnoteReference"/>
          <w:vertAlign w:val="superscript"/>
        </w:rPr>
        <w:footnoteRef/>
      </w:r>
      <w:r>
        <w:rPr>
          <w:sz w:val="18"/>
          <w:szCs w:val="18"/>
        </w:rPr>
        <w:t xml:space="preserve"> arXiv.org. https://arxiv.org/pdf/2506.02153</w:t>
      </w:r>
      <w:bookmarkEnd w:id="10006"/>
    </w:p>
  </w:footnote>
  <w:footnote w:id="7">
    <w:p>
      <w:pPr>
        <w:pStyle w:val="FootnoteText"/>
        <w:spacing w:before="0" w:after="0" w:line="200" w:lineRule="exact"/>
      </w:pPr>
      <w:bookmarkStart w:id="10007" w:name="_Ref_Footnote_7"/>
      <w:r>
        <w:rPr>
          <w:rStyle w:val="FootnoteReference"/>
          <w:vertAlign w:val="superscript"/>
        </w:rPr>
        <w:footnoteRef/>
      </w:r>
      <w:r>
        <w:rPr>
          <w:sz w:val="18"/>
          <w:szCs w:val="18"/>
        </w:rPr>
        <w:t xml:space="preserve"> arXiv.org. https://arxiv.org/pdf/2506.22716</w:t>
      </w:r>
      <w:bookmarkEnd w:id="10007"/>
    </w:p>
  </w:footnote>
  <w:footnote w:id="8">
    <w:p>
      <w:pPr>
        <w:pStyle w:val="FootnoteText"/>
        <w:spacing w:before="0" w:after="0" w:line="200" w:lineRule="exact"/>
      </w:pPr>
      <w:bookmarkStart w:id="10008" w:name="_Ref_Footnote_8"/>
      <w:r>
        <w:rPr>
          <w:rStyle w:val="FootnoteReference"/>
          <w:vertAlign w:val="superscript"/>
        </w:rPr>
        <w:footnoteRef/>
      </w:r>
      <w:r>
        <w:rPr>
          <w:sz w:val="18"/>
          <w:szCs w:val="18"/>
        </w:rPr>
        <w:t xml:space="preserve"> MarkTechPost. https://www.marktechpost.com/2026/03/10/nvidia-ai-releases-nemotron-terminal-a-systematic-data-engineering-pipeline-for-scaling-llm-terminal-agents/</w:t>
      </w:r>
      <w:bookmarkEnd w:id="10008"/>
    </w:p>
  </w:footnote>
  <w:footnote w:id="9">
    <w:p>
      <w:pPr>
        <w:pStyle w:val="FootnoteText"/>
        <w:spacing w:before="0" w:after="0" w:line="200" w:lineRule="exact"/>
      </w:pPr>
      <w:bookmarkStart w:id="10009" w:name="_Ref_Footnote_9"/>
      <w:r>
        <w:rPr>
          <w:rStyle w:val="FootnoteReference"/>
          <w:vertAlign w:val="superscript"/>
        </w:rPr>
        <w:footnoteRef/>
      </w:r>
      <w:r>
        <w:rPr>
          <w:sz w:val="18"/>
          <w:szCs w:val="18"/>
        </w:rPr>
        <w:t xml:space="preserve"> LMSYS Blog. https://www.lmsys.org/blog/2024-07-01-routellm/</w:t>
      </w:r>
      <w:bookmarkEnd w:id="10009"/>
    </w:p>
  </w:footnote>
  <w:footnote w:id="10">
    <w:p>
      <w:pPr>
        <w:pStyle w:val="FootnoteText"/>
        <w:spacing w:before="0" w:after="0" w:line="200" w:lineRule="exact"/>
      </w:pPr>
      <w:bookmarkStart w:id="10010" w:name="_Ref_Footnote_10"/>
      <w:r>
        <w:rPr>
          <w:rStyle w:val="FootnoteReference"/>
          <w:vertAlign w:val="superscript"/>
        </w:rPr>
        <w:footnoteRef/>
      </w:r>
      <w:r>
        <w:rPr>
          <w:sz w:val="18"/>
          <w:szCs w:val="18"/>
        </w:rPr>
        <w:t xml:space="preserve"> Kalvium Labs. https://www.kalviumlabs.ai/blog/guardrails-for-llm-applications/</w:t>
      </w:r>
      <w:bookmarkEnd w:id="10010"/>
    </w:p>
  </w:footnote>
  <w:footnote w:id="11">
    <w:p>
      <w:pPr>
        <w:pStyle w:val="FootnoteText"/>
        <w:spacing w:before="0" w:after="0" w:line="200" w:lineRule="exact"/>
      </w:pPr>
      <w:bookmarkStart w:id="10011" w:name="_Ref_Footnote_11"/>
      <w:r>
        <w:rPr>
          <w:rStyle w:val="FootnoteReference"/>
          <w:vertAlign w:val="superscript"/>
        </w:rPr>
        <w:footnoteRef/>
      </w:r>
      <w:r>
        <w:rPr>
          <w:sz w:val="18"/>
          <w:szCs w:val="18"/>
        </w:rPr>
        <w:t xml:space="preserve"> ranjankumar.in. https://ranjankumar.in/design-patterns-for-slm-first-systems</w:t>
      </w:r>
      <w:bookmarkEnd w:id="10011"/>
    </w:p>
  </w:footnote>
  <w:footnote w:id="12">
    <w:p>
      <w:pPr>
        <w:pStyle w:val="FootnoteText"/>
        <w:spacing w:before="0" w:after="0" w:line="200" w:lineRule="exact"/>
      </w:pPr>
      <w:bookmarkStart w:id="10012" w:name="_Ref_Footnote_12"/>
      <w:r>
        <w:rPr>
          <w:rStyle w:val="FootnoteReference"/>
          <w:vertAlign w:val="superscript"/>
        </w:rPr>
        <w:footnoteRef/>
      </w:r>
      <w:r>
        <w:rPr>
          <w:sz w:val="18"/>
          <w:szCs w:val="18"/>
        </w:rPr>
        <w:t xml:space="preserve"> DEV Community. https://dev.to/wonderlab/agent-series-5-intent-recognition-and-routing-making-agents-actually-understand-users-3174</w:t>
      </w:r>
      <w:bookmarkEnd w:id="10012"/>
    </w:p>
  </w:footnote>
  <w:footnote w:id="13">
    <w:p>
      <w:pPr>
        <w:pStyle w:val="FootnoteText"/>
        <w:spacing w:before="0" w:after="0" w:line="200" w:lineRule="exact"/>
      </w:pPr>
      <w:bookmarkStart w:id="10013" w:name="_Ref_Footnote_13"/>
      <w:r>
        <w:rPr>
          <w:rStyle w:val="FootnoteReference"/>
          <w:vertAlign w:val="superscript"/>
        </w:rPr>
        <w:footnoteRef/>
      </w:r>
      <w:r>
        <w:rPr>
          <w:sz w:val="18"/>
          <w:szCs w:val="18"/>
        </w:rPr>
        <w:t xml:space="preserve"> Ertas AI. https://www.ertas.ai/blog/on-device-tool-calling-2026-qwen3-gemma4-phi4</w:t>
      </w:r>
      <w:bookmarkEnd w:id="10013"/>
    </w:p>
  </w:footnote>
  <w:footnote w:id="14">
    <w:p>
      <w:pPr>
        <w:pStyle w:val="FootnoteText"/>
        <w:spacing w:before="0" w:after="0" w:line="200" w:lineRule="exact"/>
      </w:pPr>
      <w:bookmarkStart w:id="10014" w:name="_Ref_Footnote_14"/>
      <w:r>
        <w:rPr>
          <w:rStyle w:val="FootnoteReference"/>
          <w:vertAlign w:val="superscript"/>
        </w:rPr>
        <w:footnoteRef/>
      </w:r>
      <w:r>
        <w:rPr>
          <w:sz w:val="18"/>
          <w:szCs w:val="18"/>
        </w:rPr>
        <w:t xml:space="preserve"> ACL Anthology. https://aclanthology.org/2025.findings-ijcnlp.12/</w:t>
      </w:r>
      <w:bookmarkEnd w:id="10014"/>
    </w:p>
  </w:footnote>
  <w:footnote w:id="15">
    <w:p>
      <w:pPr>
        <w:pStyle w:val="FootnoteText"/>
        <w:spacing w:before="0" w:after="0" w:line="200" w:lineRule="exact"/>
      </w:pPr>
      <w:bookmarkStart w:id="10015" w:name="_Ref_Footnote_15"/>
      <w:r>
        <w:rPr>
          <w:rStyle w:val="FootnoteReference"/>
          <w:vertAlign w:val="superscript"/>
        </w:rPr>
        <w:footnoteRef/>
      </w:r>
      <w:r>
        <w:rPr>
          <w:sz w:val="18"/>
          <w:szCs w:val="18"/>
        </w:rPr>
        <w:t xml:space="preserve"> princeton.edu. https://hal.cs.princeton.edu/gaia</w:t>
      </w:r>
      <w:bookmarkEnd w:id="10015"/>
    </w:p>
  </w:footnote>
  <w:footnote w:id="16">
    <w:p>
      <w:pPr>
        <w:pStyle w:val="FootnoteText"/>
        <w:spacing w:before="0" w:after="0" w:line="200" w:lineRule="exact"/>
      </w:pPr>
      <w:bookmarkStart w:id="10016" w:name="_Ref_Footnote_16"/>
      <w:r>
        <w:rPr>
          <w:rStyle w:val="FootnoteReference"/>
          <w:vertAlign w:val="superscript"/>
        </w:rPr>
        <w:footnoteRef/>
      </w:r>
      <w:r>
        <w:rPr>
          <w:sz w:val="18"/>
          <w:szCs w:val="18"/>
        </w:rPr>
        <w:t xml:space="preserve"> Innoflexion. https://www.innoflexion.com/blog/slms-vs-llms-agentic-ai-enterprise</w:t>
      </w:r>
      <w:bookmarkEnd w:id="10016"/>
    </w:p>
  </w:footnote>
  <w:footnote w:id="17">
    <w:p>
      <w:pPr>
        <w:pStyle w:val="FootnoteText"/>
        <w:spacing w:before="0" w:after="0" w:line="200" w:lineRule="exact"/>
      </w:pPr>
      <w:bookmarkStart w:id="10017" w:name="_Ref_Footnote_17"/>
      <w:r>
        <w:rPr>
          <w:rStyle w:val="FootnoteReference"/>
          <w:vertAlign w:val="superscript"/>
        </w:rPr>
        <w:footnoteRef/>
      </w:r>
      <w:r>
        <w:rPr>
          <w:sz w:val="18"/>
          <w:szCs w:val="18"/>
        </w:rPr>
        <w:t xml:space="preserve"> vllm.ai. https://docs.vllm.ai/en/latest/features/lora/</w:t>
      </w:r>
      <w:bookmarkEnd w:id="10017"/>
    </w:p>
  </w:footnote>
  <w:footnote w:id="18">
    <w:p>
      <w:pPr>
        <w:pStyle w:val="FootnoteText"/>
        <w:spacing w:before="0" w:after="0" w:line="200" w:lineRule="exact"/>
      </w:pPr>
      <w:bookmarkStart w:id="10018" w:name="_Ref_Footnote_18"/>
      <w:r>
        <w:rPr>
          <w:rStyle w:val="FootnoteReference"/>
          <w:vertAlign w:val="superscript"/>
        </w:rPr>
        <w:footnoteRef/>
      </w:r>
      <w:r>
        <w:rPr>
          <w:sz w:val="18"/>
          <w:szCs w:val="18"/>
        </w:rPr>
        <w:t xml:space="preserve"> Medium. https://medium.com/codetodeploy/multi-lora-in-production-designing-for-vllm-and-eks-e8bc6a8b4b92</w:t>
      </w:r>
      <w:bookmarkEnd w:id="10018"/>
    </w:p>
  </w:footnote>
  <w:footnote w:id="19">
    <w:p>
      <w:pPr>
        <w:pStyle w:val="FootnoteText"/>
        <w:spacing w:before="0" w:after="0" w:line="200" w:lineRule="exact"/>
      </w:pPr>
      <w:bookmarkStart w:id="10019" w:name="_Ref_Footnote_19"/>
      <w:r>
        <w:rPr>
          <w:rStyle w:val="FootnoteReference"/>
          <w:vertAlign w:val="superscript"/>
        </w:rPr>
        <w:footnoteRef/>
      </w:r>
      <w:r>
        <w:rPr>
          <w:sz w:val="18"/>
          <w:szCs w:val="18"/>
        </w:rPr>
        <w:t xml:space="preserve"> Preprints. https://www.preprints.org/manuscript/202604.2147</w:t>
      </w:r>
      <w:bookmarkEnd w:id="10019"/>
    </w:p>
  </w:footnote>
  <w:footnote w:id="20">
    <w:p>
      <w:pPr>
        <w:pStyle w:val="FootnoteText"/>
        <w:spacing w:before="0" w:after="0" w:line="200" w:lineRule="exact"/>
      </w:pPr>
      <w:bookmarkStart w:id="10020" w:name="_Ref_Footnote_20"/>
      <w:r>
        <w:rPr>
          <w:rStyle w:val="FootnoteReference"/>
          <w:vertAlign w:val="superscript"/>
        </w:rPr>
        <w:footnoteRef/>
      </w:r>
      <w:r>
        <w:rPr>
          <w:sz w:val="18"/>
          <w:szCs w:val="18"/>
        </w:rPr>
        <w:t xml:space="preserve"> Github. https://github.com/ombharatiya/ai-system-design-guide/blob/main/09-frameworks-and-tools/02-langgraph-orchestration.md</w:t>
      </w:r>
      <w:bookmarkEnd w:id="10020"/>
    </w:p>
  </w:footnote>
  <w:footnote w:id="21">
    <w:p>
      <w:pPr>
        <w:pStyle w:val="FootnoteText"/>
        <w:spacing w:before="0" w:after="0" w:line="200" w:lineRule="exact"/>
      </w:pPr>
      <w:bookmarkStart w:id="10021" w:name="_Ref_Footnote_21"/>
      <w:r>
        <w:rPr>
          <w:rStyle w:val="FootnoteReference"/>
          <w:vertAlign w:val="superscript"/>
        </w:rPr>
        <w:footnoteRef/>
      </w:r>
      <w:r>
        <w:rPr>
          <w:sz w:val="18"/>
          <w:szCs w:val="18"/>
        </w:rPr>
        <w:t xml:space="preserve"> DigitalOcean. https://www.digitalocean.com/community/tutorials/crewai-crash-course-role-based-agent-orchestration</w:t>
      </w:r>
      <w:bookmarkEnd w:id="10021"/>
    </w:p>
  </w:footnote>
  <w:footnote w:id="22">
    <w:p>
      <w:pPr>
        <w:pStyle w:val="FootnoteText"/>
        <w:spacing w:before="0" w:after="0" w:line="200" w:lineRule="exact"/>
      </w:pPr>
      <w:bookmarkStart w:id="10022" w:name="_Ref_Footnote_22"/>
      <w:r>
        <w:rPr>
          <w:rStyle w:val="FootnoteReference"/>
          <w:vertAlign w:val="superscript"/>
        </w:rPr>
        <w:footnoteRef/>
      </w:r>
      <w:r>
        <w:rPr>
          <w:sz w:val="18"/>
          <w:szCs w:val="18"/>
        </w:rPr>
        <w:t xml:space="preserve"> decodethefuture. https://decodethefuture.org/en/ai-agent-benchmarks-2026/</w:t>
      </w:r>
      <w:bookmarkEnd w:id="10022"/>
    </w:p>
  </w:footnote>
  <w:footnote w:id="23">
    <w:p>
      <w:pPr>
        <w:pStyle w:val="FootnoteText"/>
        <w:spacing w:before="0" w:after="0" w:line="200" w:lineRule="exact"/>
      </w:pPr>
      <w:bookmarkStart w:id="10023" w:name="_Ref_Footnote_23"/>
      <w:r>
        <w:rPr>
          <w:rStyle w:val="FootnoteReference"/>
          <w:vertAlign w:val="superscript"/>
        </w:rPr>
        <w:footnoteRef/>
      </w:r>
      <w:r>
        <w:rPr>
          <w:sz w:val="18"/>
          <w:szCs w:val="18"/>
        </w:rPr>
        <w:t xml:space="preserve"> mcp blog. https://blog.modelcontextprotocol.io/posts/2025-12-09-mcp-joins-agentic-ai-foundation/</w:t>
      </w:r>
      <w:bookmarkEnd w:id="10023"/>
    </w:p>
  </w:footnote>
  <w:footnote w:id="24">
    <w:p>
      <w:pPr>
        <w:pStyle w:val="FootnoteText"/>
        <w:spacing w:before="0" w:after="0" w:line="200" w:lineRule="exact"/>
      </w:pPr>
      <w:bookmarkStart w:id="10024" w:name="_Ref_Footnote_24"/>
      <w:r>
        <w:rPr>
          <w:rStyle w:val="FootnoteReference"/>
          <w:vertAlign w:val="superscript"/>
        </w:rPr>
        <w:footnoteRef/>
      </w:r>
      <w:r>
        <w:rPr>
          <w:sz w:val="18"/>
          <w:szCs w:val="18"/>
        </w:rPr>
        <w:t xml:space="preserve"> Google for Developers BlogGoogle for Developers Blog. https://developers.googleblog.com/en/a2a-a-new-era-of-agent-interoperability/</w:t>
      </w:r>
      <w:bookmarkEnd w:id="10024"/>
    </w:p>
  </w:footnote>
  <w:footnote w:id="25">
    <w:p>
      <w:pPr>
        <w:pStyle w:val="FootnoteText"/>
        <w:spacing w:before="0" w:after="0" w:line="200" w:lineRule="exact"/>
      </w:pPr>
      <w:bookmarkStart w:id="10025" w:name="_Ref_Footnote_25"/>
      <w:r>
        <w:rPr>
          <w:rStyle w:val="FootnoteReference"/>
          <w:vertAlign w:val="superscript"/>
        </w:rPr>
        <w:footnoteRef/>
      </w:r>
      <w:r>
        <w:rPr>
          <w:sz w:val="18"/>
          <w:szCs w:val="18"/>
        </w:rPr>
        <w:t xml:space="preserve"> MCP.Directory. https://mcp.directory/blog/mcp-foundation-linux-foundation-aaif-2026-explained</w:t>
      </w:r>
      <w:bookmarkEnd w:id="10025"/>
    </w:p>
  </w:footnote>
  <w:footnote w:id="26">
    <w:p>
      <w:pPr>
        <w:pStyle w:val="FootnoteText"/>
        <w:spacing w:before="0" w:after="0" w:line="200" w:lineRule="exact"/>
      </w:pPr>
      <w:bookmarkStart w:id="10026" w:name="_Ref_Footnote_26"/>
      <w:r>
        <w:rPr>
          <w:rStyle w:val="FootnoteReference"/>
          <w:vertAlign w:val="superscript"/>
        </w:rPr>
        <w:footnoteRef/>
      </w:r>
      <w:r>
        <w:rPr>
          <w:sz w:val="18"/>
          <w:szCs w:val="18"/>
        </w:rPr>
        <w:t xml:space="preserve"> Linux Foundation. https://www.linuxfoundation.org/press/linux-foundation-launches-the-agent2agent-protocol-project-to-enable-secure-intelligent-communication-between-ai-agents</w:t>
      </w:r>
      <w:bookmarkEnd w:id="10026"/>
    </w:p>
  </w:footnote>
  <w:footnote w:id="27">
    <w:p>
      <w:pPr>
        <w:pStyle w:val="FootnoteText"/>
        <w:spacing w:before="0" w:after="0" w:line="200" w:lineRule="exact"/>
      </w:pPr>
      <w:bookmarkStart w:id="10027" w:name="_Ref_Footnote_27"/>
      <w:r>
        <w:rPr>
          <w:rStyle w:val="FootnoteReference"/>
          <w:vertAlign w:val="superscript"/>
        </w:rPr>
        <w:footnoteRef/>
      </w:r>
      <w:r>
        <w:rPr>
          <w:sz w:val="18"/>
          <w:szCs w:val="18"/>
        </w:rPr>
        <w:t xml:space="preserve"> Emergent Mind. https://www.emergentmind.com/topics/hybrid-llm-pddl-planning</w:t>
      </w:r>
      <w:bookmarkEnd w:id="10027"/>
    </w:p>
  </w:footnote>
  <w:footnote w:id="28">
    <w:p>
      <w:pPr>
        <w:pStyle w:val="FootnoteText"/>
        <w:spacing w:before="0" w:after="0" w:line="200" w:lineRule="exact"/>
      </w:pPr>
      <w:bookmarkStart w:id="10028" w:name="_Ref_Footnote_28"/>
      <w:r>
        <w:rPr>
          <w:rStyle w:val="FootnoteReference"/>
          <w:vertAlign w:val="superscript"/>
        </w:rPr>
        <w:footnoteRef/>
      </w:r>
      <w:r>
        <w:rPr>
          <w:sz w:val="18"/>
          <w:szCs w:val="18"/>
        </w:rPr>
        <w:t xml:space="preserve"> mindstudio.ai. https://www.mindstudio.ai/blog/scaling-ai-agents-best-practices-multi-bot-deployment</w:t>
      </w:r>
      <w:bookmarkEnd w:id="10028"/>
    </w:p>
  </w:footnote>
  <w:footnote w:id="29">
    <w:p>
      <w:pPr>
        <w:pStyle w:val="FootnoteText"/>
        <w:spacing w:before="0" w:after="0" w:line="200" w:lineRule="exact"/>
      </w:pPr>
      <w:bookmarkStart w:id="10029" w:name="_Ref_Footnote_29"/>
      <w:r>
        <w:rPr>
          <w:rStyle w:val="FootnoteReference"/>
          <w:vertAlign w:val="superscript"/>
        </w:rPr>
        <w:footnoteRef/>
      </w:r>
      <w:r>
        <w:rPr>
          <w:sz w:val="18"/>
          <w:szCs w:val="18"/>
        </w:rPr>
        <w:t xml:space="preserve"> promptingguide.ai. https://www.promptingguide.ai/techniques/react</w:t>
      </w:r>
      <w:bookmarkEnd w:id="10029"/>
    </w:p>
  </w:footnote>
  <w:footnote w:id="30">
    <w:p>
      <w:pPr>
        <w:pStyle w:val="FootnoteText"/>
        <w:spacing w:before="0" w:after="0" w:line="200" w:lineRule="exact"/>
      </w:pPr>
      <w:bookmarkStart w:id="10030" w:name="_Ref_Footnote_30"/>
      <w:r>
        <w:rPr>
          <w:rStyle w:val="FootnoteReference"/>
          <w:vertAlign w:val="superscript"/>
        </w:rPr>
        <w:footnoteRef/>
      </w:r>
      <w:r>
        <w:rPr>
          <w:sz w:val="18"/>
          <w:szCs w:val="18"/>
        </w:rPr>
        <w:t xml:space="preserve"> MDPI. https://www.mdpi.com/2218-6581/15/4/80</w:t>
      </w:r>
      <w:bookmarkEnd w:id="10030"/>
    </w:p>
  </w:footnote>
  <w:footnote w:id="31">
    <w:p>
      <w:pPr>
        <w:pStyle w:val="FootnoteText"/>
        <w:spacing w:before="0" w:after="0" w:line="200" w:lineRule="exact"/>
      </w:pPr>
      <w:bookmarkStart w:id="10031" w:name="_Ref_Footnote_31"/>
      <w:r>
        <w:rPr>
          <w:rStyle w:val="FootnoteReference"/>
          <w:vertAlign w:val="superscript"/>
        </w:rPr>
        <w:footnoteRef/>
      </w:r>
      <w:r>
        <w:rPr>
          <w:sz w:val="18"/>
          <w:szCs w:val="18"/>
        </w:rPr>
        <w:t xml:space="preserve"> towardsai.net. https://pub.towardsai.net/agent-workflow-patterns-beyond-anthropics-playbook-1bd76a48d63d</w:t>
      </w:r>
      <w:bookmarkEnd w:id="10031"/>
    </w:p>
  </w:footnote>
  <w:footnote w:id="32">
    <w:p>
      <w:pPr>
        <w:pStyle w:val="FootnoteText"/>
        <w:spacing w:before="0" w:after="0" w:line="200" w:lineRule="exact"/>
      </w:pPr>
      <w:bookmarkStart w:id="10032" w:name="_Ref_Footnote_32"/>
      <w:r>
        <w:rPr>
          <w:rStyle w:val="FootnoteReference"/>
          <w:vertAlign w:val="superscript"/>
        </w:rPr>
        <w:footnoteRef/>
      </w:r>
      <w:r>
        <w:rPr>
          <w:sz w:val="18"/>
          <w:szCs w:val="18"/>
        </w:rPr>
        <w:t xml:space="preserve"> xtrace.ai. https://xtrace.ai/blog/rag-vs-long-term-memory-ai-agents</w:t>
      </w:r>
      <w:bookmarkEnd w:id="10032"/>
    </w:p>
  </w:footnote>
  <w:footnote w:id="33">
    <w:p>
      <w:pPr>
        <w:pStyle w:val="FootnoteText"/>
        <w:spacing w:before="0" w:after="0" w:line="200" w:lineRule="exact"/>
      </w:pPr>
      <w:bookmarkStart w:id="10033" w:name="_Ref_Footnote_33"/>
      <w:r>
        <w:rPr>
          <w:rStyle w:val="FootnoteReference"/>
          <w:vertAlign w:val="superscript"/>
        </w:rPr>
        <w:footnoteRef/>
      </w:r>
      <w:r>
        <w:rPr>
          <w:sz w:val="18"/>
          <w:szCs w:val="18"/>
        </w:rPr>
        <w:t xml:space="preserve"> Princeton University. https://collaborate.princeton.edu/en/publications/cognitive-architectures-for-language-agents/</w:t>
      </w:r>
      <w:bookmarkEnd w:id="10033"/>
    </w:p>
  </w:footnote>
  <w:footnote w:id="34">
    <w:p>
      <w:pPr>
        <w:pStyle w:val="FootnoteText"/>
        <w:spacing w:before="0" w:after="0" w:line="200" w:lineRule="exact"/>
      </w:pPr>
      <w:bookmarkStart w:id="10034" w:name="_Ref_Footnote_34"/>
      <w:r>
        <w:rPr>
          <w:rStyle w:val="FootnoteReference"/>
          <w:vertAlign w:val="superscript"/>
        </w:rPr>
        <w:footnoteRef/>
      </w:r>
      <w:r>
        <w:rPr>
          <w:sz w:val="18"/>
          <w:szCs w:val="18"/>
        </w:rPr>
        <w:t xml:space="preserve"> ACL Anthology. https://aclanthology.org/2026.acl-long.584/</w:t>
      </w:r>
      <w:bookmarkEnd w:id="10034"/>
    </w:p>
  </w:footnote>
  <w:footnote w:id="35">
    <w:p>
      <w:pPr>
        <w:pStyle w:val="FootnoteText"/>
        <w:spacing w:before="0" w:after="0" w:line="200" w:lineRule="exact"/>
      </w:pPr>
      <w:bookmarkStart w:id="10035" w:name="_Ref_Footnote_35"/>
      <w:r>
        <w:rPr>
          <w:rStyle w:val="FootnoteReference"/>
          <w:vertAlign w:val="superscript"/>
        </w:rPr>
        <w:footnoteRef/>
      </w:r>
      <w:r>
        <w:rPr>
          <w:sz w:val="18"/>
          <w:szCs w:val="18"/>
        </w:rPr>
        <w:t xml:space="preserve"> OpenReview. https://openreview.net/pdf?id=vAElhFcKW6</w:t>
      </w:r>
      <w:bookmarkEnd w:id="10035"/>
    </w:p>
  </w:footnote>
  <w:footnote w:id="36">
    <w:p>
      <w:pPr>
        <w:pStyle w:val="FootnoteText"/>
        <w:spacing w:before="0" w:after="0" w:line="200" w:lineRule="exact"/>
      </w:pPr>
      <w:bookmarkStart w:id="10036" w:name="_Ref_Footnote_36"/>
      <w:r>
        <w:rPr>
          <w:rStyle w:val="FootnoteReference"/>
          <w:vertAlign w:val="superscript"/>
        </w:rPr>
        <w:footnoteRef/>
      </w:r>
      <w:r>
        <w:rPr>
          <w:sz w:val="18"/>
          <w:szCs w:val="18"/>
        </w:rPr>
        <w:t xml:space="preserve"> arXiv.org. https://arxiv.org/html/2411.03350v1</w:t>
      </w:r>
      <w:bookmarkEnd w:id="10036"/>
    </w:p>
  </w:footnote>
  <w:footnote w:id="37">
    <w:p>
      <w:pPr>
        <w:pStyle w:val="FootnoteText"/>
        <w:spacing w:before="0" w:after="0" w:line="200" w:lineRule="exact"/>
      </w:pPr>
      <w:bookmarkStart w:id="10037" w:name="_Ref_Footnote_37"/>
      <w:r>
        <w:rPr>
          <w:rStyle w:val="FootnoteReference"/>
          <w:vertAlign w:val="superscript"/>
        </w:rPr>
        <w:footnoteRef/>
      </w:r>
      <w:r>
        <w:rPr>
          <w:sz w:val="18"/>
          <w:szCs w:val="18"/>
        </w:rPr>
        <w:t xml:space="preserve"> alphaxiv.org. https://www.alphaxiv.org/overview/2304.11477v3</w:t>
      </w:r>
      <w:bookmarkEnd w:id="10037"/>
    </w:p>
  </w:footnote>
  <w:footnote w:id="38">
    <w:p>
      <w:pPr>
        <w:pStyle w:val="FootnoteText"/>
        <w:spacing w:before="0" w:after="0" w:line="200" w:lineRule="exact"/>
      </w:pPr>
      <w:bookmarkStart w:id="10038" w:name="_Ref_Footnote_38"/>
      <w:r>
        <w:rPr>
          <w:rStyle w:val="FootnoteReference"/>
          <w:vertAlign w:val="superscript"/>
        </w:rPr>
        <w:footnoteRef/>
      </w:r>
      <w:r>
        <w:rPr>
          <w:sz w:val="18"/>
          <w:szCs w:val="18"/>
        </w:rPr>
        <w:t xml:space="preserve"> Dataiku. https://www.dataiku.com/stories/blog/single-agent-vs-multi-agent-systems</w:t>
      </w:r>
      <w:bookmarkEnd w:id="10038"/>
    </w:p>
  </w:footnote>
  <w:footnote w:id="39">
    <w:p>
      <w:pPr>
        <w:pStyle w:val="FootnoteText"/>
        <w:spacing w:before="0" w:after="0" w:line="200" w:lineRule="exact"/>
      </w:pPr>
      <w:bookmarkStart w:id="10039" w:name="_Ref_Footnote_39"/>
      <w:r>
        <w:rPr>
          <w:rStyle w:val="FootnoteReference"/>
          <w:vertAlign w:val="superscript"/>
        </w:rPr>
        <w:footnoteRef/>
      </w:r>
      <w:r>
        <w:rPr>
          <w:sz w:val="18"/>
          <w:szCs w:val="18"/>
        </w:rPr>
        <w:t xml:space="preserve"> promptingguide.ai. https://www.promptingguide.ai/techniques/reflexion</w:t>
      </w:r>
      <w:bookmarkEnd w:id="10039"/>
    </w:p>
  </w:footnote>
  <w:footnote w:id="40">
    <w:p>
      <w:pPr>
        <w:pStyle w:val="FootnoteText"/>
        <w:spacing w:before="0" w:after="0" w:line="200" w:lineRule="exact"/>
      </w:pPr>
      <w:bookmarkStart w:id="10040" w:name="_Ref_Footnote_40"/>
      <w:r>
        <w:rPr>
          <w:rStyle w:val="FootnoteReference"/>
          <w:vertAlign w:val="superscript"/>
        </w:rPr>
        <w:footnoteRef/>
      </w:r>
      <w:r>
        <w:rPr>
          <w:sz w:val="18"/>
          <w:szCs w:val="18"/>
        </w:rPr>
        <w:t xml:space="preserve"> OpenReview. https://openreview.net/forum?id=ile0LpN25y&amp;referrer=%5Bthe%20profile%20of%20Heng%20Ji%5D(%2Fprofile%3Fid%3D~Heng_Ji3)</w:t>
      </w:r>
      <w:bookmarkEnd w:id="10040"/>
    </w:p>
  </w:footnote>
  <w:footnote w:id="41">
    <w:p>
      <w:pPr>
        <w:pStyle w:val="FootnoteText"/>
        <w:spacing w:before="0" w:after="0" w:line="200" w:lineRule="exact"/>
      </w:pPr>
      <w:bookmarkStart w:id="10041" w:name="_Ref_Footnote_41"/>
      <w:r>
        <w:rPr>
          <w:rStyle w:val="FootnoteReference"/>
          <w:vertAlign w:val="superscript"/>
        </w:rPr>
        <w:footnoteRef/>
      </w:r>
      <w:r>
        <w:rPr>
          <w:sz w:val="18"/>
          <w:szCs w:val="18"/>
        </w:rPr>
        <w:t xml:space="preserve"> arXiv.org. https://arxiv.org/pdf/2508.07935</w:t>
      </w:r>
      <w:bookmarkEnd w:id="10041"/>
    </w:p>
  </w:footnote>
  <w:footnote w:id="42">
    <w:p>
      <w:pPr>
        <w:pStyle w:val="FootnoteText"/>
        <w:spacing w:before="0" w:after="0" w:line="200" w:lineRule="exact"/>
      </w:pPr>
      <w:bookmarkStart w:id="10042" w:name="_Ref_Footnote_42"/>
      <w:r>
        <w:rPr>
          <w:rStyle w:val="FootnoteReference"/>
          <w:vertAlign w:val="superscript"/>
        </w:rPr>
        <w:footnoteRef/>
      </w:r>
      <w:r>
        <w:rPr>
          <w:sz w:val="18"/>
          <w:szCs w:val="18"/>
        </w:rPr>
        <w:t xml:space="preserve"> arXiv.org. https://arxiv.org/html/2605.13850v1</w:t>
      </w:r>
      <w:bookmarkEnd w:id="10042"/>
    </w:p>
  </w:footnote>
  <w:footnote w:id="43">
    <w:p>
      <w:pPr>
        <w:pStyle w:val="FootnoteText"/>
        <w:spacing w:before="0" w:after="0" w:line="200" w:lineRule="exact"/>
      </w:pPr>
      <w:bookmarkStart w:id="10043" w:name="_Ref_Footnote_43"/>
      <w:r>
        <w:rPr>
          <w:rStyle w:val="FootnoteReference"/>
          <w:vertAlign w:val="superscript"/>
        </w:rPr>
        <w:footnoteRef/>
      </w:r>
      <w:r>
        <w:rPr>
          <w:sz w:val="18"/>
          <w:szCs w:val="18"/>
        </w:rPr>
        <w:t xml:space="preserve"> Medium. https://medium.com/@rajib.bisoi/agentic-ai-workflow-architecture-00683ca5112e</w:t>
      </w:r>
      <w:bookmarkEnd w:id="10043"/>
    </w:p>
  </w:footnote>
  <w:footnote w:id="44">
    <w:p>
      <w:pPr>
        <w:pStyle w:val="FootnoteText"/>
        <w:spacing w:before="0" w:after="0" w:line="200" w:lineRule="exact"/>
      </w:pPr>
      <w:bookmarkStart w:id="10044" w:name="_Ref_Footnote_44"/>
      <w:r>
        <w:rPr>
          <w:rStyle w:val="FootnoteReference"/>
          <w:vertAlign w:val="superscript"/>
        </w:rPr>
        <w:footnoteRef/>
      </w:r>
      <w:r>
        <w:rPr>
          <w:sz w:val="18"/>
          <w:szCs w:val="18"/>
        </w:rPr>
        <w:t xml:space="preserve"> Medium. https://medium.com/@vikram40441/implementing-reflexion-language-agents-with-verbal-reinforcement-learning-e4cb300278b6</w:t>
      </w:r>
      <w:bookmarkEnd w:id="10044"/>
    </w:p>
  </w:footnote>
  <w:footnote w:id="45">
    <w:p>
      <w:pPr>
        <w:pStyle w:val="FootnoteText"/>
        <w:spacing w:before="0" w:after="0" w:line="200" w:lineRule="exact"/>
      </w:pPr>
      <w:bookmarkStart w:id="10045" w:name="_Ref_Footnote_45"/>
      <w:r>
        <w:rPr>
          <w:rStyle w:val="FootnoteReference"/>
          <w:vertAlign w:val="superscript"/>
        </w:rPr>
        <w:footnoteRef/>
      </w:r>
      <w:r>
        <w:rPr>
          <w:sz w:val="18"/>
          <w:szCs w:val="18"/>
        </w:rPr>
        <w:t xml:space="preserve"> arXiv.org. https://arxiv.org/abs/2305.18323</w:t>
      </w:r>
      <w:bookmarkEnd w:id="10045"/>
    </w:p>
  </w:footnote>
  <w:footnote w:id="46">
    <w:p>
      <w:pPr>
        <w:pStyle w:val="FootnoteText"/>
        <w:spacing w:before="0" w:after="0" w:line="200" w:lineRule="exact"/>
      </w:pPr>
      <w:bookmarkStart w:id="10046" w:name="_Ref_Footnote_46"/>
      <w:r>
        <w:rPr>
          <w:rStyle w:val="FootnoteReference"/>
          <w:vertAlign w:val="superscript"/>
        </w:rPr>
        <w:footnoteRef/>
      </w:r>
      <w:r>
        <w:rPr>
          <w:sz w:val="18"/>
          <w:szCs w:val="18"/>
        </w:rPr>
        <w:t xml:space="preserve"> RAG. https://www.kore.ai/blog/agentic-architecture-blueprint-for-intelligent-enterprise</w:t>
      </w:r>
      <w:bookmarkEnd w:id="10046"/>
    </w:p>
  </w:footnote>
  <w:footnote w:id="47">
    <w:p>
      <w:pPr>
        <w:pStyle w:val="FootnoteText"/>
        <w:spacing w:before="0" w:after="0" w:line="200" w:lineRule="exact"/>
      </w:pPr>
      <w:bookmarkStart w:id="10047" w:name="_Ref_Footnote_47"/>
      <w:r>
        <w:rPr>
          <w:rStyle w:val="FootnoteReference"/>
          <w:vertAlign w:val="superscript"/>
        </w:rPr>
        <w:footnoteRef/>
      </w:r>
      <w:r>
        <w:rPr>
          <w:sz w:val="18"/>
          <w:szCs w:val="18"/>
        </w:rPr>
        <w:t xml:space="preserve"> RAG. https://www.kore.ai/blog/as-needed-decomposition-planning-using-large-language-models----adapt</w:t>
      </w:r>
      <w:bookmarkEnd w:id="10047"/>
    </w:p>
  </w:footnote>
  <w:footnote w:id="48">
    <w:p>
      <w:pPr>
        <w:pStyle w:val="FootnoteText"/>
        <w:spacing w:before="0" w:after="0" w:line="200" w:lineRule="exact"/>
      </w:pPr>
      <w:bookmarkStart w:id="10048" w:name="_Ref_Footnote_48"/>
      <w:r>
        <w:rPr>
          <w:rStyle w:val="FootnoteReference"/>
          <w:vertAlign w:val="superscript"/>
        </w:rPr>
        <w:footnoteRef/>
      </w:r>
      <w:r>
        <w:rPr>
          <w:sz w:val="18"/>
          <w:szCs w:val="18"/>
        </w:rPr>
        <w:t xml:space="preserve"> Medium. https://medium.com/@tahirbalarabe2/understanding-agentic-memory-in-ai-systems-f0c89269213b</w:t>
      </w:r>
      <w:bookmarkEnd w:id="10048"/>
    </w:p>
  </w:footnote>
  <w:footnote w:id="49">
    <w:p>
      <w:pPr>
        <w:pStyle w:val="FootnoteText"/>
        <w:spacing w:before="0" w:after="0" w:line="200" w:lineRule="exact"/>
      </w:pPr>
      <w:bookmarkStart w:id="10049" w:name="_Ref_Footnote_49"/>
      <w:r>
        <w:rPr>
          <w:rStyle w:val="FootnoteReference"/>
          <w:vertAlign w:val="superscript"/>
        </w:rPr>
        <w:footnoteRef/>
      </w:r>
      <w:r>
        <w:rPr>
          <w:sz w:val="18"/>
          <w:szCs w:val="18"/>
        </w:rPr>
        <w:t xml:space="preserve"> MarkTechPost. https://www.marktechpost.com/2026/06/21/the-7-types-of-agent-memory-a-technical-guide-for-ai-engineers/</w:t>
      </w:r>
      <w:bookmarkEnd w:id="10049"/>
    </w:p>
  </w:footnote>
  <w:footnote w:id="50">
    <w:p>
      <w:pPr>
        <w:pStyle w:val="FootnoteText"/>
        <w:spacing w:before="0" w:after="0" w:line="200" w:lineRule="exact"/>
      </w:pPr>
      <w:bookmarkStart w:id="10050" w:name="_Ref_Footnote_50"/>
      <w:r>
        <w:rPr>
          <w:rStyle w:val="FootnoteReference"/>
          <w:vertAlign w:val="superscript"/>
        </w:rPr>
        <w:footnoteRef/>
      </w:r>
      <w:r>
        <w:rPr>
          <w:sz w:val="18"/>
          <w:szCs w:val="18"/>
        </w:rPr>
        <w:t xml:space="preserve"> Exabeam. https://www.exabeam.com/explainers/agentic-ai/agentic-ai-architecture-types-components-best-practices/</w:t>
      </w:r>
      <w:bookmarkEnd w:id="10050"/>
    </w:p>
  </w:footnote>
  <w:footnote w:id="51">
    <w:p>
      <w:pPr>
        <w:pStyle w:val="FootnoteText"/>
        <w:spacing w:before="0" w:after="0" w:line="200" w:lineRule="exact"/>
      </w:pPr>
      <w:bookmarkStart w:id="10051" w:name="_Ref_Footnote_51"/>
      <w:r>
        <w:rPr>
          <w:rStyle w:val="FootnoteReference"/>
          <w:vertAlign w:val="superscript"/>
        </w:rPr>
        <w:footnoteRef/>
      </w:r>
      <w:r>
        <w:rPr>
          <w:sz w:val="18"/>
          <w:szCs w:val="18"/>
        </w:rPr>
        <w:t xml:space="preserve"> Anthropic. https://www.anthropic.com/research/building-effective-agents</w:t>
      </w:r>
      <w:bookmarkEnd w:id="10051"/>
    </w:p>
  </w:footnote>
  <w:footnote w:id="52">
    <w:p>
      <w:pPr>
        <w:pStyle w:val="FootnoteText"/>
        <w:spacing w:before="0" w:after="0" w:line="200" w:lineRule="exact"/>
      </w:pPr>
      <w:bookmarkStart w:id="10052" w:name="_Ref_Footnote_52"/>
      <w:r>
        <w:rPr>
          <w:rStyle w:val="FootnoteReference"/>
          <w:vertAlign w:val="superscript"/>
        </w:rPr>
        <w:footnoteRef/>
      </w:r>
      <w:r>
        <w:rPr>
          <w:sz w:val="18"/>
          <w:szCs w:val="18"/>
        </w:rPr>
        <w:t xml:space="preserve"> ACL Anthology. https://aclanthology.org/2024.findings-naacl.264/</w:t>
      </w:r>
      <w:bookmarkEnd w:id="10052"/>
    </w:p>
  </w:footnote>
  <w:footnote w:id="53">
    <w:p>
      <w:pPr>
        <w:pStyle w:val="FootnoteText"/>
        <w:spacing w:before="0" w:after="0" w:line="200" w:lineRule="exact"/>
      </w:pPr>
      <w:bookmarkStart w:id="10053" w:name="_Ref_Footnote_53"/>
      <w:r>
        <w:rPr>
          <w:rStyle w:val="FootnoteReference"/>
          <w:vertAlign w:val="superscript"/>
        </w:rPr>
        <w:footnoteRef/>
      </w:r>
      <w:r>
        <w:rPr>
          <w:sz w:val="18"/>
          <w:szCs w:val="18"/>
        </w:rPr>
        <w:t xml:space="preserve"> ACM Digital Library. https://dl.acm.org/doi/10.5555/3737916.3738833</w:t>
      </w:r>
      <w:bookmarkEnd w:id="10053"/>
    </w:p>
  </w:footnote>
  <w:footnote w:id="54">
    <w:p>
      <w:pPr>
        <w:pStyle w:val="FootnoteText"/>
        <w:spacing w:before="0" w:after="0" w:line="200" w:lineRule="exact"/>
      </w:pPr>
      <w:bookmarkStart w:id="10054" w:name="_Ref_Footnote_54"/>
      <w:r>
        <w:rPr>
          <w:rStyle w:val="FootnoteReference"/>
          <w:vertAlign w:val="superscript"/>
        </w:rPr>
        <w:footnoteRef/>
      </w:r>
      <w:r>
        <w:rPr>
          <w:sz w:val="18"/>
          <w:szCs w:val="18"/>
        </w:rPr>
        <w:t xml:space="preserve"> Emergent Mind. https://www.emergentmind.com/topics/bdi-architectures</w:t>
      </w:r>
      <w:bookmarkEnd w:id="10054"/>
    </w:p>
  </w:footnote>
  <w:footnote w:id="55">
    <w:p>
      <w:pPr>
        <w:pStyle w:val="FootnoteText"/>
        <w:spacing w:before="0" w:after="0" w:line="200" w:lineRule="exact"/>
      </w:pPr>
      <w:bookmarkStart w:id="10055" w:name="_Ref_Footnote_55"/>
      <w:r>
        <w:rPr>
          <w:rStyle w:val="FootnoteReference"/>
          <w:vertAlign w:val="superscript"/>
        </w:rPr>
        <w:footnoteRef/>
      </w:r>
      <w:r>
        <w:rPr>
          <w:sz w:val="18"/>
          <w:szCs w:val="18"/>
        </w:rPr>
        <w:t xml:space="preserve"> Databricks. https://www.databricks.com/blog/what-are-large-language-models</w:t>
      </w:r>
      <w:bookmarkEnd w:id="10055"/>
    </w:p>
  </w:footnote>
  <w:footnote w:id="56">
    <w:p>
      <w:pPr>
        <w:pStyle w:val="FootnoteText"/>
        <w:spacing w:before="0" w:after="0" w:line="200" w:lineRule="exact"/>
      </w:pPr>
      <w:bookmarkStart w:id="10056" w:name="_Ref_Footnote_56"/>
      <w:r>
        <w:rPr>
          <w:rStyle w:val="FootnoteReference"/>
          <w:vertAlign w:val="superscript"/>
        </w:rPr>
        <w:footnoteRef/>
      </w:r>
      <w:r>
        <w:rPr>
          <w:sz w:val="18"/>
          <w:szCs w:val="18"/>
        </w:rPr>
        <w:t xml:space="preserve"> arXiv.org. https://arxiv.org/abs/2311.05772</w:t>
      </w:r>
      <w:bookmarkEnd w:id="10056"/>
    </w:p>
  </w:footnote>
  <w:footnote w:id="57">
    <w:p>
      <w:pPr>
        <w:pStyle w:val="FootnoteText"/>
        <w:spacing w:before="0" w:after="0" w:line="200" w:lineRule="exact"/>
      </w:pPr>
      <w:bookmarkStart w:id="10057" w:name="_Ref_Footnote_57"/>
      <w:r>
        <w:rPr>
          <w:rStyle w:val="FootnoteReference"/>
          <w:vertAlign w:val="superscript"/>
        </w:rPr>
        <w:footnoteRef/>
      </w:r>
      <w:r>
        <w:rPr>
          <w:sz w:val="18"/>
          <w:szCs w:val="18"/>
        </w:rPr>
        <w:t xml:space="preserve"> OpenReview. https://openreview.net/forum?id=vAElhFcKW6</w:t>
      </w:r>
      <w:bookmarkEnd w:id="10057"/>
    </w:p>
  </w:footnote>
  <w:footnote w:id="58">
    <w:p>
      <w:pPr>
        <w:pStyle w:val="FootnoteText"/>
        <w:spacing w:before="0" w:after="0" w:line="200" w:lineRule="exact"/>
      </w:pPr>
      <w:bookmarkStart w:id="10058" w:name="_Ref_Footnote_58"/>
      <w:r>
        <w:rPr>
          <w:rStyle w:val="FootnoteReference"/>
          <w:vertAlign w:val="superscript"/>
        </w:rPr>
        <w:footnoteRef/>
      </w:r>
      <w:r>
        <w:rPr>
          <w:sz w:val="18"/>
          <w:szCs w:val="18"/>
        </w:rPr>
        <w:t xml:space="preserve"> Mandya Edition. https://capabl.in/blog/agentic-ai-design-patterns-react-rewoo-codeact-and-beyond</w:t>
      </w:r>
      <w:bookmarkEnd w:id="10058"/>
    </w:p>
  </w:footnote>
  <w:footnote w:id="59">
    <w:p>
      <w:pPr>
        <w:pStyle w:val="FootnoteText"/>
        <w:spacing w:before="0" w:after="0" w:line="200" w:lineRule="exact"/>
      </w:pPr>
      <w:bookmarkStart w:id="10059" w:name="_Ref_Footnote_59"/>
      <w:r>
        <w:rPr>
          <w:rStyle w:val="FootnoteReference"/>
          <w:vertAlign w:val="superscript"/>
        </w:rPr>
        <w:footnoteRef/>
      </w:r>
      <w:r>
        <w:rPr>
          <w:sz w:val="18"/>
          <w:szCs w:val="18"/>
        </w:rPr>
        <w:t xml:space="preserve"> IBM. https://www.ibm.com/think/topics/rewoo</w:t>
      </w:r>
      <w:bookmarkEnd w:id="10059"/>
    </w:p>
  </w:footnote>
  <w:footnote w:id="60">
    <w:p>
      <w:pPr>
        <w:pStyle w:val="FootnoteText"/>
        <w:spacing w:before="0" w:after="0" w:line="200" w:lineRule="exact"/>
      </w:pPr>
      <w:bookmarkStart w:id="10060" w:name="_Ref_Footnote_60"/>
      <w:r>
        <w:rPr>
          <w:rStyle w:val="FootnoteReference"/>
          <w:vertAlign w:val="superscript"/>
        </w:rPr>
        <w:footnoteRef/>
      </w:r>
      <w:r>
        <w:rPr>
          <w:sz w:val="18"/>
          <w:szCs w:val="18"/>
        </w:rPr>
        <w:t xml:space="preserve"> zbrain.ai. https://zbrain.ai/stateful-architecture-for-agentic-ai-systems/</w:t>
      </w:r>
      <w:bookmarkEnd w:id="10060"/>
    </w:p>
  </w:footnote>
  <w:footnote w:id="61">
    <w:p>
      <w:pPr>
        <w:pStyle w:val="FootnoteText"/>
        <w:spacing w:before="0" w:after="0" w:line="200" w:lineRule="exact"/>
      </w:pPr>
      <w:bookmarkStart w:id="10061" w:name="_Ref_Footnote_61"/>
      <w:r>
        <w:rPr>
          <w:rStyle w:val="FootnoteReference"/>
          <w:vertAlign w:val="superscript"/>
        </w:rPr>
        <w:footnoteRef/>
      </w:r>
      <w:r>
        <w:rPr>
          <w:sz w:val="18"/>
          <w:szCs w:val="18"/>
        </w:rPr>
        <w:t xml:space="preserve"> VAST Data. https://www.vastdata.com/blog/agentic-ai-vs-generative-ai</w:t>
      </w:r>
      <w:bookmarkEnd w:id="10061"/>
    </w:p>
  </w:footnote>
  <w:footnote w:id="62">
    <w:p>
      <w:pPr>
        <w:pStyle w:val="FootnoteText"/>
        <w:spacing w:before="0" w:after="0" w:line="200" w:lineRule="exact"/>
      </w:pPr>
      <w:bookmarkStart w:id="10062" w:name="_Ref_Footnote_62"/>
      <w:r>
        <w:rPr>
          <w:rStyle w:val="FootnoteReference"/>
          <w:vertAlign w:val="superscript"/>
        </w:rPr>
        <w:footnoteRef/>
      </w:r>
      <w:r>
        <w:rPr>
          <w:sz w:val="18"/>
          <w:szCs w:val="18"/>
        </w:rPr>
        <w:t xml:space="preserve"> rotmandigital.ca. https://rotmandigital.ca/wp-content/uploads/2024/09/Cognitive-Architectures-for-Language-Agents.pdf</w:t>
      </w:r>
      <w:bookmarkEnd w:id="10062"/>
    </w:p>
  </w:footnote>
  <w:footnote w:id="63">
    <w:p>
      <w:pPr>
        <w:pStyle w:val="FootnoteText"/>
        <w:spacing w:before="0" w:after="0" w:line="200" w:lineRule="exact"/>
      </w:pPr>
      <w:bookmarkStart w:id="10063" w:name="_Ref_Footnote_63"/>
      <w:r>
        <w:rPr>
          <w:rStyle w:val="FootnoteReference"/>
          <w:vertAlign w:val="superscript"/>
        </w:rPr>
        <w:footnoteRef/>
      </w:r>
      <w:r>
        <w:rPr>
          <w:sz w:val="18"/>
          <w:szCs w:val="18"/>
        </w:rPr>
        <w:t xml:space="preserve"> shishirpatil.github.io. https://shishirpatil.github.io/publications/memgpt-2023.pdf</w:t>
      </w:r>
      <w:bookmarkEnd w:id="10063"/>
    </w:p>
  </w:footnote>
  <w:footnote w:id="64">
    <w:p>
      <w:pPr>
        <w:pStyle w:val="FootnoteText"/>
        <w:spacing w:before="0" w:after="0" w:line="200" w:lineRule="exact"/>
      </w:pPr>
      <w:bookmarkStart w:id="10064" w:name="_Ref_Footnote_64"/>
      <w:r>
        <w:rPr>
          <w:rStyle w:val="FootnoteReference"/>
          <w:vertAlign w:val="superscript"/>
        </w:rPr>
        <w:footnoteRef/>
      </w:r>
      <w:r>
        <w:rPr>
          <w:sz w:val="18"/>
          <w:szCs w:val="18"/>
        </w:rPr>
        <w:t xml:space="preserve"> Leonie Monigatti. https://www.leoniemonigatti.com/papers/memgpt.html</w:t>
      </w:r>
      <w:bookmarkEnd w:id="10064"/>
    </w:p>
  </w:footnote>
  <w:footnote w:id="65">
    <w:p>
      <w:pPr>
        <w:pStyle w:val="FootnoteText"/>
        <w:spacing w:before="0" w:after="0" w:line="200" w:lineRule="exact"/>
      </w:pPr>
      <w:bookmarkStart w:id="10065" w:name="_Ref_Footnote_65"/>
      <w:r>
        <w:rPr>
          <w:rStyle w:val="FootnoteReference"/>
          <w:vertAlign w:val="superscript"/>
        </w:rPr>
        <w:footnoteRef/>
      </w:r>
      <w:r>
        <w:rPr>
          <w:sz w:val="18"/>
          <w:szCs w:val="18"/>
        </w:rPr>
        <w:t xml:space="preserve"> arXiv.org. https://arxiv.org/html/2603.11445v1</w:t>
      </w:r>
      <w:bookmarkEnd w:id="10065"/>
    </w:p>
  </w:footnote>
  <w:footnote w:id="66">
    <w:p>
      <w:pPr>
        <w:pStyle w:val="FootnoteText"/>
        <w:spacing w:before="0" w:after="0" w:line="200" w:lineRule="exact"/>
      </w:pPr>
      <w:bookmarkStart w:id="10066" w:name="_Ref_Footnote_66"/>
      <w:r>
        <w:rPr>
          <w:rStyle w:val="FootnoteReference"/>
          <w:vertAlign w:val="superscript"/>
        </w:rPr>
        <w:footnoteRef/>
      </w:r>
      <w:r>
        <w:rPr>
          <w:sz w:val="18"/>
          <w:szCs w:val="18"/>
        </w:rPr>
        <w:t xml:space="preserve"> arXiv.org. https://arxiv.org/abs/2303.11366</w:t>
      </w:r>
      <w:bookmarkEnd w:id="10066"/>
    </w:p>
  </w:footnote>
  <w:footnote w:id="67">
    <w:p>
      <w:pPr>
        <w:pStyle w:val="FootnoteText"/>
        <w:spacing w:before="0" w:after="0" w:line="200" w:lineRule="exact"/>
      </w:pPr>
      <w:bookmarkStart w:id="10067" w:name="_Ref_Footnote_67"/>
      <w:r>
        <w:rPr>
          <w:rStyle w:val="FootnoteReference"/>
          <w:vertAlign w:val="superscript"/>
        </w:rPr>
        <w:footnoteRef/>
      </w:r>
      <w:r>
        <w:rPr>
          <w:sz w:val="18"/>
          <w:szCs w:val="18"/>
        </w:rPr>
        <w:t xml:space="preserve"> arXiv.org. https://arxiv.org/abs/2305.16291</w:t>
      </w:r>
      <w:bookmarkEnd w:id="10067"/>
    </w:p>
  </w:footnote>
  <w:footnote w:id="68">
    <w:p>
      <w:pPr>
        <w:pStyle w:val="FootnoteText"/>
        <w:spacing w:before="0" w:after="0" w:line="200" w:lineRule="exact"/>
      </w:pPr>
      <w:bookmarkStart w:id="10068" w:name="_Ref_Footnote_68"/>
      <w:r>
        <w:rPr>
          <w:rStyle w:val="FootnoteReference"/>
          <w:vertAlign w:val="superscript"/>
        </w:rPr>
        <w:footnoteRef/>
      </w:r>
      <w:r>
        <w:rPr>
          <w:sz w:val="18"/>
          <w:szCs w:val="18"/>
        </w:rPr>
        <w:t xml:space="preserve"> latenode.com. https://latenode.com/blog/ai-frameworks-technical-infrastructure/langgraph-multi-agent-orchestration/langgraph-multi-agent-orchestration-complete-framework-guide-architecture-analysis-2025</w:t>
      </w:r>
      <w:bookmarkEnd w:id="10068"/>
    </w:p>
  </w:footnote>
  <w:footnote w:id="69">
    <w:p>
      <w:pPr>
        <w:pStyle w:val="FootnoteText"/>
        <w:spacing w:before="0" w:after="0" w:line="200" w:lineRule="exact"/>
      </w:pPr>
      <w:bookmarkStart w:id="10069" w:name="_Ref_Footnote_69"/>
      <w:r>
        <w:rPr>
          <w:rStyle w:val="FootnoteReference"/>
          <w:vertAlign w:val="superscript"/>
        </w:rPr>
        <w:footnoteRef/>
      </w:r>
      <w:r>
        <w:rPr>
          <w:sz w:val="18"/>
          <w:szCs w:val="18"/>
        </w:rPr>
        <w:t xml:space="preserve"> agility-at-scale.com. https://agility-at-scale.com/ai/architecture/three-tier-agentic-ai-architecture-framework/</w:t>
      </w:r>
      <w:bookmarkEnd w:id="10069"/>
    </w:p>
  </w:footnote>
  <w:footnote w:id="70">
    <w:p>
      <w:pPr>
        <w:pStyle w:val="FootnoteText"/>
        <w:spacing w:before="0" w:after="0" w:line="200" w:lineRule="exact"/>
      </w:pPr>
      <w:bookmarkStart w:id="10070" w:name="_Ref_Footnote_70"/>
      <w:r>
        <w:rPr>
          <w:rStyle w:val="FootnoteReference"/>
          <w:vertAlign w:val="superscript"/>
        </w:rPr>
        <w:footnoteRef/>
      </w:r>
      <w:r>
        <w:rPr>
          <w:sz w:val="18"/>
          <w:szCs w:val="18"/>
        </w:rPr>
        <w:t xml:space="preserve"> DuploCloud. https://duplocloud.com/blog/langchain-vs-langgraph/</w:t>
      </w:r>
      <w:bookmarkEnd w:id="10070"/>
    </w:p>
  </w:footnote>
  <w:footnote w:id="71">
    <w:p>
      <w:pPr>
        <w:pStyle w:val="FootnoteText"/>
        <w:spacing w:before="0" w:after="0" w:line="200" w:lineRule="exact"/>
      </w:pPr>
      <w:bookmarkStart w:id="10071" w:name="_Ref_Footnote_71"/>
      <w:r>
        <w:rPr>
          <w:rStyle w:val="FootnoteReference"/>
          <w:vertAlign w:val="superscript"/>
        </w:rPr>
        <w:footnoteRef/>
      </w:r>
      <w:r>
        <w:rPr>
          <w:sz w:val="18"/>
          <w:szCs w:val="18"/>
        </w:rPr>
        <w:t xml:space="preserve"> Github. https://github.com/langchain-ai/langgraph</w:t>
      </w:r>
      <w:bookmarkEnd w:id="10071"/>
    </w:p>
  </w:footnote>
  <w:footnote w:id="72">
    <w:p>
      <w:pPr>
        <w:pStyle w:val="FootnoteText"/>
        <w:spacing w:before="0" w:after="0" w:line="200" w:lineRule="exact"/>
      </w:pPr>
      <w:bookmarkStart w:id="10072" w:name="_Ref_Footnote_72"/>
      <w:r>
        <w:rPr>
          <w:rStyle w:val="FootnoteReference"/>
          <w:vertAlign w:val="superscript"/>
        </w:rPr>
        <w:footnoteRef/>
      </w:r>
      <w:r>
        <w:rPr>
          <w:sz w:val="18"/>
          <w:szCs w:val="18"/>
        </w:rPr>
        <w:t xml:space="preserve"> Techsy. https://techsy.io/en/blog/langgraph-vs-crewai-vs-openai-agents-sdk</w:t>
      </w:r>
      <w:bookmarkEnd w:id="10072"/>
    </w:p>
  </w:footnote>
  <w:footnote w:id="73">
    <w:p>
      <w:pPr>
        <w:pStyle w:val="FootnoteText"/>
        <w:spacing w:before="0" w:after="0" w:line="200" w:lineRule="exact"/>
      </w:pPr>
      <w:bookmarkStart w:id="10073" w:name="_Ref_Footnote_73"/>
      <w:r>
        <w:rPr>
          <w:rStyle w:val="FootnoteReference"/>
          <w:vertAlign w:val="superscript"/>
        </w:rPr>
        <w:footnoteRef/>
      </w:r>
      <w:r>
        <w:rPr>
          <w:sz w:val="18"/>
          <w:szCs w:val="18"/>
        </w:rPr>
        <w:t xml:space="preserve"> crewai.com. https://docs.crewai.com/v1.14.7/en/concepts/processes</w:t>
      </w:r>
      <w:bookmarkEnd w:id="10073"/>
    </w:p>
  </w:footnote>
  <w:footnote w:id="74">
    <w:p>
      <w:pPr>
        <w:pStyle w:val="FootnoteText"/>
        <w:spacing w:before="0" w:after="0" w:line="200" w:lineRule="exact"/>
      </w:pPr>
      <w:bookmarkStart w:id="10074" w:name="_Ref_Footnote_74"/>
      <w:r>
        <w:rPr>
          <w:rStyle w:val="FootnoteReference"/>
          <w:vertAlign w:val="superscript"/>
        </w:rPr>
        <w:footnoteRef/>
      </w:r>
      <w:r>
        <w:rPr>
          <w:sz w:val="18"/>
          <w:szCs w:val="18"/>
        </w:rPr>
        <w:t xml:space="preserve"> particula.tech. https://particula.tech/blog/langgraph-vs-crewai-vs-openai-agents-sdk-2026</w:t>
      </w:r>
      <w:bookmarkEnd w:id="10074"/>
    </w:p>
  </w:footnote>
  <w:footnote w:id="75">
    <w:p>
      <w:pPr>
        <w:pStyle w:val="FootnoteText"/>
        <w:spacing w:before="0" w:after="0" w:line="200" w:lineRule="exact"/>
      </w:pPr>
      <w:bookmarkStart w:id="10075" w:name="_Ref_Footnote_75"/>
      <w:r>
        <w:rPr>
          <w:rStyle w:val="FootnoteReference"/>
          <w:vertAlign w:val="superscript"/>
        </w:rPr>
        <w:footnoteRef/>
      </w:r>
      <w:r>
        <w:rPr>
          <w:sz w:val="18"/>
          <w:szCs w:val="18"/>
        </w:rPr>
        <w:t xml:space="preserve"> openai.github.io. https://openai.github.io/openai-agents-python/multi_agent/</w:t>
      </w:r>
      <w:bookmarkEnd w:id="10075"/>
    </w:p>
  </w:footnote>
  <w:footnote w:id="76">
    <w:p>
      <w:pPr>
        <w:pStyle w:val="FootnoteText"/>
        <w:spacing w:before="0" w:after="0" w:line="200" w:lineRule="exact"/>
      </w:pPr>
      <w:bookmarkStart w:id="10076" w:name="_Ref_Footnote_76"/>
      <w:r>
        <w:rPr>
          <w:rStyle w:val="FootnoteReference"/>
          <w:vertAlign w:val="superscript"/>
        </w:rPr>
        <w:footnoteRef/>
      </w:r>
      <w:r>
        <w:rPr>
          <w:sz w:val="18"/>
          <w:szCs w:val="18"/>
        </w:rPr>
        <w:t xml:space="preserve"> Medium. https://medium.com/@gareth.hallberg_55290/routing-pattern-for-agentic-ai-with-the-openai-agents-sdk-c0d529c45c57</w:t>
      </w:r>
      <w:bookmarkEnd w:id="10076"/>
    </w:p>
  </w:footnote>
  <w:footnote w:id="77">
    <w:p>
      <w:pPr>
        <w:pStyle w:val="FootnoteText"/>
        <w:spacing w:before="0" w:after="0" w:line="200" w:lineRule="exact"/>
      </w:pPr>
      <w:bookmarkStart w:id="10077" w:name="_Ref_Footnote_77"/>
      <w:r>
        <w:rPr>
          <w:rStyle w:val="FootnoteReference"/>
          <w:vertAlign w:val="superscript"/>
        </w:rPr>
        <w:footnoteRef/>
      </w:r>
      <w:r>
        <w:rPr>
          <w:sz w:val="18"/>
          <w:szCs w:val="18"/>
        </w:rPr>
        <w:t xml:space="preserve"> OpenAI. https://openai.com/business/guides-and-resources/a-practical-guide-to-building-ai-agents/</w:t>
      </w:r>
      <w:bookmarkEnd w:id="10077"/>
    </w:p>
  </w:footnote>
  <w:footnote w:id="78">
    <w:p>
      <w:pPr>
        <w:pStyle w:val="FootnoteText"/>
        <w:spacing w:before="0" w:after="0" w:line="200" w:lineRule="exact"/>
      </w:pPr>
      <w:bookmarkStart w:id="10078" w:name="_Ref_Footnote_78"/>
      <w:r>
        <w:rPr>
          <w:rStyle w:val="FootnoteReference"/>
          <w:vertAlign w:val="superscript"/>
        </w:rPr>
        <w:footnoteRef/>
      </w:r>
      <w:r>
        <w:rPr>
          <w:sz w:val="18"/>
          <w:szCs w:val="18"/>
        </w:rPr>
        <w:t xml:space="preserve"> aurelio.ai. https://www.aurelio.ai/learn/openai-agents-sdk</w:t>
      </w:r>
      <w:bookmarkEnd w:id="10078"/>
    </w:p>
  </w:footnote>
  <w:footnote w:id="79">
    <w:p>
      <w:pPr>
        <w:pStyle w:val="FootnoteText"/>
        <w:spacing w:before="0" w:after="0" w:line="200" w:lineRule="exact"/>
      </w:pPr>
      <w:bookmarkStart w:id="10079" w:name="_Ref_Footnote_79"/>
      <w:r>
        <w:rPr>
          <w:rStyle w:val="FootnoteReference"/>
          <w:vertAlign w:val="superscript"/>
        </w:rPr>
        <w:footnoteRef/>
      </w:r>
      <w:r>
        <w:rPr>
          <w:sz w:val="18"/>
          <w:szCs w:val="18"/>
        </w:rPr>
        <w:t xml:space="preserve"> openai.github.io. https://openai.github.io/openai-agents-python/tracing/</w:t>
      </w:r>
      <w:bookmarkEnd w:id="10079"/>
    </w:p>
  </w:footnote>
  <w:footnote w:id="80">
    <w:p>
      <w:pPr>
        <w:pStyle w:val="FootnoteText"/>
        <w:spacing w:before="0" w:after="0" w:line="200" w:lineRule="exact"/>
      </w:pPr>
      <w:bookmarkStart w:id="10080" w:name="_Ref_Footnote_80"/>
      <w:r>
        <w:rPr>
          <w:rStyle w:val="FootnoteReference"/>
          <w:vertAlign w:val="superscript"/>
        </w:rPr>
        <w:footnoteRef/>
      </w:r>
      <w:r>
        <w:rPr>
          <w:sz w:val="18"/>
          <w:szCs w:val="18"/>
        </w:rPr>
        <w:t xml:space="preserve"> speakeasy.com. https://www.speakeasy.com/blog/ai-agent-framework-comparison</w:t>
      </w:r>
      <w:bookmarkEnd w:id="10080"/>
    </w:p>
  </w:footnote>
  <w:footnote w:id="81">
    <w:p>
      <w:pPr>
        <w:pStyle w:val="FootnoteText"/>
        <w:spacing w:before="0" w:after="0" w:line="200" w:lineRule="exact"/>
      </w:pPr>
      <w:bookmarkStart w:id="10081" w:name="_Ref_Footnote_81"/>
      <w:r>
        <w:rPr>
          <w:rStyle w:val="FootnoteReference"/>
          <w:vertAlign w:val="superscript"/>
        </w:rPr>
        <w:footnoteRef/>
      </w:r>
      <w:r>
        <w:rPr>
          <w:sz w:val="18"/>
          <w:szCs w:val="18"/>
        </w:rPr>
        <w:t xml:space="preserve"> OpenAI API Community Forum. https://community.openai.com/t/help-with-choosing-pattern-for-a-particular-agent-system-use-case/1250584</w:t>
      </w:r>
      <w:bookmarkEnd w:id="10081"/>
    </w:p>
  </w:footnote>
  <w:footnote w:id="82">
    <w:p>
      <w:pPr>
        <w:pStyle w:val="FootnoteText"/>
        <w:spacing w:before="0" w:after="0" w:line="200" w:lineRule="exact"/>
      </w:pPr>
      <w:bookmarkStart w:id="10082" w:name="_Ref_Footnote_82"/>
      <w:r>
        <w:rPr>
          <w:rStyle w:val="FootnoteReference"/>
          <w:vertAlign w:val="superscript"/>
        </w:rPr>
        <w:footnoteRef/>
      </w:r>
      <w:r>
        <w:rPr>
          <w:sz w:val="18"/>
          <w:szCs w:val="18"/>
        </w:rPr>
        <w:t xml:space="preserve"> Google for Developers BlogGoogle for Developers Blog. https://developers.googleblog.com/developers-guide-to-multi-agent-patterns-in-adk/</w:t>
      </w:r>
      <w:bookmarkEnd w:id="10082"/>
    </w:p>
  </w:footnote>
  <w:footnote w:id="83">
    <w:p>
      <w:pPr>
        <w:pStyle w:val="FootnoteText"/>
        <w:spacing w:before="0" w:after="0" w:line="200" w:lineRule="exact"/>
      </w:pPr>
      <w:bookmarkStart w:id="10083" w:name="_Ref_Footnote_83"/>
      <w:r>
        <w:rPr>
          <w:rStyle w:val="FootnoteReference"/>
          <w:vertAlign w:val="superscript"/>
        </w:rPr>
        <w:footnoteRef/>
      </w:r>
      <w:r>
        <w:rPr>
          <w:sz w:val="18"/>
          <w:szCs w:val="18"/>
        </w:rPr>
        <w:t xml:space="preserve"> Medium. https://medium.com/@saeedhajebi/implementing-agentic-architectural-patterns-with-google-adk-75281096de32</w:t>
      </w:r>
      <w:bookmarkEnd w:id="10083"/>
    </w:p>
  </w:footnote>
  <w:footnote w:id="84">
    <w:p>
      <w:pPr>
        <w:pStyle w:val="FootnoteText"/>
        <w:spacing w:before="0" w:after="0" w:line="200" w:lineRule="exact"/>
      </w:pPr>
      <w:bookmarkStart w:id="10084" w:name="_Ref_Footnote_84"/>
      <w:r>
        <w:rPr>
          <w:rStyle w:val="FootnoteReference"/>
          <w:vertAlign w:val="superscript"/>
        </w:rPr>
        <w:footnoteRef/>
      </w:r>
      <w:r>
        <w:rPr>
          <w:sz w:val="18"/>
          <w:szCs w:val="18"/>
        </w:rPr>
        <w:t xml:space="preserve"> Arjun Prabhulal. https://arjunprabhulal.com/adk-multi-agent-systems/</w:t>
      </w:r>
      <w:bookmarkEnd w:id="10084"/>
    </w:p>
  </w:footnote>
  <w:footnote w:id="85">
    <w:p>
      <w:pPr>
        <w:pStyle w:val="FootnoteText"/>
        <w:spacing w:before="0" w:after="0" w:line="200" w:lineRule="exact"/>
      </w:pPr>
      <w:bookmarkStart w:id="10085" w:name="_Ref_Footnote_85"/>
      <w:r>
        <w:rPr>
          <w:rStyle w:val="FootnoteReference"/>
          <w:vertAlign w:val="superscript"/>
        </w:rPr>
        <w:footnoteRef/>
      </w:r>
      <w:r>
        <w:rPr>
          <w:sz w:val="18"/>
          <w:szCs w:val="18"/>
        </w:rPr>
        <w:t xml:space="preserve"> firecrawl.dev. https://www.firecrawl.dev/blog/google-adk-multi-agent-tutorial</w:t>
      </w:r>
      <w:bookmarkEnd w:id="10085"/>
    </w:p>
  </w:footnote>
  <w:footnote w:id="86">
    <w:p>
      <w:pPr>
        <w:pStyle w:val="FootnoteText"/>
        <w:spacing w:before="0" w:after="0" w:line="200" w:lineRule="exact"/>
      </w:pPr>
      <w:bookmarkStart w:id="10086" w:name="_Ref_Footnote_86"/>
      <w:r>
        <w:rPr>
          <w:rStyle w:val="FootnoteReference"/>
          <w:vertAlign w:val="superscript"/>
        </w:rPr>
        <w:footnoteRef/>
      </w:r>
      <w:r>
        <w:rPr>
          <w:sz w:val="18"/>
          <w:szCs w:val="18"/>
        </w:rPr>
        <w:t xml:space="preserve"> DEV Community. https://dev.to/hani__8725b7a/agentic-ai-frameworks-comparison-2025-mcp-agent-langgraph-ag2-pydanticai-crewai-h40</w:t>
      </w:r>
      <w:bookmarkEnd w:id="10086"/>
    </w:p>
  </w:footnote>
  <w:footnote w:id="87">
    <w:p>
      <w:pPr>
        <w:pStyle w:val="FootnoteText"/>
        <w:spacing w:before="0" w:after="0" w:line="200" w:lineRule="exact"/>
      </w:pPr>
      <w:bookmarkStart w:id="10087" w:name="_Ref_Footnote_87"/>
      <w:r>
        <w:rPr>
          <w:rStyle w:val="FootnoteReference"/>
          <w:vertAlign w:val="superscript"/>
        </w:rPr>
        <w:footnoteRef/>
      </w:r>
      <w:r>
        <w:rPr>
          <w:sz w:val="18"/>
          <w:szCs w:val="18"/>
        </w:rPr>
        <w:t xml:space="preserve"> InfoQ. https://www.infoq.com/news/2025/04/agent-development-kit/</w:t>
      </w:r>
      <w:bookmarkEnd w:id="10087"/>
    </w:p>
  </w:footnote>
  <w:footnote w:id="88">
    <w:p>
      <w:pPr>
        <w:pStyle w:val="FootnoteText"/>
        <w:spacing w:before="0" w:after="0" w:line="200" w:lineRule="exact"/>
      </w:pPr>
      <w:bookmarkStart w:id="10088" w:name="_Ref_Footnote_88"/>
      <w:r>
        <w:rPr>
          <w:rStyle w:val="FootnoteReference"/>
          <w:vertAlign w:val="superscript"/>
        </w:rPr>
        <w:footnoteRef/>
      </w:r>
      <w:r>
        <w:rPr>
          <w:sz w:val="18"/>
          <w:szCs w:val="18"/>
        </w:rPr>
        <w:t xml:space="preserve"> LangChain. https://www.langchain.com/resources/ai-agent-frameworks</w:t>
      </w:r>
      <w:bookmarkEnd w:id="10088"/>
    </w:p>
  </w:footnote>
  <w:footnote w:id="89">
    <w:p>
      <w:pPr>
        <w:pStyle w:val="FootnoteText"/>
        <w:spacing w:before="0" w:after="0" w:line="200" w:lineRule="exact"/>
      </w:pPr>
      <w:bookmarkStart w:id="10089" w:name="_Ref_Footnote_89"/>
      <w:r>
        <w:rPr>
          <w:rStyle w:val="FootnoteReference"/>
          <w:vertAlign w:val="superscript"/>
        </w:rPr>
        <w:footnoteRef/>
      </w:r>
      <w:r>
        <w:rPr>
          <w:sz w:val="18"/>
          <w:szCs w:val="18"/>
        </w:rPr>
        <w:t xml:space="preserve"> Atlan. https://atlan.com/know/mcp/mcp-vs-a2a-protocol/</w:t>
      </w:r>
      <w:bookmarkEnd w:id="10089"/>
    </w:p>
  </w:footnote>
  <w:footnote w:id="90">
    <w:p>
      <w:pPr>
        <w:pStyle w:val="FootnoteText"/>
        <w:spacing w:before="0" w:after="0" w:line="200" w:lineRule="exact"/>
      </w:pPr>
      <w:bookmarkStart w:id="10090" w:name="_Ref_Footnote_90"/>
      <w:r>
        <w:rPr>
          <w:rStyle w:val="FootnoteReference"/>
          <w:vertAlign w:val="superscript"/>
        </w:rPr>
        <w:footnoteRef/>
      </w:r>
      <w:r>
        <w:rPr>
          <w:sz w:val="18"/>
          <w:szCs w:val="18"/>
        </w:rPr>
        <w:t xml:space="preserve"> The GitHub Blog. https://github.blog/open-source/maintainers/mcp-joins-the-linux-foundation-what-this-means-for-developers-building-the-next-era-of-ai-tools-and-agents/</w:t>
      </w:r>
      <w:bookmarkEnd w:id="10090"/>
    </w:p>
  </w:footnote>
  <w:footnote w:id="91">
    <w:p>
      <w:pPr>
        <w:pStyle w:val="FootnoteText"/>
        <w:spacing w:before="0" w:after="0" w:line="200" w:lineRule="exact"/>
      </w:pPr>
      <w:bookmarkStart w:id="10091" w:name="_Ref_Footnote_91"/>
      <w:r>
        <w:rPr>
          <w:rStyle w:val="FootnoteReference"/>
          <w:vertAlign w:val="superscript"/>
        </w:rPr>
        <w:footnoteRef/>
      </w:r>
      <w:r>
        <w:rPr>
          <w:sz w:val="18"/>
          <w:szCs w:val="18"/>
        </w:rPr>
        <w:t xml:space="preserve"> Preprints. https://www.preprints.org/manuscript/202504.0245</w:t>
      </w:r>
      <w:bookmarkEnd w:id="10091"/>
    </w:p>
  </w:footnote>
  <w:footnote w:id="92">
    <w:p>
      <w:pPr>
        <w:pStyle w:val="FootnoteText"/>
        <w:spacing w:before="0" w:after="0" w:line="200" w:lineRule="exact"/>
      </w:pPr>
      <w:bookmarkStart w:id="10092" w:name="_Ref_Footnote_92"/>
      <w:r>
        <w:rPr>
          <w:rStyle w:val="FootnoteReference"/>
          <w:vertAlign w:val="superscript"/>
        </w:rPr>
        <w:footnoteRef/>
      </w:r>
      <w:r>
        <w:rPr>
          <w:sz w:val="18"/>
          <w:szCs w:val="18"/>
        </w:rPr>
        <w:t xml:space="preserve"> galileo.ai. https://galileo.ai/blog/google-agent2agent-a2a-protocol-guide</w:t>
      </w:r>
      <w:bookmarkEnd w:id="10092"/>
    </w:p>
  </w:footnote>
  <w:footnote w:id="93">
    <w:p>
      <w:pPr>
        <w:pStyle w:val="FootnoteText"/>
        <w:spacing w:before="0" w:after="0" w:line="200" w:lineRule="exact"/>
      </w:pPr>
      <w:bookmarkStart w:id="10093" w:name="_Ref_Footnote_93"/>
      <w:r>
        <w:rPr>
          <w:rStyle w:val="FootnoteReference"/>
          <w:vertAlign w:val="superscript"/>
        </w:rPr>
        <w:footnoteRef/>
      </w:r>
      <w:r>
        <w:rPr>
          <w:sz w:val="18"/>
          <w:szCs w:val="18"/>
        </w:rPr>
        <w:t xml:space="preserve"> towardsdatascience.com. https://towardsdatascience.com/inside-googles-agent2agent-a2a-protocol-teaching-ai-agents-to-talk-to-each-other/</w:t>
      </w:r>
      <w:bookmarkEnd w:id="10093"/>
    </w:p>
  </w:footnote>
  <w:footnote w:id="94">
    <w:p>
      <w:pPr>
        <w:pStyle w:val="FootnoteText"/>
        <w:spacing w:before="0" w:after="0" w:line="200" w:lineRule="exact"/>
      </w:pPr>
      <w:bookmarkStart w:id="10094" w:name="_Ref_Footnote_94"/>
      <w:r>
        <w:rPr>
          <w:rStyle w:val="FootnoteReference"/>
          <w:vertAlign w:val="superscript"/>
        </w:rPr>
        <w:footnoteRef/>
      </w:r>
      <w:r>
        <w:rPr>
          <w:sz w:val="18"/>
          <w:szCs w:val="18"/>
        </w:rPr>
        <w:t xml:space="preserve"> logto.io. https://blog.logto.io/a2a-mcp</w:t>
      </w:r>
      <w:bookmarkEnd w:id="10094"/>
    </w:p>
  </w:footnote>
  <w:footnote w:id="95">
    <w:p>
      <w:pPr>
        <w:pStyle w:val="FootnoteText"/>
        <w:spacing w:before="0" w:after="0" w:line="200" w:lineRule="exact"/>
      </w:pPr>
      <w:bookmarkStart w:id="10095" w:name="_Ref_Footnote_95"/>
      <w:r>
        <w:rPr>
          <w:rStyle w:val="FootnoteReference"/>
          <w:vertAlign w:val="superscript"/>
        </w:rPr>
        <w:footnoteRef/>
      </w:r>
      <w:r>
        <w:rPr>
          <w:sz w:val="18"/>
          <w:szCs w:val="18"/>
        </w:rPr>
        <w:t xml:space="preserve"> Anthropic. https://www.anthropic.com/news/donating-the-model-context-protocol-and-establishing-of-the-agentic-ai-foundation</w:t>
      </w:r>
      <w:bookmarkEnd w:id="10095"/>
    </w:p>
  </w:footnote>
  <w:footnote w:id="96">
    <w:p>
      <w:pPr>
        <w:pStyle w:val="FootnoteText"/>
        <w:spacing w:before="0" w:after="0" w:line="200" w:lineRule="exact"/>
      </w:pPr>
      <w:bookmarkStart w:id="10096" w:name="_Ref_Footnote_96"/>
      <w:r>
        <w:rPr>
          <w:rStyle w:val="FootnoteReference"/>
          <w:vertAlign w:val="superscript"/>
        </w:rPr>
        <w:footnoteRef/>
      </w:r>
      <w:r>
        <w:rPr>
          <w:sz w:val="18"/>
          <w:szCs w:val="18"/>
        </w:rPr>
        <w:t xml:space="preserve"> InfoQ. https://www.infoq.com/news/2025/10/ai-agent-orchestration/</w:t>
      </w:r>
      <w:bookmarkEnd w:id="10096"/>
    </w:p>
  </w:footnote>
  <w:footnote w:id="97">
    <w:p>
      <w:pPr>
        <w:pStyle w:val="FootnoteText"/>
        <w:spacing w:before="0" w:after="0" w:line="200" w:lineRule="exact"/>
      </w:pPr>
      <w:bookmarkStart w:id="10097" w:name="_Ref_Footnote_97"/>
      <w:r>
        <w:rPr>
          <w:rStyle w:val="FootnoteReference"/>
          <w:vertAlign w:val="superscript"/>
        </w:rPr>
        <w:footnoteRef/>
      </w:r>
      <w:r>
        <w:rPr>
          <w:sz w:val="18"/>
          <w:szCs w:val="18"/>
        </w:rPr>
        <w:t xml:space="preserve"> arXiv.org. https://arxiv.org/html/2602.10479v1</w:t>
      </w:r>
      <w:bookmarkEnd w:id="10097"/>
    </w:p>
  </w:footnote>
  <w:footnote w:id="98">
    <w:p>
      <w:pPr>
        <w:pStyle w:val="FootnoteText"/>
        <w:spacing w:before="0" w:after="0" w:line="200" w:lineRule="exact"/>
      </w:pPr>
      <w:bookmarkStart w:id="10098" w:name="_Ref_Footnote_98"/>
      <w:r>
        <w:rPr>
          <w:rStyle w:val="FootnoteReference"/>
          <w:vertAlign w:val="superscript"/>
        </w:rPr>
        <w:footnoteRef/>
      </w:r>
      <w:r>
        <w:rPr>
          <w:sz w:val="18"/>
          <w:szCs w:val="18"/>
        </w:rPr>
        <w:t xml:space="preserve"> arXiv.org. https://arxiv.org/html/2505.02279v1</w:t>
      </w:r>
      <w:bookmarkEnd w:id="10098"/>
    </w:p>
  </w:footnote>
  <w:footnote w:id="99">
    <w:p>
      <w:pPr>
        <w:pStyle w:val="FootnoteText"/>
        <w:spacing w:before="0" w:after="0" w:line="200" w:lineRule="exact"/>
      </w:pPr>
      <w:bookmarkStart w:id="10099" w:name="_Ref_Footnote_99"/>
      <w:r>
        <w:rPr>
          <w:rStyle w:val="FootnoteReference"/>
          <w:vertAlign w:val="superscript"/>
        </w:rPr>
        <w:footnoteRef/>
      </w:r>
      <w:r>
        <w:rPr>
          <w:sz w:val="18"/>
          <w:szCs w:val="18"/>
        </w:rPr>
        <w:t xml:space="preserve"> galileo.ai. https://galileo.ai/blog/agentic-ai-frameworks</w:t>
      </w:r>
      <w:bookmarkEnd w:id="10099"/>
    </w:p>
  </w:footnote>
  <w:footnote w:id="100">
    <w:p>
      <w:pPr>
        <w:pStyle w:val="FootnoteText"/>
        <w:spacing w:before="0" w:after="0" w:line="200" w:lineRule="exact"/>
      </w:pPr>
      <w:bookmarkStart w:id="10100" w:name="_Ref_Footnote_100"/>
      <w:r>
        <w:rPr>
          <w:rStyle w:val="FootnoteReference"/>
          <w:vertAlign w:val="superscript"/>
        </w:rPr>
        <w:footnoteRef/>
      </w:r>
      <w:r>
        <w:rPr>
          <w:sz w:val="18"/>
          <w:szCs w:val="18"/>
        </w:rPr>
        <w:t xml:space="preserve"> Medium. https://medium.com/@aftab001x/mcp-and-a2a-the-protocols-building-the-ai-agent-internet-bc807181e68a</w:t>
      </w:r>
      <w:bookmarkEnd w:id="10100"/>
    </w:p>
  </w:footnote>
  <w:footnote w:id="101">
    <w:p>
      <w:pPr>
        <w:pStyle w:val="FootnoteText"/>
        <w:spacing w:before="0" w:after="0" w:line="200" w:lineRule="exact"/>
      </w:pPr>
      <w:bookmarkStart w:id="10101" w:name="_Ref_Footnote_101"/>
      <w:r>
        <w:rPr>
          <w:rStyle w:val="FootnoteReference"/>
          <w:vertAlign w:val="superscript"/>
        </w:rPr>
        <w:footnoteRef/>
      </w:r>
      <w:r>
        <w:rPr>
          <w:sz w:val="18"/>
          <w:szCs w:val="18"/>
        </w:rPr>
        <w:t xml:space="preserve"> HokAI. https://hokai.io/hub/models/phi-4</w:t>
      </w:r>
      <w:bookmarkEnd w:id="10101"/>
    </w:p>
  </w:footnote>
  <w:footnote w:id="102">
    <w:p>
      <w:pPr>
        <w:pStyle w:val="FootnoteText"/>
        <w:spacing w:before="0" w:after="0" w:line="200" w:lineRule="exact"/>
      </w:pPr>
      <w:bookmarkStart w:id="10102" w:name="_Ref_Footnote_102"/>
      <w:r>
        <w:rPr>
          <w:rStyle w:val="FootnoteReference"/>
          <w:vertAlign w:val="superscript"/>
        </w:rPr>
        <w:footnoteRef/>
      </w:r>
      <w:r>
        <w:rPr>
          <w:sz w:val="18"/>
          <w:szCs w:val="18"/>
        </w:rPr>
        <w:t xml:space="preserve"> Note. https://note.com/wayne_chang/n/n7e9ad028dcdc?hl=en</w:t>
      </w:r>
      <w:bookmarkEnd w:id="10102"/>
    </w:p>
  </w:footnote>
  <w:footnote w:id="103">
    <w:p>
      <w:pPr>
        <w:pStyle w:val="FootnoteText"/>
        <w:spacing w:before="0" w:after="0" w:line="200" w:lineRule="exact"/>
      </w:pPr>
      <w:bookmarkStart w:id="10103" w:name="_Ref_Footnote_103"/>
      <w:r>
        <w:rPr>
          <w:rStyle w:val="FootnoteReference"/>
          <w:vertAlign w:val="superscript"/>
        </w:rPr>
        <w:footnoteRef/>
      </w:r>
      <w:r>
        <w:rPr>
          <w:sz w:val="18"/>
          <w:szCs w:val="18"/>
        </w:rPr>
        <w:t xml:space="preserve"> arXiv.org. https://arxiv.org/html/2503.01743v2</w:t>
      </w:r>
      <w:bookmarkEnd w:id="10103"/>
    </w:p>
  </w:footnote>
  <w:footnote w:id="104">
    <w:p>
      <w:pPr>
        <w:pStyle w:val="FootnoteText"/>
        <w:spacing w:before="0" w:after="0" w:line="200" w:lineRule="exact"/>
      </w:pPr>
      <w:bookmarkStart w:id="10104" w:name="_Ref_Footnote_104"/>
      <w:r>
        <w:rPr>
          <w:rStyle w:val="FootnoteReference"/>
          <w:vertAlign w:val="superscript"/>
        </w:rPr>
        <w:footnoteRef/>
      </w:r>
      <w:r>
        <w:rPr>
          <w:sz w:val="18"/>
          <w:szCs w:val="18"/>
        </w:rPr>
        <w:t xml:space="preserve"> ikala.ai. https://ikala.ai/blog/ai-trends/an-in-depth-analysis-of-googles-a2a-protocol-and-its-relationship-with-anthropics-mcp-en/</w:t>
      </w:r>
      <w:bookmarkEnd w:id="10104"/>
    </w:p>
  </w:footnote>
  <w:footnote w:id="105">
    <w:p>
      <w:pPr>
        <w:pStyle w:val="FootnoteText"/>
        <w:spacing w:before="0" w:after="0" w:line="200" w:lineRule="exact"/>
      </w:pPr>
      <w:bookmarkStart w:id="10105" w:name="_Ref_Footnote_105"/>
      <w:r>
        <w:rPr>
          <w:rStyle w:val="FootnoteReference"/>
          <w:vertAlign w:val="superscript"/>
        </w:rPr>
        <w:footnoteRef/>
      </w:r>
      <w:r>
        <w:rPr>
          <w:sz w:val="18"/>
          <w:szCs w:val="18"/>
        </w:rPr>
        <w:t xml:space="preserve"> Omdena. https://www.omdena.com/blog/small-language-models</w:t>
      </w:r>
      <w:bookmarkEnd w:id="10105"/>
    </w:p>
  </w:footnote>
  <w:footnote w:id="106">
    <w:p>
      <w:pPr>
        <w:pStyle w:val="FootnoteText"/>
        <w:spacing w:before="0" w:after="0" w:line="200" w:lineRule="exact"/>
      </w:pPr>
      <w:bookmarkStart w:id="10106" w:name="_Ref_Footnote_106"/>
      <w:r>
        <w:rPr>
          <w:rStyle w:val="FootnoteReference"/>
          <w:vertAlign w:val="superscript"/>
        </w:rPr>
        <w:footnoteRef/>
      </w:r>
      <w:r>
        <w:rPr>
          <w:sz w:val="18"/>
          <w:szCs w:val="18"/>
        </w:rPr>
        <w:t xml:space="preserve"> Anyscale Docs. https://docs.anyscale.com/llm/serving/multi-lora</w:t>
      </w:r>
      <w:bookmarkEnd w:id="10106"/>
    </w:p>
  </w:footnote>
  <w:footnote w:id="107">
    <w:p>
      <w:pPr>
        <w:pStyle w:val="FootnoteText"/>
        <w:spacing w:before="0" w:after="0" w:line="200" w:lineRule="exact"/>
      </w:pPr>
      <w:bookmarkStart w:id="10107" w:name="_Ref_Footnote_107"/>
      <w:r>
        <w:rPr>
          <w:rStyle w:val="FootnoteReference"/>
          <w:vertAlign w:val="superscript"/>
        </w:rPr>
        <w:footnoteRef/>
      </w:r>
      <w:r>
        <w:rPr>
          <w:sz w:val="18"/>
          <w:szCs w:val="18"/>
        </w:rPr>
        <w:t xml:space="preserve"> arXiv.org. https://arxiv.org/html/2512.06490v1</w:t>
      </w:r>
      <w:bookmarkEnd w:id="10107"/>
    </w:p>
  </w:footnote>
  <w:footnote w:id="108">
    <w:p>
      <w:pPr>
        <w:pStyle w:val="FootnoteText"/>
        <w:spacing w:before="0" w:after="0" w:line="200" w:lineRule="exact"/>
      </w:pPr>
      <w:bookmarkStart w:id="10108" w:name="_Ref_Footnote_108"/>
      <w:r>
        <w:rPr>
          <w:rStyle w:val="FootnoteReference"/>
          <w:vertAlign w:val="superscript"/>
        </w:rPr>
        <w:footnoteRef/>
      </w:r>
      <w:r>
        <w:rPr>
          <w:sz w:val="18"/>
          <w:szCs w:val="18"/>
        </w:rPr>
        <w:t xml:space="preserve"> Microsoft Learn. https://learn.microsoft.com/en-us/agent-framework/migration-guide/from-autogen/</w:t>
      </w:r>
      <w:bookmarkEnd w:id="10108"/>
    </w:p>
  </w:footnote>
  <w:footnote w:id="109">
    <w:p>
      <w:pPr>
        <w:pStyle w:val="FootnoteText"/>
        <w:spacing w:before="0" w:after="0" w:line="200" w:lineRule="exact"/>
      </w:pPr>
      <w:bookmarkStart w:id="10109" w:name="_Ref_Footnote_109"/>
      <w:r>
        <w:rPr>
          <w:rStyle w:val="FootnoteReference"/>
          <w:vertAlign w:val="superscript"/>
        </w:rPr>
        <w:footnoteRef/>
      </w:r>
      <w:r>
        <w:rPr>
          <w:sz w:val="18"/>
          <w:szCs w:val="18"/>
        </w:rPr>
        <w:t xml:space="preserve"> getdynamiq.ai. https://www.getdynamiq.ai/post/agent-orchestration-patterns-in-multi-agent-systems-linear-and-adaptive-approaches-with-dynamiq</w:t>
      </w:r>
      <w:bookmarkEnd w:id="10109"/>
    </w:p>
  </w:footnote>
  <w:footnote w:id="110">
    <w:p>
      <w:pPr>
        <w:pStyle w:val="FootnoteText"/>
        <w:spacing w:before="0" w:after="0" w:line="200" w:lineRule="exact"/>
      </w:pPr>
      <w:bookmarkStart w:id="10110" w:name="_Ref_Footnote_110"/>
      <w:r>
        <w:rPr>
          <w:rStyle w:val="FootnoteReference"/>
          <w:vertAlign w:val="superscript"/>
        </w:rPr>
        <w:footnoteRef/>
      </w:r>
      <w:r>
        <w:rPr>
          <w:sz w:val="18"/>
          <w:szCs w:val="18"/>
        </w:rPr>
        <w:t xml:space="preserve"> galileo.ai. https://galileo.ai/blog/autogen-framework-multi-agents</w:t>
      </w:r>
      <w:bookmarkEnd w:id="10110"/>
    </w:p>
  </w:footnote>
  <w:footnote w:id="111">
    <w:p>
      <w:pPr>
        <w:pStyle w:val="FootnoteText"/>
        <w:spacing w:before="0" w:after="0" w:line="200" w:lineRule="exact"/>
      </w:pPr>
      <w:bookmarkStart w:id="10111" w:name="_Ref_Footnote_111"/>
      <w:r>
        <w:rPr>
          <w:rStyle w:val="FootnoteReference"/>
          <w:vertAlign w:val="superscript"/>
        </w:rPr>
        <w:footnoteRef/>
      </w:r>
      <w:r>
        <w:rPr>
          <w:sz w:val="18"/>
          <w:szCs w:val="18"/>
        </w:rPr>
        <w:t xml:space="preserve"> Gravitee.io. https://www.gravitee.io/blog/googles-agent-to-agent-a2a-and-anthropics-model-context-protocol-mcp</w:t>
      </w:r>
      <w:bookmarkEnd w:id="10111"/>
    </w:p>
  </w:footnote>
  <w:footnote w:id="112">
    <w:p>
      <w:pPr>
        <w:pStyle w:val="FootnoteText"/>
        <w:spacing w:before="0" w:after="0" w:line="200" w:lineRule="exact"/>
      </w:pPr>
      <w:bookmarkStart w:id="10112" w:name="_Ref_Footnote_112"/>
      <w:r>
        <w:rPr>
          <w:rStyle w:val="FootnoteReference"/>
          <w:vertAlign w:val="superscript"/>
        </w:rPr>
        <w:footnoteRef/>
      </w:r>
      <w:r>
        <w:rPr>
          <w:sz w:val="18"/>
          <w:szCs w:val="18"/>
        </w:rPr>
        <w:t xml:space="preserve"> spheron.network. https://www.spheron.network/blog/tool-calling-benchmarks-bfcl-tau-bench-latency-optimization/</w:t>
      </w:r>
      <w:bookmarkEnd w:id="10112"/>
    </w:p>
  </w:footnote>
  <w:footnote w:id="113">
    <w:p>
      <w:pPr>
        <w:pStyle w:val="FootnoteText"/>
        <w:spacing w:before="0" w:after="0" w:line="200" w:lineRule="exact"/>
      </w:pPr>
      <w:bookmarkStart w:id="10113" w:name="_Ref_Footnote_113"/>
      <w:r>
        <w:rPr>
          <w:rStyle w:val="FootnoteReference"/>
          <w:vertAlign w:val="superscript"/>
        </w:rPr>
        <w:footnoteRef/>
      </w:r>
      <w:r>
        <w:rPr>
          <w:sz w:val="18"/>
          <w:szCs w:val="18"/>
        </w:rPr>
        <w:t xml:space="preserve"> squeezebits.com. https://blog.squeezebits.com/guided-decoding-performance-vllm-sglang</w:t>
      </w:r>
      <w:bookmarkEnd w:id="10113"/>
    </w:p>
  </w:footnote>
  <w:footnote w:id="114">
    <w:p>
      <w:pPr>
        <w:pStyle w:val="FootnoteText"/>
        <w:spacing w:before="0" w:after="0" w:line="200" w:lineRule="exact"/>
      </w:pPr>
      <w:bookmarkStart w:id="10114" w:name="_Ref_Footnote_114"/>
      <w:r>
        <w:rPr>
          <w:rStyle w:val="FootnoteReference"/>
          <w:vertAlign w:val="superscript"/>
        </w:rPr>
        <w:footnoteRef/>
      </w:r>
      <w:r>
        <w:rPr>
          <w:sz w:val="18"/>
          <w:szCs w:val="18"/>
        </w:rPr>
        <w:t xml:space="preserve"> arXiv.org. https://arxiv.org/html/2501.10868v1</w:t>
      </w:r>
      <w:bookmarkEnd w:id="10114"/>
    </w:p>
  </w:footnote>
  <w:footnote w:id="115">
    <w:p>
      <w:pPr>
        <w:pStyle w:val="FootnoteText"/>
        <w:spacing w:before="0" w:after="0" w:line="200" w:lineRule="exact"/>
      </w:pPr>
      <w:bookmarkStart w:id="10115" w:name="_Ref_Footnote_115"/>
      <w:r>
        <w:rPr>
          <w:rStyle w:val="FootnoteReference"/>
          <w:vertAlign w:val="superscript"/>
        </w:rPr>
        <w:footnoteRef/>
      </w:r>
      <w:r>
        <w:rPr>
          <w:sz w:val="18"/>
          <w:szCs w:val="18"/>
        </w:rPr>
        <w:t xml:space="preserve"> arXiv.org. https://arxiv.org/abs/2505.05619</w:t>
      </w:r>
      <w:bookmarkEnd w:id="10115"/>
    </w:p>
  </w:footnote>
  <w:footnote w:id="116">
    <w:p>
      <w:pPr>
        <w:pStyle w:val="FootnoteText"/>
        <w:spacing w:before="0" w:after="0" w:line="200" w:lineRule="exact"/>
      </w:pPr>
      <w:bookmarkStart w:id="10116" w:name="_Ref_Footnote_116"/>
      <w:r>
        <w:rPr>
          <w:rStyle w:val="FootnoteReference"/>
          <w:vertAlign w:val="superscript"/>
        </w:rPr>
        <w:footnoteRef/>
      </w:r>
      <w:r>
        <w:rPr>
          <w:sz w:val="18"/>
          <w:szCs w:val="18"/>
        </w:rPr>
        <w:t xml:space="preserve"> Tetrate. https://tetrate.io/learn/ai/multi-agent-systems</w:t>
      </w:r>
      <w:bookmarkEnd w:id="10116"/>
    </w:p>
  </w:footnote>
  <w:footnote w:id="117">
    <w:p>
      <w:pPr>
        <w:pStyle w:val="FootnoteText"/>
        <w:spacing w:before="0" w:after="0" w:line="200" w:lineRule="exact"/>
      </w:pPr>
      <w:bookmarkStart w:id="10117" w:name="_Ref_Footnote_117"/>
      <w:r>
        <w:rPr>
          <w:rStyle w:val="FootnoteReference"/>
          <w:vertAlign w:val="superscript"/>
        </w:rPr>
        <w:footnoteRef/>
      </w:r>
      <w:r>
        <w:rPr>
          <w:sz w:val="18"/>
          <w:szCs w:val="18"/>
        </w:rPr>
        <w:t xml:space="preserve"> spheron.network. https://www.spheron.network/blog/lora-multi-adapter-serving-gpu-cloud/</w:t>
      </w:r>
      <w:bookmarkEnd w:id="10117"/>
    </w:p>
  </w:footnote>
  <w:footnote w:id="118">
    <w:p>
      <w:pPr>
        <w:pStyle w:val="FootnoteText"/>
        <w:spacing w:before="0" w:after="0" w:line="200" w:lineRule="exact"/>
      </w:pPr>
      <w:bookmarkStart w:id="10118" w:name="_Ref_Footnote_118"/>
      <w:r>
        <w:rPr>
          <w:rStyle w:val="FootnoteReference"/>
          <w:vertAlign w:val="superscript"/>
        </w:rPr>
        <w:footnoteRef/>
      </w:r>
      <w:r>
        <w:rPr>
          <w:sz w:val="18"/>
          <w:szCs w:val="18"/>
        </w:rPr>
        <w:t xml:space="preserve"> getmaxim.ai. https://www.getmaxim.ai/articles/multi-agent-system-reliability-failure-patterns-root-causes-and-production-validation-strategies/</w:t>
      </w:r>
      <w:bookmarkEnd w:id="10118"/>
    </w:p>
  </w:footnote>
  <w:footnote w:id="119">
    <w:p>
      <w:pPr>
        <w:pStyle w:val="FootnoteText"/>
        <w:spacing w:before="0" w:after="0" w:line="200" w:lineRule="exact"/>
      </w:pPr>
      <w:bookmarkStart w:id="10119" w:name="_Ref_Footnote_119"/>
      <w:r>
        <w:rPr>
          <w:rStyle w:val="FootnoteReference"/>
          <w:vertAlign w:val="superscript"/>
        </w:rPr>
        <w:footnoteRef/>
      </w:r>
      <w:r>
        <w:rPr>
          <w:sz w:val="18"/>
          <w:szCs w:val="18"/>
        </w:rPr>
        <w:t xml:space="preserve"> Proceedings of Machine Learning Research. https://proceedings.mlr.press/v267/patil25a.html</w:t>
      </w:r>
      <w:bookmarkEnd w:id="10119"/>
    </w:p>
  </w:footnote>
  <w:footnote w:id="120">
    <w:p>
      <w:pPr>
        <w:pStyle w:val="FootnoteText"/>
        <w:spacing w:before="0" w:after="0" w:line="200" w:lineRule="exact"/>
      </w:pPr>
      <w:bookmarkStart w:id="10120" w:name="_Ref_Footnote_120"/>
      <w:r>
        <w:rPr>
          <w:rStyle w:val="FootnoteReference"/>
          <w:vertAlign w:val="superscript"/>
        </w:rPr>
        <w:footnoteRef/>
      </w:r>
      <w:r>
        <w:rPr>
          <w:sz w:val="18"/>
          <w:szCs w:val="18"/>
        </w:rPr>
        <w:t xml:space="preserve"> jrede.org. https://jrede.org/wp-content/uploads/2025/06/04.rede2025-004en0523rs.pdf</w:t>
      </w:r>
      <w:bookmarkEnd w:id="10120"/>
    </w:p>
  </w:footnote>
  <w:footnote w:id="121">
    <w:p>
      <w:pPr>
        <w:pStyle w:val="FootnoteText"/>
        <w:spacing w:before="0" w:after="0" w:line="200" w:lineRule="exact"/>
      </w:pPr>
      <w:bookmarkStart w:id="10121" w:name="_Ref_Footnote_121"/>
      <w:r>
        <w:rPr>
          <w:rStyle w:val="FootnoteReference"/>
          <w:vertAlign w:val="superscript"/>
        </w:rPr>
        <w:footnoteRef/>
      </w:r>
      <w:r>
        <w:rPr>
          <w:sz w:val="18"/>
          <w:szCs w:val="18"/>
        </w:rPr>
        <w:t xml:space="preserve"> ACL Anthology. https://aclanthology.org/2025.acl-long.1176.pdf</w:t>
      </w:r>
      <w:bookmarkEnd w:id="10121"/>
    </w:p>
  </w:footnote>
  <w:footnote w:id="122">
    <w:p>
      <w:pPr>
        <w:pStyle w:val="FootnoteText"/>
        <w:spacing w:before="0" w:after="0" w:line="200" w:lineRule="exact"/>
      </w:pPr>
      <w:bookmarkStart w:id="10122" w:name="_Ref_Footnote_122"/>
      <w:r>
        <w:rPr>
          <w:rStyle w:val="FootnoteReference"/>
          <w:vertAlign w:val="superscript"/>
        </w:rPr>
        <w:footnoteRef/>
      </w:r>
      <w:r>
        <w:rPr>
          <w:sz w:val="18"/>
          <w:szCs w:val="18"/>
        </w:rPr>
        <w:t xml:space="preserve"> nih.gov. https://pmc.ncbi.nlm.nih.gov/articles/PMC12606185/</w:t>
      </w:r>
      <w:bookmarkEnd w:id="10122"/>
    </w:p>
  </w:footnote>
  <w:footnote w:id="123">
    <w:p>
      <w:pPr>
        <w:pStyle w:val="FootnoteText"/>
        <w:spacing w:before="0" w:after="0" w:line="200" w:lineRule="exact"/>
      </w:pPr>
      <w:bookmarkStart w:id="10123" w:name="_Ref_Footnote_123"/>
      <w:r>
        <w:rPr>
          <w:rStyle w:val="FootnoteReference"/>
          <w:vertAlign w:val="superscript"/>
        </w:rPr>
        <w:footnoteRef/>
      </w:r>
      <w:r>
        <w:rPr>
          <w:sz w:val="18"/>
          <w:szCs w:val="18"/>
        </w:rPr>
        <w:t xml:space="preserve"> apiad.net. https://blog.apiad.net/p/reasoning-llms</w:t>
      </w:r>
      <w:bookmarkEnd w:id="10123"/>
    </w:p>
  </w:footnote>
  <w:footnote w:id="124">
    <w:p>
      <w:pPr>
        <w:pStyle w:val="FootnoteText"/>
        <w:spacing w:before="0" w:after="0" w:line="200" w:lineRule="exact"/>
      </w:pPr>
      <w:bookmarkStart w:id="10124" w:name="_Ref_Footnote_124"/>
      <w:r>
        <w:rPr>
          <w:rStyle w:val="FootnoteReference"/>
          <w:vertAlign w:val="superscript"/>
        </w:rPr>
        <w:footnoteRef/>
      </w:r>
      <w:r>
        <w:rPr>
          <w:sz w:val="18"/>
          <w:szCs w:val="18"/>
        </w:rPr>
        <w:t xml:space="preserve"> futureagi.com. https://futureagi.com/blog/small-language-models-agentic-ai-2025/</w:t>
      </w:r>
      <w:bookmarkEnd w:id="10124"/>
    </w:p>
  </w:footnote>
  <w:footnote w:id="125">
    <w:p>
      <w:pPr>
        <w:pStyle w:val="FootnoteText"/>
        <w:spacing w:before="0" w:after="0" w:line="200" w:lineRule="exact"/>
      </w:pPr>
      <w:bookmarkStart w:id="10125" w:name="_Ref_Footnote_125"/>
      <w:r>
        <w:rPr>
          <w:rStyle w:val="FootnoteReference"/>
          <w:vertAlign w:val="superscript"/>
        </w:rPr>
        <w:footnoteRef/>
      </w:r>
      <w:r>
        <w:rPr>
          <w:sz w:val="18"/>
          <w:szCs w:val="18"/>
        </w:rPr>
        <w:t xml:space="preserve"> Aisera. https://aisera.com/blog/small-language-model-agents/</w:t>
      </w:r>
      <w:bookmarkEnd w:id="10125"/>
    </w:p>
  </w:footnote>
  <w:footnote w:id="126">
    <w:p>
      <w:pPr>
        <w:pStyle w:val="FootnoteText"/>
        <w:spacing w:before="0" w:after="0" w:line="200" w:lineRule="exact"/>
      </w:pPr>
      <w:bookmarkStart w:id="10126" w:name="_Ref_Footnote_126"/>
      <w:r>
        <w:rPr>
          <w:rStyle w:val="FootnoteReference"/>
          <w:vertAlign w:val="superscript"/>
        </w:rPr>
        <w:footnoteRef/>
      </w:r>
      <w:r>
        <w:rPr>
          <w:sz w:val="18"/>
          <w:szCs w:val="18"/>
        </w:rPr>
        <w:t xml:space="preserve"> NVIDIA Developer. https://developer.nvidia.com/blog/how-small-language-models-are-key-to-scalable-agentic-ai/</w:t>
      </w:r>
      <w:bookmarkEnd w:id="10126"/>
    </w:p>
  </w:footnote>
  <w:footnote w:id="127">
    <w:p>
      <w:pPr>
        <w:pStyle w:val="FootnoteText"/>
        <w:spacing w:before="0" w:after="0" w:line="200" w:lineRule="exact"/>
      </w:pPr>
      <w:bookmarkStart w:id="10127" w:name="_Ref_Footnote_127"/>
      <w:r>
        <w:rPr>
          <w:rStyle w:val="FootnoteReference"/>
          <w:vertAlign w:val="superscript"/>
        </w:rPr>
        <w:footnoteRef/>
      </w:r>
      <w:r>
        <w:rPr>
          <w:sz w:val="18"/>
          <w:szCs w:val="18"/>
        </w:rPr>
        <w:t xml:space="preserve"> oneuptime.com. https://oneuptime.com/blog/post/2026-01-30-agent-coordination/view</w:t>
      </w:r>
      <w:bookmarkEnd w:id="10127"/>
    </w:p>
  </w:footnote>
  <w:footnote w:id="128">
    <w:p>
      <w:pPr>
        <w:pStyle w:val="FootnoteText"/>
        <w:spacing w:before="0" w:after="0" w:line="200" w:lineRule="exact"/>
      </w:pPr>
      <w:bookmarkStart w:id="10128" w:name="_Ref_Footnote_128"/>
      <w:r>
        <w:rPr>
          <w:rStyle w:val="FootnoteReference"/>
          <w:vertAlign w:val="superscript"/>
        </w:rPr>
        <w:footnoteRef/>
      </w:r>
      <w:r>
        <w:rPr>
          <w:sz w:val="18"/>
          <w:szCs w:val="18"/>
        </w:rPr>
        <w:t xml:space="preserve"> Machine Learning Mastery. https://machinelearningmastery.com/handling-race-conditions-in-multi-agent-orchestration/</w:t>
      </w:r>
      <w:bookmarkEnd w:id="10128"/>
    </w:p>
  </w:footnote>
  <w:footnote w:id="129">
    <w:p>
      <w:pPr>
        <w:pStyle w:val="FootnoteText"/>
        <w:spacing w:before="0" w:after="0" w:line="200" w:lineRule="exact"/>
      </w:pPr>
      <w:bookmarkStart w:id="10129" w:name="_Ref_Footnote_129"/>
      <w:r>
        <w:rPr>
          <w:rStyle w:val="FootnoteReference"/>
          <w:vertAlign w:val="superscript"/>
        </w:rPr>
        <w:footnoteRef/>
      </w:r>
      <w:r>
        <w:rPr>
          <w:sz w:val="18"/>
          <w:szCs w:val="18"/>
        </w:rPr>
        <w:t xml:space="preserve"> Medium. https://medium.com/@howtodoml/architecting-the-future-of-agentic-ai-a-case-for-small-language-models-2aa15fd8406b</w:t>
      </w:r>
      <w:bookmarkEnd w:id="10129"/>
    </w:p>
  </w:footnote>
  <w:footnote w:id="130">
    <w:p>
      <w:pPr>
        <w:pStyle w:val="FootnoteText"/>
        <w:spacing w:before="0" w:after="0" w:line="200" w:lineRule="exact"/>
      </w:pPr>
      <w:bookmarkStart w:id="10130" w:name="_Ref_Footnote_130"/>
      <w:r>
        <w:rPr>
          <w:rStyle w:val="FootnoteReference"/>
          <w:vertAlign w:val="superscript"/>
        </w:rPr>
        <w:footnoteRef/>
      </w:r>
      <w:r>
        <w:rPr>
          <w:sz w:val="18"/>
          <w:szCs w:val="18"/>
        </w:rPr>
        <w:t xml:space="preserve"> Github. https://github.com/NousResearch/hermes-agent/issues/412</w:t>
      </w:r>
      <w:bookmarkEnd w:id="10130"/>
    </w:p>
  </w:footnote>
  <w:footnote w:id="131">
    <w:p>
      <w:pPr>
        <w:pStyle w:val="FootnoteText"/>
        <w:spacing w:before="0" w:after="0" w:line="200" w:lineRule="exact"/>
      </w:pPr>
      <w:bookmarkStart w:id="10131" w:name="_Ref_Footnote_131"/>
      <w:r>
        <w:rPr>
          <w:rStyle w:val="FootnoteReference"/>
          <w:vertAlign w:val="superscript"/>
        </w:rPr>
        <w:footnoteRef/>
      </w:r>
      <w:r>
        <w:rPr>
          <w:sz w:val="18"/>
          <w:szCs w:val="18"/>
        </w:rPr>
        <w:t xml:space="preserve"> Emergent Mind. https://www.emergentmind.com/papers/2404.19296</w:t>
      </w:r>
      <w:bookmarkEnd w:id="10131"/>
    </w:p>
  </w:footnote>
  <w:footnote w:id="132">
    <w:p>
      <w:pPr>
        <w:pStyle w:val="FootnoteText"/>
        <w:spacing w:before="0" w:after="0" w:line="200" w:lineRule="exact"/>
      </w:pPr>
      <w:bookmarkStart w:id="10132" w:name="_Ref_Footnote_132"/>
      <w:r>
        <w:rPr>
          <w:rStyle w:val="FootnoteReference"/>
          <w:vertAlign w:val="superscript"/>
        </w:rPr>
        <w:footnoteRef/>
      </w:r>
      <w:r>
        <w:rPr>
          <w:sz w:val="18"/>
          <w:szCs w:val="18"/>
        </w:rPr>
        <w:t xml:space="preserve"> IBM. https://www.ibm.com/think/topics/small-language-models</w:t>
      </w:r>
      <w:bookmarkEnd w:id="10132"/>
    </w:p>
  </w:footnote>
  <w:footnote w:id="133">
    <w:p>
      <w:pPr>
        <w:pStyle w:val="FootnoteText"/>
        <w:spacing w:before="0" w:after="0" w:line="200" w:lineRule="exact"/>
      </w:pPr>
      <w:bookmarkStart w:id="10133" w:name="_Ref_Footnote_133"/>
      <w:r>
        <w:rPr>
          <w:rStyle w:val="FootnoteReference"/>
          <w:vertAlign w:val="superscript"/>
        </w:rPr>
        <w:footnoteRef/>
      </w:r>
      <w:r>
        <w:rPr>
          <w:sz w:val="18"/>
          <w:szCs w:val="18"/>
        </w:rPr>
        <w:t xml:space="preserve"> ESS ENN Associates. https://essenn.associates/blog-slm-fine-tuning-domain-specific.html</w:t>
      </w:r>
      <w:bookmarkEnd w:id="10133"/>
    </w:p>
  </w:footnote>
  <w:footnote w:id="134">
    <w:p>
      <w:pPr>
        <w:pStyle w:val="FootnoteText"/>
        <w:spacing w:before="0" w:after="0" w:line="200" w:lineRule="exact"/>
      </w:pPr>
      <w:bookmarkStart w:id="10134" w:name="_Ref_Footnote_134"/>
      <w:r>
        <w:rPr>
          <w:rStyle w:val="FootnoteReference"/>
          <w:vertAlign w:val="superscript"/>
        </w:rPr>
        <w:footnoteRef/>
      </w:r>
      <w:r>
        <w:rPr>
          <w:sz w:val="18"/>
          <w:szCs w:val="18"/>
        </w:rPr>
        <w:t xml:space="preserve"> arXiv.org. https://arxiv.org/html/2409.00608v2</w:t>
      </w:r>
      <w:bookmarkEnd w:id="10134"/>
    </w:p>
  </w:footnote>
  <w:footnote w:id="135">
    <w:p>
      <w:pPr>
        <w:pStyle w:val="FootnoteText"/>
        <w:spacing w:before="0" w:after="0" w:line="200" w:lineRule="exact"/>
      </w:pPr>
      <w:bookmarkStart w:id="10135" w:name="_Ref_Footnote_135"/>
      <w:r>
        <w:rPr>
          <w:rStyle w:val="FootnoteReference"/>
          <w:vertAlign w:val="superscript"/>
        </w:rPr>
        <w:footnoteRef/>
      </w:r>
      <w:r>
        <w:rPr>
          <w:sz w:val="18"/>
          <w:szCs w:val="18"/>
        </w:rPr>
        <w:t xml:space="preserve"> MIT Schwarzman College of Computing. https://computing.mit.edu/news/enabling-small-language-models-to-solve-complex-reasoning-tasks/</w:t>
      </w:r>
      <w:bookmarkEnd w:id="10135"/>
    </w:p>
  </w:footnote>
  <w:footnote w:id="136">
    <w:p>
      <w:pPr>
        <w:pStyle w:val="FootnoteText"/>
        <w:spacing w:before="0" w:after="0" w:line="200" w:lineRule="exact"/>
      </w:pPr>
      <w:bookmarkStart w:id="10136" w:name="_Ref_Footnote_136"/>
      <w:r>
        <w:rPr>
          <w:rStyle w:val="FootnoteReference"/>
          <w:vertAlign w:val="superscript"/>
        </w:rPr>
        <w:footnoteRef/>
      </w:r>
      <w:r>
        <w:rPr>
          <w:sz w:val="18"/>
          <w:szCs w:val="18"/>
        </w:rPr>
        <w:t xml:space="preserve"> arXiv.org. https://arxiv.org/pdf/2510.20641</w:t>
      </w:r>
      <w:bookmarkEnd w:id="10136"/>
    </w:p>
  </w:footnote>
  <w:footnote w:id="137">
    <w:p>
      <w:pPr>
        <w:pStyle w:val="FootnoteText"/>
        <w:spacing w:before="0" w:after="0" w:line="200" w:lineRule="exact"/>
      </w:pPr>
      <w:bookmarkStart w:id="10137" w:name="_Ref_Footnote_137"/>
      <w:r>
        <w:rPr>
          <w:rStyle w:val="FootnoteReference"/>
          <w:vertAlign w:val="superscript"/>
        </w:rPr>
        <w:footnoteRef/>
      </w:r>
      <w:r>
        <w:rPr>
          <w:sz w:val="18"/>
          <w:szCs w:val="18"/>
        </w:rPr>
        <w:t xml:space="preserve"> arXiv.org. https://arxiv.org/pdf/2505.16475</w:t>
      </w:r>
      <w:bookmarkEnd w:id="10137"/>
    </w:p>
  </w:footnote>
  <w:footnote w:id="138">
    <w:p>
      <w:pPr>
        <w:pStyle w:val="FootnoteText"/>
        <w:spacing w:before="0" w:after="0" w:line="200" w:lineRule="exact"/>
      </w:pPr>
      <w:bookmarkStart w:id="10138" w:name="_Ref_Footnote_138"/>
      <w:r>
        <w:rPr>
          <w:rStyle w:val="FootnoteReference"/>
          <w:vertAlign w:val="superscript"/>
        </w:rPr>
        <w:footnoteRef/>
      </w:r>
      <w:r>
        <w:rPr>
          <w:sz w:val="18"/>
          <w:szCs w:val="18"/>
        </w:rPr>
        <w:t xml:space="preserve"> arXiv.org. https://arxiv.org/abs/2405.04776</w:t>
      </w:r>
      <w:bookmarkEnd w:id="10138"/>
    </w:p>
  </w:footnote>
  <w:footnote w:id="139">
    <w:p>
      <w:pPr>
        <w:pStyle w:val="FootnoteText"/>
        <w:spacing w:before="0" w:after="0" w:line="200" w:lineRule="exact"/>
      </w:pPr>
      <w:bookmarkStart w:id="10139" w:name="_Ref_Footnote_139"/>
      <w:r>
        <w:rPr>
          <w:rStyle w:val="FootnoteReference"/>
          <w:vertAlign w:val="superscript"/>
        </w:rPr>
        <w:footnoteRef/>
      </w:r>
      <w:r>
        <w:rPr>
          <w:sz w:val="18"/>
          <w:szCs w:val="18"/>
        </w:rPr>
        <w:t xml:space="preserve"> futureagi.com. https://futureagi.com/blog/comparison-slm-llm-language-models/</w:t>
      </w:r>
      <w:bookmarkEnd w:id="10139"/>
    </w:p>
  </w:footnote>
  <w:footnote w:id="140">
    <w:p>
      <w:pPr>
        <w:pStyle w:val="FootnoteText"/>
        <w:spacing w:before="0" w:after="0" w:line="200" w:lineRule="exact"/>
      </w:pPr>
      <w:bookmarkStart w:id="10140" w:name="_Ref_Footnote_140"/>
      <w:r>
        <w:rPr>
          <w:rStyle w:val="FootnoteReference"/>
          <w:vertAlign w:val="superscript"/>
        </w:rPr>
        <w:footnoteRef/>
      </w:r>
      <w:r>
        <w:rPr>
          <w:sz w:val="18"/>
          <w:szCs w:val="18"/>
        </w:rPr>
        <w:t xml:space="preserve"> Axiom Studio. https://axiomstudio.ai/blog/nvidia-nemotron-llms-model-family-explained</w:t>
      </w:r>
      <w:bookmarkEnd w:id="10140"/>
    </w:p>
  </w:footnote>
  <w:footnote w:id="141">
    <w:p>
      <w:pPr>
        <w:pStyle w:val="FootnoteText"/>
        <w:spacing w:before="0" w:after="0" w:line="200" w:lineRule="exact"/>
      </w:pPr>
      <w:bookmarkStart w:id="10141" w:name="_Ref_Footnote_141"/>
      <w:r>
        <w:rPr>
          <w:rStyle w:val="FootnoteReference"/>
          <w:vertAlign w:val="superscript"/>
        </w:rPr>
        <w:footnoteRef/>
      </w:r>
      <w:r>
        <w:rPr>
          <w:sz w:val="18"/>
          <w:szCs w:val="18"/>
        </w:rPr>
        <w:t xml:space="preserve"> Accelirate. https://www.accelirate.com/small-language-models-agentic-ai/</w:t>
      </w:r>
      <w:bookmarkEnd w:id="10141"/>
    </w:p>
  </w:footnote>
  <w:footnote w:id="142">
    <w:p>
      <w:pPr>
        <w:pStyle w:val="FootnoteText"/>
        <w:spacing w:before="0" w:after="0" w:line="200" w:lineRule="exact"/>
      </w:pPr>
      <w:bookmarkStart w:id="10142" w:name="_Ref_Footnote_142"/>
      <w:r>
        <w:rPr>
          <w:rStyle w:val="FootnoteReference"/>
          <w:vertAlign w:val="superscript"/>
        </w:rPr>
        <w:footnoteRef/>
      </w:r>
      <w:r>
        <w:rPr>
          <w:sz w:val="18"/>
          <w:szCs w:val="18"/>
        </w:rPr>
        <w:t xml:space="preserve"> LeanLM. https://leanlm.ai/blog/llm-cost-optimization</w:t>
      </w:r>
      <w:bookmarkEnd w:id="10142"/>
    </w:p>
  </w:footnote>
  <w:footnote w:id="143">
    <w:p>
      <w:pPr>
        <w:pStyle w:val="FootnoteText"/>
        <w:spacing w:before="0" w:after="0" w:line="200" w:lineRule="exact"/>
      </w:pPr>
      <w:bookmarkStart w:id="10143" w:name="_Ref_Footnote_143"/>
      <w:r>
        <w:rPr>
          <w:rStyle w:val="FootnoteReference"/>
          <w:vertAlign w:val="superscript"/>
        </w:rPr>
        <w:footnoteRef/>
      </w:r>
      <w:r>
        <w:rPr>
          <w:sz w:val="18"/>
          <w:szCs w:val="18"/>
        </w:rPr>
        <w:t xml:space="preserve"> Scribd. https://www.scribd.com/document/1000044973/Elicit-Hybrid-Architectures-in-Multi-Agent-Systems-Report</w:t>
      </w:r>
      <w:bookmarkEnd w:id="10143"/>
    </w:p>
  </w:footnote>
  <w:footnote w:id="144">
    <w:p>
      <w:pPr>
        <w:pStyle w:val="FootnoteText"/>
        <w:spacing w:before="0" w:after="0" w:line="200" w:lineRule="exact"/>
      </w:pPr>
      <w:bookmarkStart w:id="10144" w:name="_Ref_Footnote_144"/>
      <w:r>
        <w:rPr>
          <w:rStyle w:val="FootnoteReference"/>
          <w:vertAlign w:val="superscript"/>
        </w:rPr>
        <w:footnoteRef/>
      </w:r>
      <w:r>
        <w:rPr>
          <w:sz w:val="18"/>
          <w:szCs w:val="18"/>
        </w:rPr>
        <w:t xml:space="preserve"> unimon.co.th. https://unimon.co.th/en/blog/hybrid-llm-slm-routing-design-guide</w:t>
      </w:r>
      <w:bookmarkEnd w:id="10144"/>
    </w:p>
  </w:footnote>
  <w:footnote w:id="145">
    <w:p>
      <w:pPr>
        <w:pStyle w:val="FootnoteText"/>
        <w:spacing w:before="0" w:after="0" w:line="200" w:lineRule="exact"/>
      </w:pPr>
      <w:bookmarkStart w:id="10145" w:name="_Ref_Footnote_145"/>
      <w:r>
        <w:rPr>
          <w:rStyle w:val="FootnoteReference"/>
          <w:vertAlign w:val="superscript"/>
        </w:rPr>
        <w:footnoteRef/>
      </w:r>
      <w:r>
        <w:rPr>
          <w:sz w:val="18"/>
          <w:szCs w:val="18"/>
        </w:rPr>
        <w:t xml:space="preserve"> Medium. https://medium.com/@robi.tomar72/the-future-of-ai-models-small-llms-on-device-ai-lightweight-architectures-edge-deployment-c63f0dfb8a34</w:t>
      </w:r>
      <w:bookmarkEnd w:id="10145"/>
    </w:p>
  </w:footnote>
  <w:footnote w:id="146">
    <w:p>
      <w:pPr>
        <w:pStyle w:val="FootnoteText"/>
        <w:spacing w:before="0" w:after="0" w:line="200" w:lineRule="exact"/>
      </w:pPr>
      <w:bookmarkStart w:id="10146" w:name="_Ref_Footnote_146"/>
      <w:r>
        <w:rPr>
          <w:rStyle w:val="FootnoteReference"/>
          <w:vertAlign w:val="superscript"/>
        </w:rPr>
        <w:footnoteRef/>
      </w:r>
      <w:r>
        <w:rPr>
          <w:sz w:val="18"/>
          <w:szCs w:val="18"/>
        </w:rPr>
        <w:t xml:space="preserve"> AppuniteAppunite. https://www.appunite.com/blog/slms-over-llms-a-smarter-cheaper-bet-for-agentic-ai</w:t>
      </w:r>
      <w:bookmarkEnd w:id="10146"/>
    </w:p>
  </w:footnote>
  <w:footnote w:id="147">
    <w:p>
      <w:pPr>
        <w:pStyle w:val="FootnoteText"/>
        <w:spacing w:before="0" w:after="0" w:line="200" w:lineRule="exact"/>
      </w:pPr>
      <w:bookmarkStart w:id="10147" w:name="_Ref_Footnote_147"/>
      <w:r>
        <w:rPr>
          <w:rStyle w:val="FootnoteReference"/>
          <w:vertAlign w:val="superscript"/>
        </w:rPr>
        <w:footnoteRef/>
      </w:r>
      <w:r>
        <w:rPr>
          <w:sz w:val="18"/>
          <w:szCs w:val="18"/>
        </w:rPr>
        <w:t xml:space="preserve"> arXiv.org. https://arxiv.org/html/2603.04445v2</w:t>
      </w:r>
      <w:bookmarkEnd w:id="10147"/>
    </w:p>
  </w:footnote>
  <w:footnote w:id="148">
    <w:p>
      <w:pPr>
        <w:pStyle w:val="FootnoteText"/>
        <w:spacing w:before="0" w:after="0" w:line="200" w:lineRule="exact"/>
      </w:pPr>
      <w:bookmarkStart w:id="10148" w:name="_Ref_Footnote_148"/>
      <w:r>
        <w:rPr>
          <w:rStyle w:val="FootnoteReference"/>
          <w:vertAlign w:val="superscript"/>
        </w:rPr>
        <w:footnoteRef/>
      </w:r>
      <w:r>
        <w:rPr>
          <w:sz w:val="18"/>
          <w:szCs w:val="18"/>
        </w:rPr>
        <w:t xml:space="preserve"> arXiv.org. https://arxiv.org/html/2604.19781v1</w:t>
      </w:r>
      <w:bookmarkEnd w:id="10148"/>
    </w:p>
  </w:footnote>
  <w:footnote w:id="149">
    <w:p>
      <w:pPr>
        <w:pStyle w:val="FootnoteText"/>
        <w:spacing w:before="0" w:after="0" w:line="200" w:lineRule="exact"/>
      </w:pPr>
      <w:bookmarkStart w:id="10149" w:name="_Ref_Footnote_149"/>
      <w:r>
        <w:rPr>
          <w:rStyle w:val="FootnoteReference"/>
          <w:vertAlign w:val="superscript"/>
        </w:rPr>
        <w:footnoteRef/>
      </w:r>
      <w:r>
        <w:rPr>
          <w:sz w:val="18"/>
          <w:szCs w:val="18"/>
        </w:rPr>
        <w:t xml:space="preserve"> ICLR. https://iclr.cc/virtual/2025/poster/30737</w:t>
      </w:r>
      <w:bookmarkEnd w:id="10149"/>
    </w:p>
  </w:footnote>
  <w:footnote w:id="150">
    <w:p>
      <w:pPr>
        <w:pStyle w:val="FootnoteText"/>
        <w:spacing w:before="0" w:after="0" w:line="200" w:lineRule="exact"/>
      </w:pPr>
      <w:bookmarkStart w:id="10150" w:name="_Ref_Footnote_150"/>
      <w:r>
        <w:rPr>
          <w:rStyle w:val="FootnoteReference"/>
          <w:vertAlign w:val="superscript"/>
        </w:rPr>
        <w:footnoteRef/>
      </w:r>
      <w:r>
        <w:rPr>
          <w:sz w:val="18"/>
          <w:szCs w:val="18"/>
        </w:rPr>
        <w:t xml:space="preserve"> ACL Anthology. https://aclanthology.org/2025.naacl-long.545.pdf</w:t>
      </w:r>
      <w:bookmarkEnd w:id="10150"/>
    </w:p>
  </w:footnote>
  <w:footnote w:id="151">
    <w:p>
      <w:pPr>
        <w:pStyle w:val="FootnoteText"/>
        <w:spacing w:before="0" w:after="0" w:line="200" w:lineRule="exact"/>
      </w:pPr>
      <w:bookmarkStart w:id="10151" w:name="_Ref_Footnote_151"/>
      <w:r>
        <w:rPr>
          <w:rStyle w:val="FootnoteReference"/>
          <w:vertAlign w:val="superscript"/>
        </w:rPr>
        <w:footnoteRef/>
      </w:r>
      <w:r>
        <w:rPr>
          <w:sz w:val="18"/>
          <w:szCs w:val="18"/>
        </w:rPr>
        <w:t xml:space="preserve"> arXiv.org. https://arxiv.org/abs/2502.18482</w:t>
      </w:r>
      <w:bookmarkEnd w:id="10151"/>
    </w:p>
  </w:footnote>
  <w:footnote w:id="152">
    <w:p>
      <w:pPr>
        <w:pStyle w:val="FootnoteText"/>
        <w:spacing w:before="0" w:after="0" w:line="200" w:lineRule="exact"/>
      </w:pPr>
      <w:bookmarkStart w:id="10152" w:name="_Ref_Footnote_152"/>
      <w:r>
        <w:rPr>
          <w:rStyle w:val="FootnoteReference"/>
          <w:vertAlign w:val="superscript"/>
        </w:rPr>
        <w:footnoteRef/>
      </w:r>
      <w:r>
        <w:rPr>
          <w:sz w:val="18"/>
          <w:szCs w:val="18"/>
        </w:rPr>
        <w:t xml:space="preserve"> zhengzhangchen.github.io. https://zhengzhangchen.github.io/Slides/MixLLM_slides.pdf</w:t>
      </w:r>
      <w:bookmarkEnd w:id="10152"/>
    </w:p>
  </w:footnote>
  <w:footnote w:id="153">
    <w:p>
      <w:pPr>
        <w:pStyle w:val="FootnoteText"/>
        <w:spacing w:before="0" w:after="0" w:line="200" w:lineRule="exact"/>
      </w:pPr>
      <w:bookmarkStart w:id="10153" w:name="_Ref_Footnote_153"/>
      <w:r>
        <w:rPr>
          <w:rStyle w:val="FootnoteReference"/>
          <w:vertAlign w:val="superscript"/>
        </w:rPr>
        <w:footnoteRef/>
      </w:r>
      <w:r>
        <w:rPr>
          <w:sz w:val="18"/>
          <w:szCs w:val="18"/>
        </w:rPr>
        <w:t xml:space="preserve"> Zylos. https://zylos.ai/research/2026-03-02-ai-agent-model-routing/</w:t>
      </w:r>
      <w:bookmarkEnd w:id="10153"/>
    </w:p>
  </w:footnote>
  <w:footnote w:id="154">
    <w:p>
      <w:pPr>
        <w:pStyle w:val="FootnoteText"/>
        <w:spacing w:before="0" w:after="0" w:line="200" w:lineRule="exact"/>
      </w:pPr>
      <w:bookmarkStart w:id="10154" w:name="_Ref_Footnote_154"/>
      <w:r>
        <w:rPr>
          <w:rStyle w:val="FootnoteReference"/>
          <w:vertAlign w:val="superscript"/>
        </w:rPr>
        <w:footnoteRef/>
      </w:r>
      <w:r>
        <w:rPr>
          <w:sz w:val="18"/>
          <w:szCs w:val="18"/>
        </w:rPr>
        <w:t xml:space="preserve"> avidoai.com. https://avidoai.com/blog/llm-guardrail-testing</w:t>
      </w:r>
      <w:bookmarkEnd w:id="10154"/>
    </w:p>
  </w:footnote>
  <w:footnote w:id="155">
    <w:p>
      <w:pPr>
        <w:pStyle w:val="FootnoteText"/>
        <w:spacing w:before="0" w:after="0" w:line="200" w:lineRule="exact"/>
      </w:pPr>
      <w:bookmarkStart w:id="10155" w:name="_Ref_Footnote_155"/>
      <w:r>
        <w:rPr>
          <w:rStyle w:val="FootnoteReference"/>
          <w:vertAlign w:val="superscript"/>
        </w:rPr>
        <w:footnoteRef/>
      </w:r>
      <w:r>
        <w:rPr>
          <w:sz w:val="18"/>
          <w:szCs w:val="18"/>
        </w:rPr>
        <w:t xml:space="preserve"> Datadog. https://www.datadoghq.com/blog/llm-guardrails-best-practices/</w:t>
      </w:r>
      <w:bookmarkEnd w:id="10155"/>
    </w:p>
  </w:footnote>
  <w:footnote w:id="156">
    <w:p>
      <w:pPr>
        <w:pStyle w:val="FootnoteText"/>
        <w:spacing w:before="0" w:after="0" w:line="200" w:lineRule="exact"/>
      </w:pPr>
      <w:bookmarkStart w:id="10156" w:name="_Ref_Footnote_156"/>
      <w:r>
        <w:rPr>
          <w:rStyle w:val="FootnoteReference"/>
          <w:vertAlign w:val="superscript"/>
        </w:rPr>
        <w:footnoteRef/>
      </w:r>
      <w:r>
        <w:rPr>
          <w:sz w:val="18"/>
          <w:szCs w:val="18"/>
        </w:rPr>
        <w:t xml:space="preserve"> Daily Code Solutions. https://dailycodesolutions.com/blog/exploring-google-s-new-agent-development-kit-simplify-building-powerful-multi-agent-ai-applications</w:t>
      </w:r>
      <w:bookmarkEnd w:id="10156"/>
    </w:p>
  </w:footnote>
  <w:footnote w:id="157">
    <w:p>
      <w:pPr>
        <w:pStyle w:val="FootnoteText"/>
        <w:spacing w:before="0" w:after="0" w:line="200" w:lineRule="exact"/>
      </w:pPr>
      <w:bookmarkStart w:id="10157" w:name="_Ref_Footnote_157"/>
      <w:r>
        <w:rPr>
          <w:rStyle w:val="FootnoteReference"/>
          <w:vertAlign w:val="superscript"/>
        </w:rPr>
        <w:footnoteRef/>
      </w:r>
      <w:r>
        <w:rPr>
          <w:sz w:val="18"/>
          <w:szCs w:val="18"/>
        </w:rPr>
        <w:t xml:space="preserve"> Google for Developers BlogGoogle for Developers Blog. https://developers.googleblog.com/en/agent-development-kit-easy-to-build-multi-agent-applications/</w:t>
      </w:r>
      <w:bookmarkEnd w:id="10157"/>
    </w:p>
  </w:footnote>
  <w:footnote w:id="158">
    <w:p>
      <w:pPr>
        <w:pStyle w:val="FootnoteText"/>
        <w:spacing w:before="0" w:after="0" w:line="200" w:lineRule="exact"/>
      </w:pPr>
      <w:bookmarkStart w:id="10158" w:name="_Ref_Footnote_158"/>
      <w:r>
        <w:rPr>
          <w:rStyle w:val="FootnoteReference"/>
          <w:vertAlign w:val="superscript"/>
        </w:rPr>
        <w:footnoteRef/>
      </w:r>
      <w:r>
        <w:rPr>
          <w:sz w:val="18"/>
          <w:szCs w:val="18"/>
        </w:rPr>
        <w:t xml:space="preserve"> arXiv.org. https://arxiv.org/html/2504.00434v1</w:t>
      </w:r>
      <w:bookmarkEnd w:id="10158"/>
    </w:p>
  </w:footnote>
  <w:footnote w:id="159">
    <w:p>
      <w:pPr>
        <w:pStyle w:val="FootnoteText"/>
        <w:spacing w:before="0" w:after="0" w:line="200" w:lineRule="exact"/>
      </w:pPr>
      <w:bookmarkStart w:id="10159" w:name="_Ref_Footnote_159"/>
      <w:r>
        <w:rPr>
          <w:rStyle w:val="FootnoteReference"/>
          <w:vertAlign w:val="superscript"/>
        </w:rPr>
        <w:footnoteRef/>
      </w:r>
      <w:r>
        <w:rPr>
          <w:sz w:val="18"/>
          <w:szCs w:val="18"/>
        </w:rPr>
        <w:t xml:space="preserve"> arXiv.org. https://arxiv.org/html/2504.07878v1</w:t>
      </w:r>
      <w:bookmarkEnd w:id="10159"/>
    </w:p>
  </w:footnote>
  <w:footnote w:id="160">
    <w:p>
      <w:pPr>
        <w:pStyle w:val="FootnoteText"/>
        <w:spacing w:before="0" w:after="0" w:line="200" w:lineRule="exact"/>
      </w:pPr>
      <w:bookmarkStart w:id="10160" w:name="_Ref_Footnote_160"/>
      <w:r>
        <w:rPr>
          <w:rStyle w:val="FootnoteReference"/>
          <w:vertAlign w:val="superscript"/>
        </w:rPr>
        <w:footnoteRef/>
      </w:r>
      <w:r>
        <w:rPr>
          <w:sz w:val="18"/>
          <w:szCs w:val="18"/>
        </w:rPr>
        <w:t xml:space="preserve"> developersdigest.tech. https://www.developersdigest.tech/blog/envoy-ai-gateway-llm-production-routing</w:t>
      </w:r>
      <w:bookmarkEnd w:id="10160"/>
    </w:p>
  </w:footnote>
</w:footnotes>
</file>

<file path=word/numbering.xml><?xml version="1.0" encoding="utf-8"?>
<w:numbering xmlns:w="http://schemas.openxmlformats.org/wordprocessingml/2006/main">
  <w:abstractNum w:abstractNumId="990">
    <w:nsid w:val="A990"/>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991">
    <w:nsid w:val="A991"/>
    <w:multiLevelType w:val="multilevel"/>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num w:numId="1000">
    <w:abstractNumId w:val="990"/>
  </w:num>
  <w:num w:numId="1001">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stylePaneFormatFilter w:val="0004"/>
  <w:footnotePr>
    <w:footnote w:id="-1"/>
    <w:footnote w:id="0"/>
  </w:footnotePr>
  <w:rsids>
  </w:rsids>
  <w:clrSchemeMapping w:accent1="accent1" w:accent2="accent2" w:accent3="accent3" w:accent4="accent4" w:accent5="accent5" w:accent6="accent6" w:bg1="light1" w:bg2="light2" w:followedHyperlink="followedHyperlink" w:hyperlink="hyperlink" w:t1="dark1" w:t2="dark2"/>
  <w:zoom w:percent="100"/>
  <w:embedSystemFonts/>
  <w:proofState w:grammar="clean" w:spelling="clean"/>
  <w:doNotTrackMoves/>
  <w:defaultTabStop w:val="720"/>
  <w:drawingGridHorizontalSpacing w:val="360"/>
  <w:drawingGridVerticalSpacing w:val="360"/>
  <w:displayHorizontalDrawingGridEvery w:val="0"/>
  <w:displayVerticalDrawingGridEvery w:val="0"/>
  <w:characterSpacingControl w:val="doNotCompress"/>
  <w:savePreviewPicture/>
  <m:mathPr>
    <m:mathFont m:val="Cambria Math"/>
    <m:brkBin m:val="before"/>
    <m:brkBinSub m:val="--"/>
    <m:smallFrac m:val="0"/>
    <m:dispDef/>
    <m:lMargin m:val="0"/>
    <m:rMargin m:val="0"/>
    <m:wrapRight/>
    <m:intLim m:val="subSup"/>
    <m:naryLim m:val="undOvr"/>
  </m:mathPr>
  <w:themeFontLang w:val="en-U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cstheme="minorBidi" w:eastAsiaTheme="minorHAnsi" w:hAnsiTheme="minorHAnsi"/>
        <w:sz w:val="24"/>
        <w:szCs w:val="24"/>
        <w:lang w:bidi="ar-SA" w:eastAsia="en-US" w:val="en-US"/>
      </w:rPr>
    </w:rPrDefault>
    <w:pPrDefault>
      <w:pPr>
        <w:spacing w:after="200"/>
      </w:pPr>
    </w:pPrDefault>
  </w:docDefaults>
  <w:latentStyles w:count="276" w:defLockedState="0" w:defQFormat="0" w:defSemiHidden="0" w:defUIPriority="0" w:defUnhideWhenUsed="0"/>
  <w:style w:default="1" w:styleId="Normal" w:type="paragraph">
    <w:name w:val="Normal"/>
    <w:qFormat/>
  </w:style>
  <w:style w:styleId="BodyText" w:type="paragraph">
    <w:name w:val="Body Text"/>
    <w:basedOn w:val="Normal"/>
    <w:link w:val="BodyTextChar"/>
    <w:pPr>
      <w:spacing w:after="180" w:before="180"/>
    </w:pPr>
    <w:qFormat/>
  </w:style>
  <w:style w:customStyle="1" w:styleId="FirstParagraph" w:type="paragraph">
    <w:name w:val="First Paragraph"/>
    <w:basedOn w:val="BodyText"/>
    <w:next w:val="BodyText"/>
    <w:qFormat/>
  </w:style>
  <w:style w:customStyle="1" w:styleId="Compact" w:type="paragraph">
    <w:name w:val="Compact"/>
    <w:basedOn w:val="BodyText"/>
    <w:qFormat/>
    <w:pPr>
      <w:spacing w:after="36" w:before="36"/>
    </w:pPr>
  </w:style>
  <w:style w:styleId="Title" w:type="paragraph">
    <w:name w:val="Title"/>
    <w:basedOn w:val="Normal"/>
    <w:next w:val="BodyText"/>
    <w:qFormat/>
    <w:pPr>
      <w:keepNext/>
      <w:keepLines/>
      <w:spacing w:after="240" w:before="480"/>
      <w:jc w:val="center"/>
    </w:pPr>
    <w:rPr>
      <w:rFonts w:asciiTheme="majorHAnsi" w:cstheme="majorBidi" w:eastAsiaTheme="majorEastAsia" w:hAnsiTheme="majorHAnsi"/>
      <w:b/>
      <w:bCs/>
      <w:color w:themeColor="accent1" w:themeShade="B5" w:val="345A8A"/>
      <w:sz w:val="36"/>
      <w:szCs w:val="36"/>
    </w:rPr>
  </w:style>
  <w:style w:styleId="Subtitle" w:type="paragraph">
    <w:name w:val="Subtitle"/>
    <w:basedOn w:val="Title"/>
    <w:next w:val="BodyText"/>
    <w:qFormat/>
    <w:pPr>
      <w:keepNext/>
      <w:keepLines/>
      <w:spacing w:after="240" w:before="240"/>
      <w:jc w:val="center"/>
    </w:pPr>
    <w:rPr>
      <w:sz w:val="30"/>
      <w:szCs w:val="30"/>
    </w:rPr>
  </w:style>
  <w:style w:customStyle="1" w:styleId="Author" w:type="paragraph">
    <w:name w:val="Author"/>
    <w:next w:val="BodyText"/>
    <w:qFormat/>
    <w:pPr>
      <w:keepNext/>
      <w:keepLines/>
      <w:jc w:val="center"/>
    </w:pPr>
  </w:style>
  <w:style w:styleId="Date" w:type="paragraph">
    <w:name w:val="Date"/>
    <w:next w:val="BodyText"/>
    <w:qFormat/>
    <w:pPr>
      <w:keepNext/>
      <w:keepLines/>
      <w:jc w:val="center"/>
    </w:pPr>
  </w:style>
  <w:style w:customStyle="1" w:styleId="Abstract" w:type="paragraph">
    <w:name w:val="Abstract"/>
    <w:basedOn w:val="Normal"/>
    <w:next w:val="BodyText"/>
    <w:qFormat/>
    <w:pPr>
      <w:keepNext/>
      <w:keepLines/>
      <w:spacing w:after="300" w:before="300"/>
    </w:pPr>
    <w:rPr>
      <w:sz w:val="20"/>
      <w:szCs w:val="20"/>
    </w:rPr>
  </w:style>
  <w:style w:styleId="Bibliography" w:type="paragraph">
    <w:name w:val="Bibliography"/>
    <w:basedOn w:val="Normal"/>
    <w:next w:val="Bibliography"/>
    <w:qFormat/>
    <w:pPr/>
    <w:rPr/>
  </w:style>
  <w:style w:styleId="Heading1" w:type="paragraph">
    <w:name w:val="Heading 1"/>
    <w:basedOn w:val="Normal"/>
    <w:next w:val="BodyText"/>
    <w:uiPriority w:val="9"/>
    <w:qFormat/>
    <w:pPr>
      <w:keepNext/>
      <w:keepLines/>
      <w:spacing w:after="0" w:before="480"/>
      <w:outlineLvl w:val="0"/>
    </w:pPr>
    <w:rPr>
      <w:rFonts w:asciiTheme="majorHAnsi" w:cstheme="majorBidi" w:eastAsiaTheme="majorEastAsia" w:hAnsiTheme="majorHAnsi"/>
      <w:b/>
      <w:bCs/>
      <w:color w:themeColor="accent1" w:val="4F81BD"/>
      <w:sz w:val="32"/>
      <w:szCs w:val="32"/>
    </w:rPr>
  </w:style>
  <w:style w:styleId="Heading2" w:type="paragraph">
    <w:name w:val="Heading 2"/>
    <w:basedOn w:val="Normal"/>
    <w:next w:val="BodyText"/>
    <w:uiPriority w:val="9"/>
    <w:unhideWhenUsed/>
    <w:qFormat/>
    <w:pPr>
      <w:keepNext/>
      <w:keepLines/>
      <w:spacing w:after="0" w:before="200"/>
      <w:outlineLvl w:val="1"/>
    </w:pPr>
    <w:rPr>
      <w:rFonts w:asciiTheme="majorHAnsi" w:cstheme="majorBidi" w:eastAsiaTheme="majorEastAsia" w:hAnsiTheme="majorHAnsi"/>
      <w:b/>
      <w:bCs/>
      <w:color w:themeColor="accent1" w:val="4F81BD"/>
      <w:sz w:val="28"/>
      <w:szCs w:val="28"/>
    </w:rPr>
  </w:style>
  <w:style w:styleId="Heading3" w:type="paragraph">
    <w:name w:val="Heading 3"/>
    <w:basedOn w:val="Normal"/>
    <w:next w:val="BodyText"/>
    <w:uiPriority w:val="9"/>
    <w:unhideWhenUsed/>
    <w:qFormat/>
    <w:pPr>
      <w:keepNext/>
      <w:keepLines/>
      <w:spacing w:after="0" w:before="200"/>
      <w:outlineLvl w:val="2"/>
    </w:pPr>
    <w:rPr>
      <w:rFonts w:asciiTheme="majorHAnsi" w:cstheme="majorBidi" w:eastAsiaTheme="majorEastAsia" w:hAnsiTheme="majorHAnsi"/>
      <w:b/>
      <w:bCs/>
      <w:color w:themeColor="accent1" w:val="4F81BD"/>
      <w:sz w:val="24"/>
      <w:szCs w:val="24"/>
    </w:rPr>
  </w:style>
  <w:style w:styleId="Heading4" w:type="paragraph">
    <w:name w:val="Heading 4"/>
    <w:basedOn w:val="Normal"/>
    <w:next w:val="BodyText"/>
    <w:uiPriority w:val="9"/>
    <w:unhideWhenUsed/>
    <w:qFormat/>
    <w:pPr>
      <w:keepNext/>
      <w:keepLines/>
      <w:spacing w:after="0" w:before="200"/>
      <w:outlineLvl w:val="3"/>
    </w:pPr>
    <w:rPr>
      <w:rFonts w:asciiTheme="majorHAnsi" w:cstheme="majorBidi" w:eastAsiaTheme="majorEastAsia" w:hAnsiTheme="majorHAnsi"/>
      <w:i/>
      <w:bCs/>
      <w:color w:themeColor="accent1" w:val="4F81BD"/>
      <w:sz w:val="24"/>
      <w:szCs w:val="24"/>
    </w:rPr>
  </w:style>
  <w:style w:styleId="Heading5" w:type="paragraph">
    <w:name w:val="Heading 5"/>
    <w:basedOn w:val="Normal"/>
    <w:next w:val="BodyText"/>
    <w:uiPriority w:val="9"/>
    <w:unhideWhenUsed/>
    <w:qFormat/>
    <w:pPr>
      <w:keepNext/>
      <w:keepLines/>
      <w:spacing w:after="0" w:before="200"/>
      <w:outlineLvl w:val="4"/>
    </w:pPr>
    <w:rPr>
      <w:rFonts w:asciiTheme="majorHAnsi" w:cstheme="majorBidi" w:eastAsiaTheme="majorEastAsia" w:hAnsiTheme="majorHAnsi"/>
      <w:iCs/>
      <w:color w:themeColor="accent1" w:val="4F81BD"/>
      <w:sz w:val="24"/>
      <w:szCs w:val="24"/>
    </w:rPr>
  </w:style>
  <w:style w:styleId="Heading6" w:type="paragraph">
    <w:name w:val="Heading 6"/>
    <w:basedOn w:val="Normal"/>
    <w:next w:val="BodyText"/>
    <w:uiPriority w:val="9"/>
    <w:unhideWhenUsed/>
    <w:qFormat/>
    <w:pPr>
      <w:keepNext/>
      <w:keepLines/>
      <w:spacing w:after="0" w:before="200"/>
      <w:outlineLvl w:val="5"/>
    </w:pPr>
    <w:rPr>
      <w:rFonts w:asciiTheme="majorHAnsi" w:cstheme="majorBidi" w:eastAsiaTheme="majorEastAsia" w:hAnsiTheme="majorHAnsi"/>
      <w:color w:themeColor="accent1" w:val="4F81BD"/>
      <w:sz w:val="24"/>
      <w:szCs w:val="24"/>
    </w:rPr>
  </w:style>
  <w:style w:styleId="Heading7" w:type="paragraph">
    <w:name w:val="Heading 7"/>
    <w:basedOn w:val="Normal"/>
    <w:next w:val="BodyText"/>
    <w:uiPriority w:val="9"/>
    <w:unhideWhenUsed/>
    <w:qFormat/>
    <w:pPr>
      <w:keepNext/>
      <w:keepLines/>
      <w:spacing w:after="0" w:before="200"/>
      <w:outlineLvl w:val="6"/>
    </w:pPr>
    <w:rPr>
      <w:rFonts w:asciiTheme="majorHAnsi" w:cstheme="majorBidi" w:eastAsiaTheme="majorEastAsia" w:hAnsiTheme="majorHAnsi"/>
      <w:color w:themeColor="accent1" w:val="4F81BD"/>
      <w:sz w:val="24"/>
      <w:szCs w:val="24"/>
    </w:rPr>
  </w:style>
  <w:style w:styleId="Heading8" w:type="paragraph">
    <w:name w:val="Heading 8"/>
    <w:basedOn w:val="Normal"/>
    <w:next w:val="BodyText"/>
    <w:uiPriority w:val="9"/>
    <w:unhideWhenUsed/>
    <w:qFormat/>
    <w:pPr>
      <w:keepNext/>
      <w:keepLines/>
      <w:spacing w:after="0" w:before="200"/>
      <w:outlineLvl w:val="7"/>
    </w:pPr>
    <w:rPr>
      <w:rFonts w:asciiTheme="majorHAnsi" w:cstheme="majorBidi" w:eastAsiaTheme="majorEastAsia" w:hAnsiTheme="majorHAnsi"/>
      <w:color w:themeColor="accent1" w:val="4F81BD"/>
      <w:sz w:val="24"/>
      <w:szCs w:val="24"/>
    </w:rPr>
  </w:style>
  <w:style w:styleId="Heading9" w:type="paragraph">
    <w:name w:val="Heading 9"/>
    <w:basedOn w:val="Normal"/>
    <w:next w:val="BodyText"/>
    <w:uiPriority w:val="9"/>
    <w:unhideWhenUsed/>
    <w:qFormat/>
    <w:pPr>
      <w:keepNext/>
      <w:keepLines/>
      <w:spacing w:after="0" w:before="200"/>
      <w:outlineLvl w:val="8"/>
    </w:pPr>
    <w:rPr>
      <w:rFonts w:asciiTheme="majorHAnsi" w:cstheme="majorBidi" w:eastAsiaTheme="majorEastAsia" w:hAnsiTheme="majorHAnsi"/>
      <w:color w:themeColor="accent1" w:val="4F81BD"/>
      <w:sz w:val="24"/>
      <w:szCs w:val="24"/>
    </w:rPr>
  </w:style>
  <w:style w:styleId="BlockText" w:type="paragraph">
    <w:name w:val="Block Text"/>
    <w:basedOn w:val="BodyText"/>
    <w:next w:val="BodyText"/>
    <w:uiPriority w:val="9"/>
    <w:unhideWhenUsed/>
    <w:qFormat/>
    <w:pPr>
      <w:spacing w:after="100" w:before="100"/>
      <w:ind w:firstLine="0" w:left="480" w:right="480"/>
    </w:pPr>
  </w:style>
  <w:style w:styleId="FootnoteText" w:type="paragraph">
    <w:name w:val="Footnote Text"/>
    <w:basedOn w:val="Normal"/>
    <w:next w:val="FootnoteText"/>
    <w:uiPriority w:val="9"/>
    <w:unhideWhenUsed/>
    <w:qFormat/>
    <w:pPr>
      <w:spacing w:before="0" w:after="0" w:line="200" w:lineRule="exact"/>
    </w:pPr>
    <w:rPr>
      <w:sz w:val="18"/>
      <w:szCs w:val="18"/>
    </w:rPr>
  </w:style>
  <w:style w:default="1" w:styleId="DefaultParagraphFont" w:type="character">
    <w:name w:val="Default Paragraph Font"/>
    <w:semiHidden/>
    <w:unhideWhenUsed/>
  </w:style>
  <w:style w:default="1" w:styleId="Table" w:type="table">
    <w:name w:val="Table"/>
    <w:basedOn w:val="TableNormal"/>
    <w:semiHidden/>
    <w:unhideWhenUsed/>
    <w:qFormat/>
    <w:tblPr>
      <w:tblInd w:type="dxa" w:w="0"/>
      <w:tblCellMar>
        <w:top w:type="dxa" w:w="0"/>
        <w:left w:type="dxa" w:w="108"/>
        <w:bottom w:type="dxa" w:w="0"/>
        <w:right w:type="dxa" w:w="108"/>
      </w:tblCellMar>
    </w:tblPr>
    <w:tblStylePr w:type="firstRow">
      <w:tblPr>
        <w:jc w:val="left"/>
        <w:tblInd w:type="dxa" w:w="0"/>
      </w:tblPr>
      <w:trPr>
        <w:jc w:val="left"/>
      </w:trPr>
      <w:tcPr>
        <w:vAlign w:val="bottom"/>
        <w:tcBorders>
          <w:bottom w:val="single"/>
        </w:tcBorders>
      </w:tcPr>
    </w:tblStylePr>
  </w:style>
  <w:style w:customStyle="1" w:styleId="DefinitionTerm" w:type="paragraph">
    <w:name w:val="Definition Term"/>
    <w:basedOn w:val="Normal"/>
    <w:next w:val="Definition"/>
    <w:pPr>
      <w:keepNext/>
      <w:keepLines/>
      <w:spacing w:after="0"/>
    </w:pPr>
    <w:rPr>
      <w:b/>
    </w:rPr>
  </w:style>
  <w:style w:customStyle="1" w:styleId="Definition" w:type="paragraph">
    <w:name w:val="Definition"/>
    <w:basedOn w:val="Normal"/>
  </w:style>
  <w:style w:styleId="Caption" w:type="paragraph">
    <w:name w:val="Caption"/>
    <w:basedOn w:val="Normal"/>
    <w:link w:val="BodyTextChar"/>
    <w:pPr>
      <w:spacing w:after="120" w:before="0"/>
    </w:pPr>
    <w:rPr>
      <w:i/>
    </w:rPr>
  </w:style>
  <w:style w:customStyle="1" w:styleId="TableCaption" w:type="paragraph">
    <w:name w:val="Table Caption"/>
    <w:basedOn w:val="Caption"/>
    <w:pPr>
      <w:keepNext/>
    </w:pPr>
  </w:style>
  <w:style w:customStyle="1" w:styleId="ImageCaption" w:type="paragraph">
    <w:name w:val="Image Caption"/>
    <w:basedOn w:val="Caption"/>
  </w:style>
  <w:style w:customStyle="1" w:styleId="Figure" w:type="paragraph">
    <w:name w:val="Figure"/>
    <w:basedOn w:val="Normal"/>
  </w:style>
  <w:style w:customStyle="1" w:styleId="CaptionedFigure" w:type="paragraph">
    <w:name w:val="Captioned Figure"/>
    <w:basedOn w:val="Figure"/>
    <w:pPr>
      <w:keepNext/>
    </w:pPr>
  </w:style>
  <w:style w:customStyle="1" w:styleId="BodyTextChar" w:type="character">
    <w:name w:val="Body Text Char"/>
    <w:basedOn w:val="DefaultParagraphFont"/>
    <w:link w:val="BodyText"/>
  </w:style>
  <w:style w:customStyle="1" w:styleId="VerbatimChar" w:type="character">
    <w:name w:val="Verbatim Char"/>
    <w:basedOn w:val="BodyTextChar"/>
    <w:rPr>
      <w:rFonts w:ascii="Consolas" w:hAnsi="Consolas"/>
      <w:sz w:val="22"/>
    </w:rPr>
  </w:style>
  <w:style w:customStyle="1" w:styleId="SectionNumber" w:type="character">
    <w:name w:val="Section Number"/>
    <w:basedOn w:val="BodyTextChar"/>
  </w:style>
  <w:style w:styleId="FootnoteReference" w:type="character">
    <w:name w:val="Footnote Reference"/>
    <w:basedOn w:val="BodyTextChar"/>
    <w:rPr>
      <w:vertAlign w:val="superscript"/>
    </w:rPr>
  </w:style>
  <w:style w:styleId="Hyperlink" w:type="character">
    <w:name w:val="Hyperlink"/>
    <w:basedOn w:val="BodyTextChar"/>
    <w:rPr>
      <w:color w:themeColor="accent1" w:val="4F81BD"/>
    </w:rPr>
  </w:style>
  <w:style w:styleId="TOCHeading" w:type="paragraph">
    <w:name w:val="TOC Heading"/>
    <w:basedOn w:val="Heading1"/>
    <w:next w:val="BodyText"/>
    <w:uiPriority w:val="39"/>
    <w:unhideWhenUsed/>
    <w:qFormat/>
    <w:pPr>
      <w:spacing w:before="240" w:line="259" w:lineRule="auto"/>
      <w:outlineLvl w:val="9"/>
    </w:pPr>
    <w:rPr>
      <w:rFonts w:asciiTheme="majorHAnsi" w:cstheme="majorBidi" w:eastAsiaTheme="majorEastAsia" w:hAnsiTheme="majorHAnsi"/>
      <w:b w:val="0"/>
      <w:bCs w:val="0"/>
      <w:color w:themeColor="accent1" w:themeShade="BF" w:val="365F91"/>
    </w:rPr>
  </w:style>
  <w:style w:type="paragraph" w:customStyle="1" w:styleId="SourceCode">
    <w:name w:val="Source Code"/>
    <w:basedOn w:val="Normal"/>
    <w:link w:val="VerbatimChar"/>
    <w:pPr>
      <w:wordWrap w:val="off"/>
    </w:pPr>
  </w:style>
  <w:style w:type="character" w:customStyle="1" w:styleId="KeywordTok">
    <w:name w:val="KeywordTok"/>
    <w:basedOn w:val="VerbatimChar"/>
    <w:rPr>
      <w:color w:val="007020"/>
      <w:b/>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color w:val="008000"/>
      <w:b/>
    </w:rPr>
  </w:style>
  <w:style w:type="character" w:customStyle="1" w:styleId="CommentTok">
    <w:name w:val="CommentTok"/>
    <w:basedOn w:val="VerbatimChar"/>
    <w:rPr>
      <w:color w:val="60a0b0"/>
      <w:i/>
    </w:rPr>
  </w:style>
  <w:style w:type="character" w:customStyle="1" w:styleId="DocumentationTok">
    <w:name w:val="DocumentationTok"/>
    <w:basedOn w:val="VerbatimChar"/>
    <w:rPr>
      <w:color w:val="ba2121"/>
      <w:i/>
    </w:rPr>
  </w:style>
  <w:style w:type="character" w:customStyle="1" w:styleId="AnnotationTok">
    <w:name w:val="AnnotationTok"/>
    <w:basedOn w:val="VerbatimChar"/>
    <w:rPr>
      <w:color w:val="60a0b0"/>
      <w:b/>
      <w:i/>
    </w:rPr>
  </w:style>
  <w:style w:type="character" w:customStyle="1" w:styleId="CommentVarTok">
    <w:name w:val="CommentVarTok"/>
    <w:basedOn w:val="VerbatimChar"/>
    <w:rPr>
      <w:color w:val="60a0b0"/>
      <w:b/>
      <w:i/>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color w:val="007020"/>
      <w:b/>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color w:val="60a0b0"/>
      <w:b/>
      <w:i/>
    </w:rPr>
  </w:style>
  <w:style w:type="character" w:customStyle="1" w:styleId="WarningTok">
    <w:name w:val="WarningTok"/>
    <w:basedOn w:val="VerbatimChar"/>
    <w:rPr>
      <w:color w:val="60a0b0"/>
      <w:b/>
      <w:i/>
    </w:rPr>
  </w:style>
  <w:style w:type="character" w:customStyle="1" w:styleId="AlertTok">
    <w:name w:val="AlertTok"/>
    <w:basedOn w:val="VerbatimChar"/>
    <w:rPr>
      <w:color w:val="ff0000"/>
      <w:b/>
    </w:rPr>
  </w:style>
  <w:style w:type="character" w:customStyle="1" w:styleId="ErrorTok">
    <w:name w:val="ErrorTok"/>
    <w:basedOn w:val="VerbatimChar"/>
    <w:rPr>
      <w:color w:val="ff0000"/>
      <w:b/>
    </w:rPr>
  </w:style>
  <w:style w:type="character" w:customStyle="1" w:styleId="NormalTok">
    <w:name w:val="NormalTok"/>
    <w:basedOn w:val="VerbatimChar"/>
    <w:rPr/>
  </w:style>
</w:styles>
</file>

<file path=word/webSettings.xml><?xml version="1.0" encoding="utf-8"?>
<ns0:webSettings xmlns:ns0="http://schemas.openxmlformats.org/wordprocessingml/2006/main">
  <ns0:allowPNG/>
  <ns0:doNotSaveAsSingleFile/>
</ns0:webSettings>
</file>

<file path=word/_rels/document.xml.rels><?xml version='1.0' encoding='UTF-8'?>
<Relationships xmlns="http://schemas.openxmlformats.org/package/2006/relationships"><Relationship Type="http://schemas.openxmlformats.org/officeDocument/2006/relationships/numbering" Id="rId1" Target="numbering.xml"/><Relationship Type="http://schemas.openxmlformats.org/officeDocument/2006/relationships/styles" Id="rId2" Target="styles.xml"/><Relationship Type="http://schemas.openxmlformats.org/officeDocument/2006/relationships/settings" Id="rId3" Target="settings.xml"/><Relationship Type="http://schemas.openxmlformats.org/officeDocument/2006/relationships/webSettings" Id="rId4" Target="webSettings.xml"/><Relationship Type="http://schemas.openxmlformats.org/officeDocument/2006/relationships/fontTable" Id="rId5" Target="fontTable.xml"/><Relationship Type="http://schemas.openxmlformats.org/officeDocument/2006/relationships/theme" Id="rId6" Target="theme/theme1.xml"/><Relationship Type="http://schemas.openxmlformats.org/officeDocument/2006/relationships/footnotes" Id="rId7" Target="footnotes.xml"/><Relationship Type="http://schemas.openxmlformats.org/officeDocument/2006/relationships/comments" Id="rId8" Target="comments.xml"/><Relationship Type="http://schemas.openxmlformats.org/officeDocument/2006/relationships/image" Id="rId44" Target="media/rId44.png"/><Relationship Type="http://schemas.openxmlformats.org/officeDocument/2006/relationships/image" Id="rId92" Target="media/rId92.png"/><Relationship Id="rId93" Type="http://schemas.openxmlformats.org/officeDocument/2006/relationships/endnotes" Target="endnotes.xml"/></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Words>83</Words>
  <SharedDoc>false</SharedDoc>
  <HyperlinksChanged>false</HyperlinksChanged>
  <Lines>12</Lines>
  <AppVersion>12.0000</AppVersion>
  <LinksUpToDate>false</LinksUpToDate>
  <Application>Microsoft Word 12.0.0</Application>
  <CharactersWithSpaces>583</CharactersWithSpaces>
  <Template>Normal.dotm</Template>
  <DocSecurity>0</DocSecurity>
  <TotalTime>6</TotalTime>
  <ScaleCrop>false</ScaleCrop>
  <Characters>475</Characters>
  <Paragraphs>8</Paragraphs>
  <Pages>1</Pag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dcterms:created xsi:type="dcterms:W3CDTF">2026-06-29T10:31:04Z</dcterms:created>
  <dcterms:modified xsi:type="dcterms:W3CDTF">2026-06-29T10:31:04Z</dcterms:modified>
</cp:coreProperties>
</file>

<file path=docProps/custom.xml><?xml version="1.0" encoding="utf-8"?>
<Properties xmlns="http://schemas.openxmlformats.org/officeDocument/2006/custom-properties" xmlns:vt="http://schemas.openxmlformats.org/officeDocument/2006/docPropsVTypes"/>
</file>