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Pr>
        <w:jc w:val="center"/>
      </w:pPr>
      <w:r>
        <w:rPr>
          <w:rFonts w:ascii="Arial" w:hAnsi="Arial"/>
          <w:b/>
          <w:color w:val="3B82F6"/>
          <w:sz w:val="22"/>
        </w:rPr>
        <w:t>TECHNOLOGY BRIEFING</w:t>
      </w:r>
    </w:p>
    <w:p>
      <w:pPr>
        <w:spacing w:after="80"/>
        <w:jc w:val="center"/>
      </w:pPr>
      <w:r>
        <w:rPr>
          <w:rFonts w:ascii="Arial" w:hAnsi="Arial"/>
          <w:b/>
          <w:color w:val="1E2761"/>
          <w:sz w:val="64"/>
        </w:rPr>
        <w:t>AI SDLC Guard</w:t>
      </w:r>
    </w:p>
    <w:p>
      <w:pPr>
        <w:spacing w:after="1200"/>
        <w:jc w:val="center"/>
      </w:pPr>
      <w:r>
        <w:rPr>
          <w:rFonts w:ascii="Arial" w:hAnsi="Arial"/>
          <w:color w:val="4A4E69"/>
          <w:sz w:val="28"/>
        </w:rPr>
        <w:t>Governance Runtime for AI-Generated Code</w:t>
      </w:r>
    </w:p>
    <w:p>
      <w:pPr>
        <w:pBdr>
          <w:bottom w:val="single" w:sz="4" w:space="4" w:color="D0D5DD"/>
        </w:pBdr>
        <w:jc w:val="center"/>
      </w:pPr>
    </w:p>
    <w:p>
      <w:pPr>
        <w:spacing w:before="240"/>
        <w:jc w:val="center"/>
      </w:pPr>
      <w:r>
        <w:rPr>
          <w:rFonts w:ascii="Arial" w:hAnsi="Arial"/>
          <w:color w:val="4A4E69"/>
          <w:sz w:val="20"/>
        </w:rPr>
        <w:t>Version 1.0.0  |  March 2026  |  Confidential</w:t>
      </w:r>
    </w:p>
    <w:p>
      <w:pPr>
        <w:jc w:val="center"/>
      </w:pPr>
      <w:r>
        <w:rPr>
          <w:rFonts w:ascii="Arial" w:hAnsi="Arial"/>
          <w:color w:val="4A4E69"/>
          <w:sz w:val="20"/>
        </w:rPr>
        <w:t>Prepared by Max Gerhardson</w:t>
      </w:r>
    </w:p>
    <w:p>
      <w:r>
        <w:br w:type="page"/>
      </w:r>
    </w:p>
    <w:p>
      <w:pPr>
        <w:pStyle w:val="Heading1"/>
        <w:pBdr>
          <w:bottom w:val="single" w:sz="6" w:space="4" w:color="3B82F6"/>
        </w:pBdr>
      </w:pPr>
      <w:r>
        <w:t>Executive Summary</w:t>
      </w:r>
    </w:p>
    <w:p>
      <w:r>
        <w:t>AI SDLC Guard is a governance runtime that enforces coding standards, traces work items, and gates pull requests for enterprise development teams using AI coding agents. It provides deterministic quality control for AI-generated code — filling a critical gap in the modern development toolchain where AI agents produce code at unprecedented speed but bypass established review norms.</w:t>
      </w:r>
    </w:p>
    <w:p>
      <w:r>
        <w:t>The platform ships as both a CLI tool and a REST API, integrating directly into CI/CD pipelines. Every commit, pull request, or ad-hoc scan triggers the guard, which evaluates code against configured rules, links findings to work items, produces compliance reports, and optionally auto-patches low-severity issues.</w:t>
      </w:r>
    </w:p>
    <w:p>
      <w:r>
        <w:t>AI SDLC Guard is v1.0.0 with ~5,500 lines of production code, 96%+ test coverage, 816 passing tests, Docker deployment, and three regulatory standards packs covering FDA IEC 62304, OWASP Top 10 2021, and SOC2 Trust Services Criteria. It is ready for internal pilot deployment.</w:t>
      </w:r>
    </w:p>
    <w:p/>
    <w:tbl>
      <w:tblPr>
        <w:tblW w:type="auto" w:w="0"/>
        <w:jc w:val="center"/>
        <w:tblLook w:firstColumn="1" w:firstRow="1" w:lastColumn="0" w:lastRow="0" w:noHBand="0" w:noVBand="1" w:val="04A0"/>
      </w:tblPr>
      <w:tblGrid>
        <w:gridCol w:w="2340"/>
        <w:gridCol w:w="2340"/>
        <w:gridCol w:w="2340"/>
        <w:gridCol w:w="2340"/>
      </w:tblGrid>
      <w:tr>
        <w:tc>
          <w:tcPr>
            <w:tcW w:type="dxa" w:w="2340"/>
            <w:tcBorders>
              <w:top w:val="none" w:sz="0" w:space="0" w:color="auto"/>
              <w:bottom w:val="none" w:sz="0" w:space="0" w:color="auto"/>
              <w:left w:val="none" w:sz="0" w:space="0" w:color="auto"/>
              <w:right w:val="none" w:sz="0" w:space="0" w:color="auto"/>
            </w:tcBorders>
            <w:shd w:fill="F4F6FC" w:val="clear"/>
            <w:tcMar>
              <w:top w:w="100" w:type="dxa"/>
              <w:start w:w="100" w:type="dxa"/>
              <w:bottom w:w="100" w:type="dxa"/>
              <w:end w:w="100" w:type="dxa"/>
            </w:tcMar>
          </w:tcPr>
          <w:p>
            <w:pPr>
              <w:jc w:val="center"/>
            </w:pPr>
            <w:r/>
            <w:r>
              <w:rPr>
                <w:rFonts w:ascii="Arial" w:hAnsi="Arial"/>
                <w:b/>
                <w:color w:val="3B82F6"/>
                <w:sz w:val="44"/>
              </w:rPr>
              <w:t>~5,500</w:t>
            </w:r>
          </w:p>
        </w:tc>
        <w:tc>
          <w:tcPr>
            <w:tcW w:type="dxa" w:w="2340"/>
            <w:tcBorders>
              <w:top w:val="none" w:sz="0" w:space="0" w:color="auto"/>
              <w:bottom w:val="none" w:sz="0" w:space="0" w:color="auto"/>
              <w:left w:val="none" w:sz="0" w:space="0" w:color="auto"/>
              <w:right w:val="none" w:sz="0" w:space="0" w:color="auto"/>
            </w:tcBorders>
            <w:shd w:fill="F4F6FC" w:val="clear"/>
            <w:tcMar>
              <w:top w:w="100" w:type="dxa"/>
              <w:start w:w="100" w:type="dxa"/>
              <w:bottom w:w="100" w:type="dxa"/>
              <w:end w:w="100" w:type="dxa"/>
            </w:tcMar>
          </w:tcPr>
          <w:p>
            <w:pPr>
              <w:jc w:val="center"/>
            </w:pPr>
            <w:r/>
            <w:r>
              <w:rPr>
                <w:rFonts w:ascii="Arial" w:hAnsi="Arial"/>
                <w:b/>
                <w:color w:val="3B82F6"/>
                <w:sz w:val="44"/>
              </w:rPr>
              <w:t>816</w:t>
            </w:r>
          </w:p>
        </w:tc>
        <w:tc>
          <w:tcPr>
            <w:tcW w:type="dxa" w:w="2340"/>
            <w:tcBorders>
              <w:top w:val="none" w:sz="0" w:space="0" w:color="auto"/>
              <w:bottom w:val="none" w:sz="0" w:space="0" w:color="auto"/>
              <w:left w:val="none" w:sz="0" w:space="0" w:color="auto"/>
              <w:right w:val="none" w:sz="0" w:space="0" w:color="auto"/>
            </w:tcBorders>
            <w:shd w:fill="F4F6FC" w:val="clear"/>
            <w:tcMar>
              <w:top w:w="100" w:type="dxa"/>
              <w:start w:w="100" w:type="dxa"/>
              <w:bottom w:w="100" w:type="dxa"/>
              <w:end w:w="100" w:type="dxa"/>
            </w:tcMar>
          </w:tcPr>
          <w:p>
            <w:pPr>
              <w:jc w:val="center"/>
            </w:pPr>
            <w:r/>
            <w:r>
              <w:rPr>
                <w:rFonts w:ascii="Arial" w:hAnsi="Arial"/>
                <w:b/>
                <w:color w:val="3B82F6"/>
                <w:sz w:val="44"/>
              </w:rPr>
              <w:t>96%+</w:t>
            </w:r>
          </w:p>
        </w:tc>
        <w:tc>
          <w:tcPr>
            <w:tcW w:type="dxa" w:w="2340"/>
            <w:tcBorders>
              <w:top w:val="none" w:sz="0" w:space="0" w:color="auto"/>
              <w:bottom w:val="none" w:sz="0" w:space="0" w:color="auto"/>
              <w:left w:val="none" w:sz="0" w:space="0" w:color="auto"/>
              <w:right w:val="none" w:sz="0" w:space="0" w:color="auto"/>
            </w:tcBorders>
            <w:shd w:fill="F4F6FC" w:val="clear"/>
            <w:tcMar>
              <w:top w:w="100" w:type="dxa"/>
              <w:start w:w="100" w:type="dxa"/>
              <w:bottom w:w="100" w:type="dxa"/>
              <w:end w:w="100" w:type="dxa"/>
            </w:tcMar>
          </w:tcPr>
          <w:p>
            <w:pPr>
              <w:jc w:val="center"/>
            </w:pPr>
            <w:r/>
            <w:r>
              <w:rPr>
                <w:rFonts w:ascii="Arial" w:hAnsi="Arial"/>
                <w:b/>
                <w:color w:val="3B82F6"/>
                <w:sz w:val="44"/>
              </w:rPr>
              <w:t>52</w:t>
            </w:r>
          </w:p>
        </w:tc>
      </w:tr>
      <w:tr>
        <w:tc>
          <w:tcPr>
            <w:tcW w:type="dxa" w:w="2340"/>
            <w:tcBorders>
              <w:top w:val="none" w:sz="0" w:space="0" w:color="auto"/>
              <w:bottom w:val="none" w:sz="0" w:space="0" w:color="auto"/>
              <w:left w:val="none" w:sz="0" w:space="0" w:color="auto"/>
              <w:right w:val="none" w:sz="0" w:space="0" w:color="auto"/>
            </w:tcBorders>
            <w:shd w:fill="F4F6FC" w:val="clear"/>
            <w:tcMar>
              <w:top w:w="100" w:type="dxa"/>
              <w:start w:w="100" w:type="dxa"/>
              <w:bottom w:w="100" w:type="dxa"/>
              <w:end w:w="100" w:type="dxa"/>
            </w:tcMar>
          </w:tcPr>
          <w:p>
            <w:pPr>
              <w:jc w:val="center"/>
            </w:pPr>
            <w:r/>
            <w:r>
              <w:rPr>
                <w:rFonts w:ascii="Arial" w:hAnsi="Arial"/>
                <w:color w:val="4A4E69"/>
                <w:sz w:val="18"/>
              </w:rPr>
              <w:t>Source LOC</w:t>
            </w:r>
          </w:p>
        </w:tc>
        <w:tc>
          <w:tcPr>
            <w:tcW w:type="dxa" w:w="2340"/>
            <w:tcBorders>
              <w:top w:val="none" w:sz="0" w:space="0" w:color="auto"/>
              <w:bottom w:val="none" w:sz="0" w:space="0" w:color="auto"/>
              <w:left w:val="none" w:sz="0" w:space="0" w:color="auto"/>
              <w:right w:val="none" w:sz="0" w:space="0" w:color="auto"/>
            </w:tcBorders>
            <w:shd w:fill="F4F6FC" w:val="clear"/>
            <w:tcMar>
              <w:top w:w="100" w:type="dxa"/>
              <w:start w:w="100" w:type="dxa"/>
              <w:bottom w:w="100" w:type="dxa"/>
              <w:end w:w="100" w:type="dxa"/>
            </w:tcMar>
          </w:tcPr>
          <w:p>
            <w:pPr>
              <w:jc w:val="center"/>
            </w:pPr>
            <w:r/>
            <w:r>
              <w:rPr>
                <w:rFonts w:ascii="Arial" w:hAnsi="Arial"/>
                <w:color w:val="4A4E69"/>
                <w:sz w:val="18"/>
              </w:rPr>
              <w:t>Tests Passing</w:t>
            </w:r>
          </w:p>
        </w:tc>
        <w:tc>
          <w:tcPr>
            <w:tcW w:type="dxa" w:w="2340"/>
            <w:tcBorders>
              <w:top w:val="none" w:sz="0" w:space="0" w:color="auto"/>
              <w:bottom w:val="none" w:sz="0" w:space="0" w:color="auto"/>
              <w:left w:val="none" w:sz="0" w:space="0" w:color="auto"/>
              <w:right w:val="none" w:sz="0" w:space="0" w:color="auto"/>
            </w:tcBorders>
            <w:shd w:fill="F4F6FC" w:val="clear"/>
            <w:tcMar>
              <w:top w:w="100" w:type="dxa"/>
              <w:start w:w="100" w:type="dxa"/>
              <w:bottom w:w="100" w:type="dxa"/>
              <w:end w:w="100" w:type="dxa"/>
            </w:tcMar>
          </w:tcPr>
          <w:p>
            <w:pPr>
              <w:jc w:val="center"/>
            </w:pPr>
            <w:r/>
            <w:r>
              <w:rPr>
                <w:rFonts w:ascii="Arial" w:hAnsi="Arial"/>
                <w:color w:val="4A4E69"/>
                <w:sz w:val="18"/>
              </w:rPr>
              <w:t>Test Coverage</w:t>
            </w:r>
          </w:p>
        </w:tc>
        <w:tc>
          <w:tcPr>
            <w:tcW w:type="dxa" w:w="2340"/>
            <w:tcBorders>
              <w:top w:val="none" w:sz="0" w:space="0" w:color="auto"/>
              <w:bottom w:val="none" w:sz="0" w:space="0" w:color="auto"/>
              <w:left w:val="none" w:sz="0" w:space="0" w:color="auto"/>
              <w:right w:val="none" w:sz="0" w:space="0" w:color="auto"/>
            </w:tcBorders>
            <w:shd w:fill="F4F6FC" w:val="clear"/>
            <w:tcMar>
              <w:top w:w="100" w:type="dxa"/>
              <w:start w:w="100" w:type="dxa"/>
              <w:bottom w:w="100" w:type="dxa"/>
              <w:end w:w="100" w:type="dxa"/>
            </w:tcMar>
          </w:tcPr>
          <w:p>
            <w:pPr>
              <w:jc w:val="center"/>
            </w:pPr>
            <w:r/>
            <w:r>
              <w:rPr>
                <w:rFonts w:ascii="Arial" w:hAnsi="Arial"/>
                <w:color w:val="4A4E69"/>
                <w:sz w:val="18"/>
              </w:rPr>
              <w:t>Regulatory Rules</w:t>
            </w:r>
          </w:p>
        </w:tc>
      </w:tr>
    </w:tbl>
    <w:p/>
    <w:p>
      <w:pPr>
        <w:pStyle w:val="Heading1"/>
        <w:pBdr>
          <w:bottom w:val="single" w:sz="6" w:space="4" w:color="3B82F6"/>
        </w:pBdr>
      </w:pPr>
      <w:r>
        <w:t>The Problem</w:t>
      </w:r>
    </w:p>
    <w:p>
      <w:r>
        <w:t>AI coding agents — GitHub Copilot, Claude Code, Cursor, and others — generate code at unprecedented speed. But they create three distinct problems for enterprise development teams:</w:t>
      </w:r>
    </w:p>
    <w:p>
      <w:r>
        <w:rPr>
          <w:b/>
        </w:rPr>
        <w:t xml:space="preserve">No governance layer. </w:t>
      </w:r>
      <w:r>
        <w:t>AI agents bypass established code review norms. Secrets, debug code, eval statements, and banned patterns slip into codebases undetected. There is no deterministic check between “AI wrote it” and “it shipped.”</w:t>
      </w:r>
    </w:p>
    <w:p>
      <w:r>
        <w:rPr>
          <w:b/>
        </w:rPr>
        <w:t xml:space="preserve">Compliance blind spots. </w:t>
      </w:r>
      <w:r>
        <w:t>Regulated industries — healthcare (FDA), financial services (SOC2), and web platforms (OWASP) — need documented evidence that code quality controls are in place. Manual review does not scale with AI-speed output.</w:t>
      </w:r>
    </w:p>
    <w:p>
      <w:r>
        <w:rPr>
          <w:b/>
        </w:rPr>
        <w:t xml:space="preserve">Broken traceability. </w:t>
      </w:r>
      <w:r>
        <w:t>Work items disconnect from code changes. There is no audit trail linking requirements to implementation, and no automated way to sync status back to project management tools.</w:t>
      </w:r>
    </w:p>
    <w:p/>
    <w:p>
      <w:pPr>
        <w:pStyle w:val="Heading1"/>
        <w:pBdr>
          <w:bottom w:val="single" w:sz="6" w:space="4" w:color="3B82F6"/>
        </w:pBdr>
      </w:pPr>
      <w:r>
        <w:t>The Solution</w:t>
      </w:r>
    </w:p>
    <w:p>
      <w:r>
        <w:t>AI SDLC Guard sits in the development pipeline — between the AI agent and the code repository. The core workflow is:</w:t>
      </w:r>
    </w:p>
    <w:p>
      <w:pPr>
        <w:spacing w:before="240" w:after="240"/>
        <w:jc w:val="center"/>
      </w:pPr>
      <w:r>
        <w:rPr>
          <w:rFonts w:ascii="Arial" w:hAnsi="Arial"/>
          <w:b/>
          <w:color w:val="3B82F6"/>
          <w:sz w:val="28"/>
        </w:rPr>
        <w:t>Commit  →  Scan  →  Gate  →  Report  →  Sync</w:t>
      </w:r>
    </w:p>
    <w:p>
      <w:r>
        <w:t>Every code change passes through the guard before merge. The scan evaluates files against configured rules (regex patterns, AST semantic analysis, file-policy structural checks, and documentation obligations). The gate enforces pass/fail thresholds. Reports are generated in HTML, JUnit XML, and SARIF formats. The sync step pushes findings and status back to the team’s project management platform.</w:t>
      </w:r>
    </w:p>
    <w:p>
      <w:r>
        <w:br w:type="page"/>
      </w:r>
    </w:p>
    <w:p>
      <w:pPr>
        <w:pStyle w:val="Heading1"/>
        <w:pBdr>
          <w:bottom w:val="single" w:sz="6" w:space="4" w:color="3B82F6"/>
        </w:pBdr>
      </w:pPr>
      <w:r>
        <w:t>Technical Implementation</w:t>
      </w:r>
    </w:p>
    <w:p>
      <w:pPr>
        <w:pStyle w:val="Heading2"/>
      </w:pPr>
      <w:r>
        <w:t>Architecture</w:t>
      </w:r>
    </w:p>
    <w:p>
      <w:r>
        <w:t>AI SDLC Guard is built in Python 3.11+ with a pluggable provider architecture. The system uses a factory pattern that enables swapping backends via a single YAML configuration file (.guard.yaml) checked into the repository. The architecture has five major subsystems:</w:t>
      </w:r>
    </w:p>
    <w:p>
      <w:pPr>
        <w:pStyle w:val="ListBullet"/>
      </w:pPr>
      <w:r>
        <w:rPr>
          <w:b/>
        </w:rPr>
        <w:t xml:space="preserve">Rules Engine — </w:t>
      </w:r>
      <w:r>
        <w:t>Evaluates code against 5 rule types: regex pattern matching, required-pattern (inverse regex), file-policy structural checks, AST semantic analysis, and documentation obligations (non-gating compliance items).</w:t>
      </w:r>
    </w:p>
    <w:p>
      <w:pPr>
        <w:pStyle w:val="ListBullet"/>
      </w:pPr>
      <w:r>
        <w:rPr>
          <w:b/>
        </w:rPr>
        <w:t xml:space="preserve">Scanner Providers — </w:t>
      </w:r>
      <w:r>
        <w:t>Pluggable backends including a stub provider for testing, SARIF import for tool interop, Anthropic LLM for AI-powered analysis, and a composite scanner that combines multiple backends.</w:t>
      </w:r>
    </w:p>
    <w:p>
      <w:pPr>
        <w:pStyle w:val="ListBullet"/>
      </w:pPr>
      <w:r>
        <w:rPr>
          <w:b/>
        </w:rPr>
        <w:t xml:space="preserve">DevOps Providers — </w:t>
      </w:r>
      <w:r>
        <w:t>Bidirectional integration with Azure DevOps (work items and standards) and GitHub (Issues and standards). Work items are extracted from branch names and commit messages.</w:t>
      </w:r>
    </w:p>
    <w:p>
      <w:pPr>
        <w:pStyle w:val="ListBullet"/>
      </w:pPr>
      <w:r>
        <w:rPr>
          <w:b/>
        </w:rPr>
        <w:t xml:space="preserve">Report Generators — </w:t>
      </w:r>
      <w:r>
        <w:t>HTML reports with compliance obligation sections, JUnit XML for CI integration, and SARIF JSON for tool interoperability.</w:t>
      </w:r>
    </w:p>
    <w:p>
      <w:pPr>
        <w:pStyle w:val="ListBullet"/>
      </w:pPr>
      <w:r>
        <w:rPr>
          <w:b/>
        </w:rPr>
        <w:t xml:space="preserve">REST API — </w:t>
      </w:r>
      <w:r>
        <w:t>FastAPI server exposing 5 endpoints (/health, /scan, /gate, /report, /rules) with optional API key authentication. Dockerized for team-wide deployment.</w:t>
      </w:r>
    </w:p>
    <w:p>
      <w:pPr>
        <w:pStyle w:val="Heading2"/>
      </w:pPr>
      <w:r>
        <w:t>Rules Engine</w:t>
      </w:r>
    </w:p>
    <w:p>
      <w:r>
        <w:t>The rules engine supports five distinct rule types, each designed for different categories of code quality enforcement:</w:t>
      </w:r>
    </w:p>
    <w:p/>
    <w:tbl>
      <w:tblPr>
        <w:tblStyle w:val="TableGrid"/>
        <w:tblW w:type="auto" w:w="0"/>
        <w:jc w:val="center"/>
        <w:tblLook w:firstColumn="1" w:firstRow="1" w:lastColumn="0" w:lastRow="0" w:noHBand="0" w:noVBand="1" w:val="04A0"/>
      </w:tblPr>
      <w:tblGrid>
        <w:gridCol w:w="3120"/>
        <w:gridCol w:w="3120"/>
        <w:gridCol w:w="3120"/>
      </w:tblGrid>
      <w:tr>
        <w:tc>
          <w:tcPr>
            <w:tcW w:type="dxa" w:w="2160"/>
            <w:shd w:fill="1E2761" w:val="clear"/>
            <w:tcMar>
              <w:top w:w="60" w:type="dxa"/>
              <w:start w:w="80" w:type="dxa"/>
              <w:bottom w:w="60" w:type="dxa"/>
              <w:end w:w="80" w:type="dxa"/>
            </w:tcMar>
          </w:tcPr>
          <w:p>
            <w:r/>
            <w:r>
              <w:rPr>
                <w:rFonts w:ascii="Arial" w:hAnsi="Arial"/>
                <w:b/>
                <w:color w:val="FFFFFF"/>
                <w:sz w:val="20"/>
              </w:rPr>
              <w:t>Rule Type</w:t>
            </w:r>
          </w:p>
        </w:tc>
        <w:tc>
          <w:tcPr>
            <w:tcW w:type="dxa" w:w="3960"/>
            <w:shd w:fill="1E2761" w:val="clear"/>
            <w:tcMar>
              <w:top w:w="60" w:type="dxa"/>
              <w:start w:w="80" w:type="dxa"/>
              <w:bottom w:w="60" w:type="dxa"/>
              <w:end w:w="80" w:type="dxa"/>
            </w:tcMar>
          </w:tcPr>
          <w:p>
            <w:r/>
            <w:r>
              <w:rPr>
                <w:rFonts w:ascii="Arial" w:hAnsi="Arial"/>
                <w:b/>
                <w:color w:val="FFFFFF"/>
                <w:sz w:val="20"/>
              </w:rPr>
              <w:t>Mechanism</w:t>
            </w:r>
          </w:p>
        </w:tc>
        <w:tc>
          <w:tcPr>
            <w:tcW w:type="dxa" w:w="3960"/>
            <w:shd w:fill="1E2761" w:val="clear"/>
            <w:tcMar>
              <w:top w:w="60" w:type="dxa"/>
              <w:start w:w="80" w:type="dxa"/>
              <w:bottom w:w="60" w:type="dxa"/>
              <w:end w:w="80" w:type="dxa"/>
            </w:tcMar>
          </w:tcPr>
          <w:p>
            <w:r/>
            <w:r>
              <w:rPr>
                <w:rFonts w:ascii="Arial" w:hAnsi="Arial"/>
                <w:b/>
                <w:color w:val="FFFFFF"/>
                <w:sz w:val="20"/>
              </w:rPr>
              <w:t>Example Use Case</w:t>
            </w:r>
          </w:p>
        </w:tc>
      </w:tr>
      <w:tr>
        <w:tc>
          <w:tcPr>
            <w:tcW w:type="dxa" w:w="2160"/>
            <w:shd w:fill="F4F6FC" w:val="clear"/>
            <w:tcMar>
              <w:top w:w="60" w:type="dxa"/>
              <w:start w:w="80" w:type="dxa"/>
              <w:bottom w:w="60" w:type="dxa"/>
              <w:end w:w="80" w:type="dxa"/>
            </w:tcMar>
          </w:tcPr>
          <w:p>
            <w:r/>
            <w:r>
              <w:rPr>
                <w:rFonts w:ascii="Arial" w:hAnsi="Arial"/>
                <w:b/>
                <w:color w:val="1A1A2E"/>
                <w:sz w:val="20"/>
              </w:rPr>
              <w:t>Regex</w:t>
            </w:r>
          </w:p>
        </w:tc>
        <w:tc>
          <w:tcPr>
            <w:tcW w:type="dxa" w:w="3960"/>
            <w:shd w:fill="F4F6FC" w:val="clear"/>
            <w:tcMar>
              <w:top w:w="60" w:type="dxa"/>
              <w:start w:w="80" w:type="dxa"/>
              <w:bottom w:w="60" w:type="dxa"/>
              <w:end w:w="80" w:type="dxa"/>
            </w:tcMar>
          </w:tcPr>
          <w:p>
            <w:r/>
            <w:r>
              <w:rPr>
                <w:rFonts w:ascii="Arial" w:hAnsi="Arial"/>
                <w:color w:val="1A1A2E"/>
                <w:sz w:val="20"/>
              </w:rPr>
              <w:t>Pattern matching against file contents with optional composite (all_patterns) matching</w:t>
            </w:r>
          </w:p>
        </w:tc>
        <w:tc>
          <w:tcPr>
            <w:tcW w:type="dxa" w:w="3960"/>
            <w:shd w:fill="F4F6FC" w:val="clear"/>
            <w:tcMar>
              <w:top w:w="60" w:type="dxa"/>
              <w:start w:w="80" w:type="dxa"/>
              <w:bottom w:w="60" w:type="dxa"/>
              <w:end w:w="80" w:type="dxa"/>
            </w:tcMar>
          </w:tcPr>
          <w:p>
            <w:r/>
            <w:r>
              <w:rPr>
                <w:rFonts w:ascii="Arial" w:hAnsi="Arial"/>
                <w:color w:val="1A1A2E"/>
                <w:sz w:val="20"/>
              </w:rPr>
              <w:t>Detect hardcoded secrets, TODO/FIXME markers, banned function calls (eval, exec)</w:t>
            </w:r>
          </w:p>
        </w:tc>
      </w:tr>
      <w:tr>
        <w:tc>
          <w:tcPr>
            <w:tcW w:type="dxa" w:w="2160"/>
            <w:tcMar>
              <w:top w:w="60" w:type="dxa"/>
              <w:start w:w="80" w:type="dxa"/>
              <w:bottom w:w="60" w:type="dxa"/>
              <w:end w:w="80" w:type="dxa"/>
            </w:tcMar>
          </w:tcPr>
          <w:p>
            <w:r/>
            <w:r>
              <w:rPr>
                <w:rFonts w:ascii="Arial" w:hAnsi="Arial"/>
                <w:b/>
                <w:color w:val="1A1A2E"/>
                <w:sz w:val="20"/>
              </w:rPr>
              <w:t>Required Pattern</w:t>
            </w:r>
          </w:p>
        </w:tc>
        <w:tc>
          <w:tcPr>
            <w:tcW w:type="dxa" w:w="3960"/>
            <w:tcMar>
              <w:top w:w="60" w:type="dxa"/>
              <w:start w:w="80" w:type="dxa"/>
              <w:bottom w:w="60" w:type="dxa"/>
              <w:end w:w="80" w:type="dxa"/>
            </w:tcMar>
          </w:tcPr>
          <w:p>
            <w:r/>
            <w:r>
              <w:rPr>
                <w:rFonts w:ascii="Arial" w:hAnsi="Arial"/>
                <w:color w:val="1A1A2E"/>
                <w:sz w:val="20"/>
              </w:rPr>
              <w:t>Inverse of regex — flags files that lack a required pattern</w:t>
            </w:r>
          </w:p>
        </w:tc>
        <w:tc>
          <w:tcPr>
            <w:tcW w:type="dxa" w:w="3960"/>
            <w:tcMar>
              <w:top w:w="60" w:type="dxa"/>
              <w:start w:w="80" w:type="dxa"/>
              <w:bottom w:w="60" w:type="dxa"/>
              <w:end w:w="80" w:type="dxa"/>
            </w:tcMar>
          </w:tcPr>
          <w:p>
            <w:r/>
            <w:r>
              <w:rPr>
                <w:rFonts w:ascii="Arial" w:hAnsi="Arial"/>
                <w:color w:val="1A1A2E"/>
                <w:sz w:val="20"/>
              </w:rPr>
              <w:t>Enforce copyright headers, license declarations, module docstrings</w:t>
            </w:r>
          </w:p>
        </w:tc>
      </w:tr>
      <w:tr>
        <w:tc>
          <w:tcPr>
            <w:tcW w:type="dxa" w:w="2160"/>
            <w:shd w:fill="F4F6FC" w:val="clear"/>
            <w:tcMar>
              <w:top w:w="60" w:type="dxa"/>
              <w:start w:w="80" w:type="dxa"/>
              <w:bottom w:w="60" w:type="dxa"/>
              <w:end w:w="80" w:type="dxa"/>
            </w:tcMar>
          </w:tcPr>
          <w:p>
            <w:r/>
            <w:r>
              <w:rPr>
                <w:rFonts w:ascii="Arial" w:hAnsi="Arial"/>
                <w:b/>
                <w:color w:val="1A1A2E"/>
                <w:sz w:val="20"/>
              </w:rPr>
              <w:t>File Policy</w:t>
            </w:r>
          </w:p>
        </w:tc>
        <w:tc>
          <w:tcPr>
            <w:tcW w:type="dxa" w:w="3960"/>
            <w:shd w:fill="F4F6FC" w:val="clear"/>
            <w:tcMar>
              <w:top w:w="60" w:type="dxa"/>
              <w:start w:w="80" w:type="dxa"/>
              <w:bottom w:w="60" w:type="dxa"/>
              <w:end w:w="80" w:type="dxa"/>
            </w:tcMar>
          </w:tcPr>
          <w:p>
            <w:r/>
            <w:r>
              <w:rPr>
                <w:rFonts w:ascii="Arial" w:hAnsi="Arial"/>
                <w:color w:val="1A1A2E"/>
                <w:sz w:val="20"/>
              </w:rPr>
              <w:t>Structural checks with configurable params via FILE_POLICY_CHECKS registry</w:t>
            </w:r>
          </w:p>
        </w:tc>
        <w:tc>
          <w:tcPr>
            <w:tcW w:type="dxa" w:w="3960"/>
            <w:shd w:fill="F4F6FC" w:val="clear"/>
            <w:tcMar>
              <w:top w:w="60" w:type="dxa"/>
              <w:start w:w="80" w:type="dxa"/>
              <w:bottom w:w="60" w:type="dxa"/>
              <w:end w:w="80" w:type="dxa"/>
            </w:tcMar>
          </w:tcPr>
          <w:p>
            <w:r/>
            <w:r>
              <w:rPr>
                <w:rFonts w:ascii="Arial" w:hAnsi="Arial"/>
                <w:color w:val="1A1A2E"/>
                <w:sz w:val="20"/>
              </w:rPr>
              <w:t>Max file length, required imports, forbidden modules, function count limits</w:t>
            </w:r>
          </w:p>
        </w:tc>
      </w:tr>
      <w:tr>
        <w:tc>
          <w:tcPr>
            <w:tcW w:type="dxa" w:w="2160"/>
            <w:tcMar>
              <w:top w:w="60" w:type="dxa"/>
              <w:start w:w="80" w:type="dxa"/>
              <w:bottom w:w="60" w:type="dxa"/>
              <w:end w:w="80" w:type="dxa"/>
            </w:tcMar>
          </w:tcPr>
          <w:p>
            <w:r/>
            <w:r>
              <w:rPr>
                <w:rFonts w:ascii="Arial" w:hAnsi="Arial"/>
                <w:b/>
                <w:color w:val="1A1A2E"/>
                <w:sz w:val="20"/>
              </w:rPr>
              <w:t>AST</w:t>
            </w:r>
          </w:p>
        </w:tc>
        <w:tc>
          <w:tcPr>
            <w:tcW w:type="dxa" w:w="3960"/>
            <w:tcMar>
              <w:top w:w="60" w:type="dxa"/>
              <w:start w:w="80" w:type="dxa"/>
              <w:bottom w:w="60" w:type="dxa"/>
              <w:end w:w="80" w:type="dxa"/>
            </w:tcMar>
          </w:tcPr>
          <w:p>
            <w:r/>
            <w:r>
              <w:rPr>
                <w:rFonts w:ascii="Arial" w:hAnsi="Arial"/>
                <w:color w:val="1A1A2E"/>
                <w:sz w:val="20"/>
              </w:rPr>
              <w:t>Python AST-based semantic analysis via AST_CHECKS registry with configurable thresholds</w:t>
            </w:r>
          </w:p>
        </w:tc>
        <w:tc>
          <w:tcPr>
            <w:tcW w:type="dxa" w:w="3960"/>
            <w:tcMar>
              <w:top w:w="60" w:type="dxa"/>
              <w:start w:w="80" w:type="dxa"/>
              <w:bottom w:w="60" w:type="dxa"/>
              <w:end w:w="80" w:type="dxa"/>
            </w:tcMar>
          </w:tcPr>
          <w:p>
            <w:r/>
            <w:r>
              <w:rPr>
                <w:rFonts w:ascii="Arial" w:hAnsi="Arial"/>
                <w:color w:val="1A1A2E"/>
                <w:sz w:val="20"/>
              </w:rPr>
              <w:t>Mutable defaults, star imports, cyclomatic complexity, nested functions, global variables</w:t>
            </w:r>
          </w:p>
        </w:tc>
      </w:tr>
      <w:tr>
        <w:tc>
          <w:tcPr>
            <w:tcW w:type="dxa" w:w="2160"/>
            <w:shd w:fill="F4F6FC" w:val="clear"/>
            <w:tcMar>
              <w:top w:w="60" w:type="dxa"/>
              <w:start w:w="80" w:type="dxa"/>
              <w:bottom w:w="60" w:type="dxa"/>
              <w:end w:w="80" w:type="dxa"/>
            </w:tcMar>
          </w:tcPr>
          <w:p>
            <w:r/>
            <w:r>
              <w:rPr>
                <w:rFonts w:ascii="Arial" w:hAnsi="Arial"/>
                <w:b/>
                <w:color w:val="1A1A2E"/>
                <w:sz w:val="20"/>
              </w:rPr>
              <w:t>Doc. Obligation</w:t>
            </w:r>
          </w:p>
        </w:tc>
        <w:tc>
          <w:tcPr>
            <w:tcW w:type="dxa" w:w="3960"/>
            <w:shd w:fill="F4F6FC" w:val="clear"/>
            <w:tcMar>
              <w:top w:w="60" w:type="dxa"/>
              <w:start w:w="80" w:type="dxa"/>
              <w:bottom w:w="60" w:type="dxa"/>
              <w:end w:w="80" w:type="dxa"/>
            </w:tcMar>
          </w:tcPr>
          <w:p>
            <w:r/>
            <w:r>
              <w:rPr>
                <w:rFonts w:ascii="Arial" w:hAnsi="Arial"/>
                <w:color w:val="1A1A2E"/>
                <w:sz w:val="20"/>
              </w:rPr>
              <w:t>Non-code compliance items that appear in reports but never fail the gate</w:t>
            </w:r>
          </w:p>
        </w:tc>
        <w:tc>
          <w:tcPr>
            <w:tcW w:type="dxa" w:w="3960"/>
            <w:shd w:fill="F4F6FC" w:val="clear"/>
            <w:tcMar>
              <w:top w:w="60" w:type="dxa"/>
              <w:start w:w="80" w:type="dxa"/>
              <w:bottom w:w="60" w:type="dxa"/>
              <w:end w:w="80" w:type="dxa"/>
            </w:tcMar>
          </w:tcPr>
          <w:p>
            <w:r/>
            <w:r>
              <w:rPr>
                <w:rFonts w:ascii="Arial" w:hAnsi="Arial"/>
                <w:color w:val="1A1A2E"/>
                <w:sz w:val="20"/>
              </w:rPr>
              <w:t>FDA design review evidence, SOC2 change management records, OWASP security testing logs</w:t>
            </w:r>
          </w:p>
        </w:tc>
      </w:tr>
    </w:tbl>
    <w:p/>
    <w:p>
      <w:pPr>
        <w:pStyle w:val="Heading2"/>
      </w:pPr>
      <w:r>
        <w:t>Standards Packs</w:t>
      </w:r>
    </w:p>
    <w:p>
      <w:r>
        <w:t>Standards packs are pre-built sets of regulatory rules that can be enabled with a single CLI command. Each pack maps directly to a specific regulatory framework with clause-level traceability:</w:t>
      </w:r>
    </w:p>
    <w:p/>
    <w:tbl>
      <w:tblPr>
        <w:tblStyle w:val="TableGrid"/>
        <w:tblW w:type="auto" w:w="0"/>
        <w:jc w:val="center"/>
        <w:tblLook w:firstColumn="1" w:firstRow="1" w:lastColumn="0" w:lastRow="0" w:noHBand="0" w:noVBand="1" w:val="04A0"/>
      </w:tblPr>
      <w:tblGrid>
        <w:gridCol w:w="2340"/>
        <w:gridCol w:w="2340"/>
        <w:gridCol w:w="2340"/>
        <w:gridCol w:w="2340"/>
      </w:tblGrid>
      <w:tr>
        <w:tc>
          <w:tcPr>
            <w:tcW w:type="dxa" w:w="2304"/>
            <w:shd w:fill="1E2761" w:val="clear"/>
            <w:tcMar>
              <w:top w:w="60" w:type="dxa"/>
              <w:start w:w="80" w:type="dxa"/>
              <w:bottom w:w="60" w:type="dxa"/>
              <w:end w:w="80" w:type="dxa"/>
            </w:tcMar>
          </w:tcPr>
          <w:p>
            <w:r/>
            <w:r>
              <w:rPr>
                <w:rFonts w:ascii="Arial" w:hAnsi="Arial"/>
                <w:b/>
                <w:color w:val="FFFFFF"/>
                <w:sz w:val="20"/>
              </w:rPr>
              <w:t>Pack</w:t>
            </w:r>
          </w:p>
        </w:tc>
        <w:tc>
          <w:tcPr>
            <w:tcW w:type="dxa" w:w="1008"/>
            <w:shd w:fill="1E2761" w:val="clear"/>
            <w:tcMar>
              <w:top w:w="60" w:type="dxa"/>
              <w:start w:w="80" w:type="dxa"/>
              <w:bottom w:w="60" w:type="dxa"/>
              <w:end w:w="80" w:type="dxa"/>
            </w:tcMar>
          </w:tcPr>
          <w:p>
            <w:r/>
            <w:r>
              <w:rPr>
                <w:rFonts w:ascii="Arial" w:hAnsi="Arial"/>
                <w:b/>
                <w:color w:val="FFFFFF"/>
                <w:sz w:val="20"/>
              </w:rPr>
              <w:t>Rules</w:t>
            </w:r>
          </w:p>
        </w:tc>
        <w:tc>
          <w:tcPr>
            <w:tcW w:type="dxa" w:w="3600"/>
            <w:shd w:fill="1E2761" w:val="clear"/>
            <w:tcMar>
              <w:top w:w="60" w:type="dxa"/>
              <w:start w:w="80" w:type="dxa"/>
              <w:bottom w:w="60" w:type="dxa"/>
              <w:end w:w="80" w:type="dxa"/>
            </w:tcMar>
          </w:tcPr>
          <w:p>
            <w:r/>
            <w:r>
              <w:rPr>
                <w:rFonts w:ascii="Arial" w:hAnsi="Arial"/>
                <w:b/>
                <w:color w:val="FFFFFF"/>
                <w:sz w:val="20"/>
              </w:rPr>
              <w:t>Coverage</w:t>
            </w:r>
          </w:p>
        </w:tc>
        <w:tc>
          <w:tcPr>
            <w:tcW w:type="dxa" w:w="3168"/>
            <w:shd w:fill="1E2761" w:val="clear"/>
            <w:tcMar>
              <w:top w:w="60" w:type="dxa"/>
              <w:start w:w="80" w:type="dxa"/>
              <w:bottom w:w="60" w:type="dxa"/>
              <w:end w:w="80" w:type="dxa"/>
            </w:tcMar>
          </w:tcPr>
          <w:p>
            <w:r/>
            <w:r>
              <w:rPr>
                <w:rFonts w:ascii="Arial" w:hAnsi="Arial"/>
                <w:b/>
                <w:color w:val="FFFFFF"/>
                <w:sz w:val="20"/>
              </w:rPr>
              <w:t>Target Industry</w:t>
            </w:r>
          </w:p>
        </w:tc>
      </w:tr>
      <w:tr>
        <w:tc>
          <w:tcPr>
            <w:tcW w:type="dxa" w:w="2304"/>
            <w:shd w:fill="F4F6FC" w:val="clear"/>
            <w:tcMar>
              <w:top w:w="60" w:type="dxa"/>
              <w:start w:w="80" w:type="dxa"/>
              <w:bottom w:w="60" w:type="dxa"/>
              <w:end w:w="80" w:type="dxa"/>
            </w:tcMar>
          </w:tcPr>
          <w:p>
            <w:r/>
            <w:r>
              <w:rPr>
                <w:rFonts w:ascii="Arial" w:hAnsi="Arial"/>
                <w:b/>
                <w:color w:val="1A1A2E"/>
                <w:sz w:val="20"/>
              </w:rPr>
              <w:t>FDA IEC 62304</w:t>
            </w:r>
          </w:p>
        </w:tc>
        <w:tc>
          <w:tcPr>
            <w:tcW w:type="dxa" w:w="1008"/>
            <w:shd w:fill="F4F6FC" w:val="clear"/>
            <w:tcMar>
              <w:top w:w="60" w:type="dxa"/>
              <w:start w:w="80" w:type="dxa"/>
              <w:bottom w:w="60" w:type="dxa"/>
              <w:end w:w="80" w:type="dxa"/>
            </w:tcMar>
          </w:tcPr>
          <w:p>
            <w:r/>
            <w:r>
              <w:rPr>
                <w:rFonts w:ascii="Arial" w:hAnsi="Arial"/>
                <w:color w:val="1A1A2E"/>
                <w:sz w:val="20"/>
              </w:rPr>
              <w:t>14</w:t>
            </w:r>
          </w:p>
        </w:tc>
        <w:tc>
          <w:tcPr>
            <w:tcW w:type="dxa" w:w="3600"/>
            <w:shd w:fill="F4F6FC" w:val="clear"/>
            <w:tcMar>
              <w:top w:w="60" w:type="dxa"/>
              <w:start w:w="80" w:type="dxa"/>
              <w:bottom w:w="60" w:type="dxa"/>
              <w:end w:w="80" w:type="dxa"/>
            </w:tcMar>
          </w:tcPr>
          <w:p>
            <w:r/>
            <w:r>
              <w:rPr>
                <w:rFonts w:ascii="Arial" w:hAnsi="Arial"/>
                <w:color w:val="1A1A2E"/>
                <w:sz w:val="20"/>
              </w:rPr>
              <w:t>Medical device software lifecycle (4 code, 8 doc, 2 ML/AI)</w:t>
            </w:r>
          </w:p>
        </w:tc>
        <w:tc>
          <w:tcPr>
            <w:tcW w:type="dxa" w:w="3168"/>
            <w:shd w:fill="F4F6FC" w:val="clear"/>
            <w:tcMar>
              <w:top w:w="60" w:type="dxa"/>
              <w:start w:w="80" w:type="dxa"/>
              <w:bottom w:w="60" w:type="dxa"/>
              <w:end w:w="80" w:type="dxa"/>
            </w:tcMar>
          </w:tcPr>
          <w:p>
            <w:r/>
            <w:r>
              <w:rPr>
                <w:rFonts w:ascii="Arial" w:hAnsi="Arial"/>
                <w:color w:val="1A1A2E"/>
                <w:sz w:val="20"/>
              </w:rPr>
              <w:t>Healthcare, medical devices</w:t>
            </w:r>
          </w:p>
        </w:tc>
      </w:tr>
      <w:tr>
        <w:tc>
          <w:tcPr>
            <w:tcW w:type="dxa" w:w="2304"/>
            <w:tcMar>
              <w:top w:w="60" w:type="dxa"/>
              <w:start w:w="80" w:type="dxa"/>
              <w:bottom w:w="60" w:type="dxa"/>
              <w:end w:w="80" w:type="dxa"/>
            </w:tcMar>
          </w:tcPr>
          <w:p>
            <w:r/>
            <w:r>
              <w:rPr>
                <w:rFonts w:ascii="Arial" w:hAnsi="Arial"/>
                <w:b/>
                <w:color w:val="1A1A2E"/>
                <w:sz w:val="20"/>
              </w:rPr>
              <w:t>OWASP Top 10</w:t>
            </w:r>
          </w:p>
        </w:tc>
        <w:tc>
          <w:tcPr>
            <w:tcW w:type="dxa" w:w="1008"/>
            <w:tcMar>
              <w:top w:w="60" w:type="dxa"/>
              <w:start w:w="80" w:type="dxa"/>
              <w:bottom w:w="60" w:type="dxa"/>
              <w:end w:w="80" w:type="dxa"/>
            </w:tcMar>
          </w:tcPr>
          <w:p>
            <w:r/>
            <w:r>
              <w:rPr>
                <w:rFonts w:ascii="Arial" w:hAnsi="Arial"/>
                <w:color w:val="1A1A2E"/>
                <w:sz w:val="20"/>
              </w:rPr>
              <w:t>22</w:t>
            </w:r>
          </w:p>
        </w:tc>
        <w:tc>
          <w:tcPr>
            <w:tcW w:type="dxa" w:w="3600"/>
            <w:tcMar>
              <w:top w:w="60" w:type="dxa"/>
              <w:start w:w="80" w:type="dxa"/>
              <w:bottom w:w="60" w:type="dxa"/>
              <w:end w:w="80" w:type="dxa"/>
            </w:tcMar>
          </w:tcPr>
          <w:p>
            <w:r/>
            <w:r>
              <w:rPr>
                <w:rFonts w:ascii="Arial" w:hAnsi="Arial"/>
                <w:color w:val="1A1A2E"/>
                <w:sz w:val="20"/>
              </w:rPr>
              <w:t>All 10 vulnerability categories A01–A10 (16 code, 6 doc)</w:t>
            </w:r>
          </w:p>
        </w:tc>
        <w:tc>
          <w:tcPr>
            <w:tcW w:type="dxa" w:w="3168"/>
            <w:tcMar>
              <w:top w:w="60" w:type="dxa"/>
              <w:start w:w="80" w:type="dxa"/>
              <w:bottom w:w="60" w:type="dxa"/>
              <w:end w:w="80" w:type="dxa"/>
            </w:tcMar>
          </w:tcPr>
          <w:p>
            <w:r/>
            <w:r>
              <w:rPr>
                <w:rFonts w:ascii="Arial" w:hAnsi="Arial"/>
                <w:color w:val="1A1A2E"/>
                <w:sz w:val="20"/>
              </w:rPr>
              <w:t>SaaS, platform, web apps</w:t>
            </w:r>
          </w:p>
        </w:tc>
      </w:tr>
      <w:tr>
        <w:tc>
          <w:tcPr>
            <w:tcW w:type="dxa" w:w="2304"/>
            <w:shd w:fill="F4F6FC" w:val="clear"/>
            <w:tcMar>
              <w:top w:w="60" w:type="dxa"/>
              <w:start w:w="80" w:type="dxa"/>
              <w:bottom w:w="60" w:type="dxa"/>
              <w:end w:w="80" w:type="dxa"/>
            </w:tcMar>
          </w:tcPr>
          <w:p>
            <w:r/>
            <w:r>
              <w:rPr>
                <w:rFonts w:ascii="Arial" w:hAnsi="Arial"/>
                <w:b/>
                <w:color w:val="1A1A2E"/>
                <w:sz w:val="20"/>
              </w:rPr>
              <w:t>SOC2 Trust Services</w:t>
            </w:r>
          </w:p>
        </w:tc>
        <w:tc>
          <w:tcPr>
            <w:tcW w:type="dxa" w:w="1008"/>
            <w:shd w:fill="F4F6FC" w:val="clear"/>
            <w:tcMar>
              <w:top w:w="60" w:type="dxa"/>
              <w:start w:w="80" w:type="dxa"/>
              <w:bottom w:w="60" w:type="dxa"/>
              <w:end w:w="80" w:type="dxa"/>
            </w:tcMar>
          </w:tcPr>
          <w:p>
            <w:r/>
            <w:r>
              <w:rPr>
                <w:rFonts w:ascii="Arial" w:hAnsi="Arial"/>
                <w:color w:val="1A1A2E"/>
                <w:sz w:val="20"/>
              </w:rPr>
              <w:t>16</w:t>
            </w:r>
          </w:p>
        </w:tc>
        <w:tc>
          <w:tcPr>
            <w:tcW w:type="dxa" w:w="3600"/>
            <w:shd w:fill="F4F6FC" w:val="clear"/>
            <w:tcMar>
              <w:top w:w="60" w:type="dxa"/>
              <w:start w:w="80" w:type="dxa"/>
              <w:bottom w:w="60" w:type="dxa"/>
              <w:end w:w="80" w:type="dxa"/>
            </w:tcMar>
          </w:tcPr>
          <w:p>
            <w:r/>
            <w:r>
              <w:rPr>
                <w:rFonts w:ascii="Arial" w:hAnsi="Arial"/>
                <w:color w:val="1A1A2E"/>
                <w:sz w:val="20"/>
              </w:rPr>
              <w:t>Security, availability, confidentiality (7 code, 9 doc)</w:t>
            </w:r>
          </w:p>
        </w:tc>
        <w:tc>
          <w:tcPr>
            <w:tcW w:type="dxa" w:w="3168"/>
            <w:shd w:fill="F4F6FC" w:val="clear"/>
            <w:tcMar>
              <w:top w:w="60" w:type="dxa"/>
              <w:start w:w="80" w:type="dxa"/>
              <w:bottom w:w="60" w:type="dxa"/>
              <w:end w:w="80" w:type="dxa"/>
            </w:tcMar>
          </w:tcPr>
          <w:p>
            <w:r/>
            <w:r>
              <w:rPr>
                <w:rFonts w:ascii="Arial" w:hAnsi="Arial"/>
                <w:color w:val="1A1A2E"/>
                <w:sz w:val="20"/>
              </w:rPr>
              <w:t>Financial services, enterprise</w:t>
            </w:r>
          </w:p>
        </w:tc>
      </w:tr>
    </w:tbl>
    <w:p/>
    <w:p>
      <w:pPr>
        <w:pStyle w:val="Heading2"/>
      </w:pPr>
      <w:r>
        <w:t>Built-in AST Checks</w:t>
      </w:r>
    </w:p>
    <w:p>
      <w:r>
        <w:t>Six built-in AST checks provide semantic code analysis using Python’s ast module. Each check is registered in the AST_CHECKS registry and accepts optional configuration parameters:</w:t>
      </w:r>
    </w:p>
    <w:p/>
    <w:tbl>
      <w:tblPr>
        <w:tblStyle w:val="TableGrid"/>
        <w:tblW w:type="auto" w:w="0"/>
        <w:jc w:val="center"/>
        <w:tblLook w:firstColumn="1" w:firstRow="1" w:lastColumn="0" w:lastRow="0" w:noHBand="0" w:noVBand="1" w:val="04A0"/>
      </w:tblPr>
      <w:tblGrid>
        <w:gridCol w:w="3120"/>
        <w:gridCol w:w="3120"/>
        <w:gridCol w:w="3120"/>
      </w:tblGrid>
      <w:tr>
        <w:tc>
          <w:tcPr>
            <w:tcW w:type="dxa" w:w="2880"/>
            <w:shd w:fill="1E2761" w:val="clear"/>
            <w:tcMar>
              <w:top w:w="60" w:type="dxa"/>
              <w:start w:w="80" w:type="dxa"/>
              <w:bottom w:w="60" w:type="dxa"/>
              <w:end w:w="80" w:type="dxa"/>
            </w:tcMar>
          </w:tcPr>
          <w:p>
            <w:r/>
            <w:r>
              <w:rPr>
                <w:rFonts w:ascii="Arial" w:hAnsi="Arial"/>
                <w:b/>
                <w:color w:val="FFFFFF"/>
                <w:sz w:val="20"/>
              </w:rPr>
              <w:t>Check</w:t>
            </w:r>
          </w:p>
        </w:tc>
        <w:tc>
          <w:tcPr>
            <w:tcW w:type="dxa" w:w="4320"/>
            <w:shd w:fill="1E2761" w:val="clear"/>
            <w:tcMar>
              <w:top w:w="60" w:type="dxa"/>
              <w:start w:w="80" w:type="dxa"/>
              <w:bottom w:w="60" w:type="dxa"/>
              <w:end w:w="80" w:type="dxa"/>
            </w:tcMar>
          </w:tcPr>
          <w:p>
            <w:r/>
            <w:r>
              <w:rPr>
                <w:rFonts w:ascii="Arial" w:hAnsi="Arial"/>
                <w:b/>
                <w:color w:val="FFFFFF"/>
                <w:sz w:val="20"/>
              </w:rPr>
              <w:t>What It Detects</w:t>
            </w:r>
          </w:p>
        </w:tc>
        <w:tc>
          <w:tcPr>
            <w:tcW w:type="dxa" w:w="2880"/>
            <w:shd w:fill="1E2761" w:val="clear"/>
            <w:tcMar>
              <w:top w:w="60" w:type="dxa"/>
              <w:start w:w="80" w:type="dxa"/>
              <w:bottom w:w="60" w:type="dxa"/>
              <w:end w:w="80" w:type="dxa"/>
            </w:tcMar>
          </w:tcPr>
          <w:p>
            <w:r/>
            <w:r>
              <w:rPr>
                <w:rFonts w:ascii="Arial" w:hAnsi="Arial"/>
                <w:b/>
                <w:color w:val="FFFFFF"/>
                <w:sz w:val="20"/>
              </w:rPr>
              <w:t>Config Parameter</w:t>
            </w:r>
          </w:p>
        </w:tc>
      </w:tr>
      <w:tr>
        <w:tc>
          <w:tcPr>
            <w:tcW w:type="dxa" w:w="2880"/>
            <w:shd w:fill="F4F6FC" w:val="clear"/>
            <w:tcMar>
              <w:top w:w="60" w:type="dxa"/>
              <w:start w:w="80" w:type="dxa"/>
              <w:bottom w:w="60" w:type="dxa"/>
              <w:end w:w="80" w:type="dxa"/>
            </w:tcMar>
          </w:tcPr>
          <w:p>
            <w:r/>
            <w:r>
              <w:rPr>
                <w:rFonts w:ascii="Arial" w:hAnsi="Arial"/>
                <w:b/>
                <w:color w:val="1A1A2E"/>
                <w:sz w:val="20"/>
              </w:rPr>
              <w:t>no_mutable_defaults</w:t>
            </w:r>
          </w:p>
        </w:tc>
        <w:tc>
          <w:tcPr>
            <w:tcW w:type="dxa" w:w="4320"/>
            <w:shd w:fill="F4F6FC" w:val="clear"/>
            <w:tcMar>
              <w:top w:w="60" w:type="dxa"/>
              <w:start w:w="80" w:type="dxa"/>
              <w:bottom w:w="60" w:type="dxa"/>
              <w:end w:w="80" w:type="dxa"/>
            </w:tcMar>
          </w:tcPr>
          <w:p>
            <w:r/>
            <w:r>
              <w:rPr>
                <w:rFonts w:ascii="Arial" w:hAnsi="Arial"/>
                <w:color w:val="1A1A2E"/>
                <w:sz w:val="20"/>
              </w:rPr>
              <w:t>Mutable default arguments (list, dict, set)</w:t>
            </w:r>
          </w:p>
        </w:tc>
        <w:tc>
          <w:tcPr>
            <w:tcW w:type="dxa" w:w="2880"/>
            <w:shd w:fill="F4F6FC" w:val="clear"/>
            <w:tcMar>
              <w:top w:w="60" w:type="dxa"/>
              <w:start w:w="80" w:type="dxa"/>
              <w:bottom w:w="60" w:type="dxa"/>
              <w:end w:w="80" w:type="dxa"/>
            </w:tcMar>
          </w:tcPr>
          <w:p>
            <w:r/>
            <w:r>
              <w:rPr>
                <w:rFonts w:ascii="Arial" w:hAnsi="Arial"/>
                <w:color w:val="1A1A2E"/>
                <w:sz w:val="20"/>
              </w:rPr>
              <w:t>None</w:t>
            </w:r>
          </w:p>
        </w:tc>
      </w:tr>
      <w:tr>
        <w:tc>
          <w:tcPr>
            <w:tcW w:type="dxa" w:w="2880"/>
            <w:tcMar>
              <w:top w:w="60" w:type="dxa"/>
              <w:start w:w="80" w:type="dxa"/>
              <w:bottom w:w="60" w:type="dxa"/>
              <w:end w:w="80" w:type="dxa"/>
            </w:tcMar>
          </w:tcPr>
          <w:p>
            <w:r/>
            <w:r>
              <w:rPr>
                <w:rFonts w:ascii="Arial" w:hAnsi="Arial"/>
                <w:b/>
                <w:color w:val="1A1A2E"/>
                <w:sz w:val="20"/>
              </w:rPr>
              <w:t>no_star_imports</w:t>
            </w:r>
          </w:p>
        </w:tc>
        <w:tc>
          <w:tcPr>
            <w:tcW w:type="dxa" w:w="4320"/>
            <w:tcMar>
              <w:top w:w="60" w:type="dxa"/>
              <w:start w:w="80" w:type="dxa"/>
              <w:bottom w:w="60" w:type="dxa"/>
              <w:end w:w="80" w:type="dxa"/>
            </w:tcMar>
          </w:tcPr>
          <w:p>
            <w:r/>
            <w:r>
              <w:rPr>
                <w:rFonts w:ascii="Arial" w:hAnsi="Arial"/>
                <w:color w:val="1A1A2E"/>
                <w:sz w:val="20"/>
              </w:rPr>
              <w:t>from X import * wildcard imports</w:t>
            </w:r>
          </w:p>
        </w:tc>
        <w:tc>
          <w:tcPr>
            <w:tcW w:type="dxa" w:w="2880"/>
            <w:tcMar>
              <w:top w:w="60" w:type="dxa"/>
              <w:start w:w="80" w:type="dxa"/>
              <w:bottom w:w="60" w:type="dxa"/>
              <w:end w:w="80" w:type="dxa"/>
            </w:tcMar>
          </w:tcPr>
          <w:p>
            <w:r/>
            <w:r>
              <w:rPr>
                <w:rFonts w:ascii="Arial" w:hAnsi="Arial"/>
                <w:color w:val="1A1A2E"/>
                <w:sz w:val="20"/>
              </w:rPr>
              <w:t>None</w:t>
            </w:r>
          </w:p>
        </w:tc>
      </w:tr>
      <w:tr>
        <w:tc>
          <w:tcPr>
            <w:tcW w:type="dxa" w:w="2880"/>
            <w:shd w:fill="F4F6FC" w:val="clear"/>
            <w:tcMar>
              <w:top w:w="60" w:type="dxa"/>
              <w:start w:w="80" w:type="dxa"/>
              <w:bottom w:w="60" w:type="dxa"/>
              <w:end w:w="80" w:type="dxa"/>
            </w:tcMar>
          </w:tcPr>
          <w:p>
            <w:r/>
            <w:r>
              <w:rPr>
                <w:rFonts w:ascii="Arial" w:hAnsi="Arial"/>
                <w:b/>
                <w:color w:val="1A1A2E"/>
                <w:sz w:val="20"/>
              </w:rPr>
              <w:t>high_complexity</w:t>
            </w:r>
          </w:p>
        </w:tc>
        <w:tc>
          <w:tcPr>
            <w:tcW w:type="dxa" w:w="4320"/>
            <w:shd w:fill="F4F6FC" w:val="clear"/>
            <w:tcMar>
              <w:top w:w="60" w:type="dxa"/>
              <w:start w:w="80" w:type="dxa"/>
              <w:bottom w:w="60" w:type="dxa"/>
              <w:end w:w="80" w:type="dxa"/>
            </w:tcMar>
          </w:tcPr>
          <w:p>
            <w:r/>
            <w:r>
              <w:rPr>
                <w:rFonts w:ascii="Arial" w:hAnsi="Arial"/>
                <w:color w:val="1A1A2E"/>
                <w:sz w:val="20"/>
              </w:rPr>
              <w:t>Functions exceeding complexity threshold</w:t>
            </w:r>
          </w:p>
        </w:tc>
        <w:tc>
          <w:tcPr>
            <w:tcW w:type="dxa" w:w="2880"/>
            <w:shd w:fill="F4F6FC" w:val="clear"/>
            <w:tcMar>
              <w:top w:w="60" w:type="dxa"/>
              <w:start w:w="80" w:type="dxa"/>
              <w:bottom w:w="60" w:type="dxa"/>
              <w:end w:w="80" w:type="dxa"/>
            </w:tcMar>
          </w:tcPr>
          <w:p>
            <w:r/>
            <w:r>
              <w:rPr>
                <w:rFonts w:ascii="Arial" w:hAnsi="Arial"/>
                <w:color w:val="1A1A2E"/>
                <w:sz w:val="20"/>
              </w:rPr>
              <w:t>max_complexity (default: 10)</w:t>
            </w:r>
          </w:p>
        </w:tc>
      </w:tr>
      <w:tr>
        <w:tc>
          <w:tcPr>
            <w:tcW w:type="dxa" w:w="2880"/>
            <w:tcMar>
              <w:top w:w="60" w:type="dxa"/>
              <w:start w:w="80" w:type="dxa"/>
              <w:bottom w:w="60" w:type="dxa"/>
              <w:end w:w="80" w:type="dxa"/>
            </w:tcMar>
          </w:tcPr>
          <w:p>
            <w:r/>
            <w:r>
              <w:rPr>
                <w:rFonts w:ascii="Arial" w:hAnsi="Arial"/>
                <w:b/>
                <w:color w:val="1A1A2E"/>
                <w:sz w:val="20"/>
              </w:rPr>
              <w:t>no_nested_functions</w:t>
            </w:r>
          </w:p>
        </w:tc>
        <w:tc>
          <w:tcPr>
            <w:tcW w:type="dxa" w:w="4320"/>
            <w:tcMar>
              <w:top w:w="60" w:type="dxa"/>
              <w:start w:w="80" w:type="dxa"/>
              <w:bottom w:w="60" w:type="dxa"/>
              <w:end w:w="80" w:type="dxa"/>
            </w:tcMar>
          </w:tcPr>
          <w:p>
            <w:r/>
            <w:r>
              <w:rPr>
                <w:rFonts w:ascii="Arial" w:hAnsi="Arial"/>
                <w:color w:val="1A1A2E"/>
                <w:sz w:val="20"/>
              </w:rPr>
              <w:t>Deeply nested function definitions</w:t>
            </w:r>
          </w:p>
        </w:tc>
        <w:tc>
          <w:tcPr>
            <w:tcW w:type="dxa" w:w="2880"/>
            <w:tcMar>
              <w:top w:w="60" w:type="dxa"/>
              <w:start w:w="80" w:type="dxa"/>
              <w:bottom w:w="60" w:type="dxa"/>
              <w:end w:w="80" w:type="dxa"/>
            </w:tcMar>
          </w:tcPr>
          <w:p>
            <w:r/>
            <w:r>
              <w:rPr>
                <w:rFonts w:ascii="Arial" w:hAnsi="Arial"/>
                <w:color w:val="1A1A2E"/>
                <w:sz w:val="20"/>
              </w:rPr>
              <w:t>max_depth (default: 1)</w:t>
            </w:r>
          </w:p>
        </w:tc>
      </w:tr>
      <w:tr>
        <w:tc>
          <w:tcPr>
            <w:tcW w:type="dxa" w:w="2880"/>
            <w:shd w:fill="F4F6FC" w:val="clear"/>
            <w:tcMar>
              <w:top w:w="60" w:type="dxa"/>
              <w:start w:w="80" w:type="dxa"/>
              <w:bottom w:w="60" w:type="dxa"/>
              <w:end w:w="80" w:type="dxa"/>
            </w:tcMar>
          </w:tcPr>
          <w:p>
            <w:r/>
            <w:r>
              <w:rPr>
                <w:rFonts w:ascii="Arial" w:hAnsi="Arial"/>
                <w:b/>
                <w:color w:val="1A1A2E"/>
                <w:sz w:val="20"/>
              </w:rPr>
              <w:t>no_global_variables</w:t>
            </w:r>
          </w:p>
        </w:tc>
        <w:tc>
          <w:tcPr>
            <w:tcW w:type="dxa" w:w="4320"/>
            <w:shd w:fill="F4F6FC" w:val="clear"/>
            <w:tcMar>
              <w:top w:w="60" w:type="dxa"/>
              <w:start w:w="80" w:type="dxa"/>
              <w:bottom w:w="60" w:type="dxa"/>
              <w:end w:w="80" w:type="dxa"/>
            </w:tcMar>
          </w:tcPr>
          <w:p>
            <w:r/>
            <w:r>
              <w:rPr>
                <w:rFonts w:ascii="Arial" w:hAnsi="Arial"/>
                <w:color w:val="1A1A2E"/>
                <w:sz w:val="20"/>
              </w:rPr>
              <w:t>Module-level mutable variable assignments</w:t>
            </w:r>
          </w:p>
        </w:tc>
        <w:tc>
          <w:tcPr>
            <w:tcW w:type="dxa" w:w="2880"/>
            <w:shd w:fill="F4F6FC" w:val="clear"/>
            <w:tcMar>
              <w:top w:w="60" w:type="dxa"/>
              <w:start w:w="80" w:type="dxa"/>
              <w:bottom w:w="60" w:type="dxa"/>
              <w:end w:w="80" w:type="dxa"/>
            </w:tcMar>
          </w:tcPr>
          <w:p>
            <w:r/>
            <w:r>
              <w:rPr>
                <w:rFonts w:ascii="Arial" w:hAnsi="Arial"/>
                <w:color w:val="1A1A2E"/>
                <w:sz w:val="20"/>
              </w:rPr>
              <w:t>None</w:t>
            </w:r>
          </w:p>
        </w:tc>
      </w:tr>
      <w:tr>
        <w:tc>
          <w:tcPr>
            <w:tcW w:type="dxa" w:w="2880"/>
            <w:tcMar>
              <w:top w:w="60" w:type="dxa"/>
              <w:start w:w="80" w:type="dxa"/>
              <w:bottom w:w="60" w:type="dxa"/>
              <w:end w:w="80" w:type="dxa"/>
            </w:tcMar>
          </w:tcPr>
          <w:p>
            <w:r/>
            <w:r>
              <w:rPr>
                <w:rFonts w:ascii="Arial" w:hAnsi="Arial"/>
                <w:b/>
                <w:color w:val="1A1A2E"/>
                <w:sz w:val="20"/>
              </w:rPr>
              <w:t>max_function_length</w:t>
            </w:r>
          </w:p>
        </w:tc>
        <w:tc>
          <w:tcPr>
            <w:tcW w:type="dxa" w:w="4320"/>
            <w:tcMar>
              <w:top w:w="60" w:type="dxa"/>
              <w:start w:w="80" w:type="dxa"/>
              <w:bottom w:w="60" w:type="dxa"/>
              <w:end w:w="80" w:type="dxa"/>
            </w:tcMar>
          </w:tcPr>
          <w:p>
            <w:r/>
            <w:r>
              <w:rPr>
                <w:rFonts w:ascii="Arial" w:hAnsi="Arial"/>
                <w:color w:val="1A1A2E"/>
                <w:sz w:val="20"/>
              </w:rPr>
              <w:t>Functions exceeding line count</w:t>
            </w:r>
          </w:p>
        </w:tc>
        <w:tc>
          <w:tcPr>
            <w:tcW w:type="dxa" w:w="2880"/>
            <w:tcMar>
              <w:top w:w="60" w:type="dxa"/>
              <w:start w:w="80" w:type="dxa"/>
              <w:bottom w:w="60" w:type="dxa"/>
              <w:end w:w="80" w:type="dxa"/>
            </w:tcMar>
          </w:tcPr>
          <w:p>
            <w:r/>
            <w:r>
              <w:rPr>
                <w:rFonts w:ascii="Arial" w:hAnsi="Arial"/>
                <w:color w:val="1A1A2E"/>
                <w:sz w:val="20"/>
              </w:rPr>
              <w:t>max_lines (default: 50)</w:t>
            </w:r>
          </w:p>
        </w:tc>
      </w:tr>
    </w:tbl>
    <w:p>
      <w:r>
        <w:br w:type="page"/>
      </w:r>
    </w:p>
    <w:p>
      <w:pPr>
        <w:pStyle w:val="Heading2"/>
      </w:pPr>
      <w:r>
        <w:t>DevOps Integration</w:t>
      </w:r>
    </w:p>
    <w:p>
      <w:r>
        <w:t>AI SDLC Guard provides full bidirectional integration with Azure DevOps and GitHub. Work items are automatically extracted from branch names and commit messages. The guard sync command pushes state changes back to the DevOps platform — closing resolved issues, updating status, and maintaining an audit trail.</w:t>
      </w:r>
    </w:p>
    <w:p>
      <w:r>
        <w:t>CI/CD integration is provided through Azure Pipelines (azure-pipelines.yml) and GitHub Actions (.github/workflows/guard-gate.yml). Pre-commit hooks run guard scan --staged on every commit, and post-merge pipeline steps trigger automatic work item synchronization.</w:t>
      </w:r>
    </w:p>
    <w:p>
      <w:pPr>
        <w:pStyle w:val="Heading2"/>
      </w:pPr>
      <w:r>
        <w:t>REST API &amp; Docker Deployment</w:t>
      </w:r>
    </w:p>
    <w:p>
      <w:r>
        <w:t>The FastAPI REST API server makes AI SDLC Guard accessible as a service. Five endpoints provide remote scanning, gating, reporting, and rule listing capabilities. Optional API key authentication (via GUARD_API_KEY environment variable) secures the server for team use.</w:t>
      </w:r>
    </w:p>
    <w:p/>
    <w:tbl>
      <w:tblPr>
        <w:tblStyle w:val="TableGrid"/>
        <w:tblW w:type="auto" w:w="0"/>
        <w:jc w:val="center"/>
        <w:tblLook w:firstColumn="1" w:firstRow="1" w:lastColumn="0" w:lastRow="0" w:noHBand="0" w:noVBand="1" w:val="04A0"/>
      </w:tblPr>
      <w:tblGrid>
        <w:gridCol w:w="3120"/>
        <w:gridCol w:w="3120"/>
        <w:gridCol w:w="3120"/>
      </w:tblGrid>
      <w:tr>
        <w:tc>
          <w:tcPr>
            <w:tcW w:type="dxa" w:w="1872"/>
            <w:shd w:fill="1E2761" w:val="clear"/>
            <w:tcMar>
              <w:top w:w="60" w:type="dxa"/>
              <w:start w:w="80" w:type="dxa"/>
              <w:bottom w:w="60" w:type="dxa"/>
              <w:end w:w="80" w:type="dxa"/>
            </w:tcMar>
          </w:tcPr>
          <w:p>
            <w:r/>
            <w:r>
              <w:rPr>
                <w:rFonts w:ascii="Arial" w:hAnsi="Arial"/>
                <w:b/>
                <w:color w:val="FFFFFF"/>
                <w:sz w:val="20"/>
              </w:rPr>
              <w:t>Endpoint</w:t>
            </w:r>
          </w:p>
        </w:tc>
        <w:tc>
          <w:tcPr>
            <w:tcW w:type="dxa" w:w="1440"/>
            <w:shd w:fill="1E2761" w:val="clear"/>
            <w:tcMar>
              <w:top w:w="60" w:type="dxa"/>
              <w:start w:w="80" w:type="dxa"/>
              <w:bottom w:w="60" w:type="dxa"/>
              <w:end w:w="80" w:type="dxa"/>
            </w:tcMar>
          </w:tcPr>
          <w:p>
            <w:r/>
            <w:r>
              <w:rPr>
                <w:rFonts w:ascii="Arial" w:hAnsi="Arial"/>
                <w:b/>
                <w:color w:val="FFFFFF"/>
                <w:sz w:val="20"/>
              </w:rPr>
              <w:t>Method</w:t>
            </w:r>
          </w:p>
        </w:tc>
        <w:tc>
          <w:tcPr>
            <w:tcW w:type="dxa" w:w="6768"/>
            <w:shd w:fill="1E2761" w:val="clear"/>
            <w:tcMar>
              <w:top w:w="60" w:type="dxa"/>
              <w:start w:w="80" w:type="dxa"/>
              <w:bottom w:w="60" w:type="dxa"/>
              <w:end w:w="80" w:type="dxa"/>
            </w:tcMar>
          </w:tcPr>
          <w:p>
            <w:r/>
            <w:r>
              <w:rPr>
                <w:rFonts w:ascii="Arial" w:hAnsi="Arial"/>
                <w:b/>
                <w:color w:val="FFFFFF"/>
                <w:sz w:val="20"/>
              </w:rPr>
              <w:t>Description</w:t>
            </w:r>
          </w:p>
        </w:tc>
      </w:tr>
      <w:tr>
        <w:tc>
          <w:tcPr>
            <w:tcW w:type="dxa" w:w="1872"/>
            <w:shd w:fill="F4F6FC" w:val="clear"/>
            <w:tcMar>
              <w:top w:w="60" w:type="dxa"/>
              <w:start w:w="80" w:type="dxa"/>
              <w:bottom w:w="60" w:type="dxa"/>
              <w:end w:w="80" w:type="dxa"/>
            </w:tcMar>
          </w:tcPr>
          <w:p>
            <w:r/>
            <w:r>
              <w:rPr>
                <w:rFonts w:ascii="Arial" w:hAnsi="Arial"/>
                <w:b/>
                <w:color w:val="1A1A2E"/>
                <w:sz w:val="20"/>
              </w:rPr>
              <w:t>/health</w:t>
            </w:r>
          </w:p>
        </w:tc>
        <w:tc>
          <w:tcPr>
            <w:tcW w:type="dxa" w:w="1440"/>
            <w:shd w:fill="F4F6FC" w:val="clear"/>
            <w:tcMar>
              <w:top w:w="60" w:type="dxa"/>
              <w:start w:w="80" w:type="dxa"/>
              <w:bottom w:w="60" w:type="dxa"/>
              <w:end w:w="80" w:type="dxa"/>
            </w:tcMar>
          </w:tcPr>
          <w:p>
            <w:r/>
            <w:r>
              <w:rPr>
                <w:rFonts w:ascii="Arial" w:hAnsi="Arial"/>
                <w:color w:val="1A1A2E"/>
                <w:sz w:val="20"/>
              </w:rPr>
              <w:t>GET</w:t>
            </w:r>
          </w:p>
        </w:tc>
        <w:tc>
          <w:tcPr>
            <w:tcW w:type="dxa" w:w="6768"/>
            <w:shd w:fill="F4F6FC" w:val="clear"/>
            <w:tcMar>
              <w:top w:w="60" w:type="dxa"/>
              <w:start w:w="80" w:type="dxa"/>
              <w:bottom w:w="60" w:type="dxa"/>
              <w:end w:w="80" w:type="dxa"/>
            </w:tcMar>
          </w:tcPr>
          <w:p>
            <w:r/>
            <w:r>
              <w:rPr>
                <w:rFonts w:ascii="Arial" w:hAnsi="Arial"/>
                <w:color w:val="1A1A2E"/>
                <w:sz w:val="20"/>
              </w:rPr>
              <w:t>Health check (always accessible, no auth required)</w:t>
            </w:r>
          </w:p>
        </w:tc>
      </w:tr>
      <w:tr>
        <w:tc>
          <w:tcPr>
            <w:tcW w:type="dxa" w:w="1872"/>
            <w:tcMar>
              <w:top w:w="60" w:type="dxa"/>
              <w:start w:w="80" w:type="dxa"/>
              <w:bottom w:w="60" w:type="dxa"/>
              <w:end w:w="80" w:type="dxa"/>
            </w:tcMar>
          </w:tcPr>
          <w:p>
            <w:r/>
            <w:r>
              <w:rPr>
                <w:rFonts w:ascii="Arial" w:hAnsi="Arial"/>
                <w:b/>
                <w:color w:val="1A1A2E"/>
                <w:sz w:val="20"/>
              </w:rPr>
              <w:t>/scan</w:t>
            </w:r>
          </w:p>
        </w:tc>
        <w:tc>
          <w:tcPr>
            <w:tcW w:type="dxa" w:w="1440"/>
            <w:tcMar>
              <w:top w:w="60" w:type="dxa"/>
              <w:start w:w="80" w:type="dxa"/>
              <w:bottom w:w="60" w:type="dxa"/>
              <w:end w:w="80" w:type="dxa"/>
            </w:tcMar>
          </w:tcPr>
          <w:p>
            <w:r/>
            <w:r>
              <w:rPr>
                <w:rFonts w:ascii="Arial" w:hAnsi="Arial"/>
                <w:color w:val="1A1A2E"/>
                <w:sz w:val="20"/>
              </w:rPr>
              <w:t>POST</w:t>
            </w:r>
          </w:p>
        </w:tc>
        <w:tc>
          <w:tcPr>
            <w:tcW w:type="dxa" w:w="6768"/>
            <w:tcMar>
              <w:top w:w="60" w:type="dxa"/>
              <w:start w:w="80" w:type="dxa"/>
              <w:bottom w:w="60" w:type="dxa"/>
              <w:end w:w="80" w:type="dxa"/>
            </w:tcMar>
          </w:tcPr>
          <w:p>
            <w:r/>
            <w:r>
              <w:rPr>
                <w:rFonts w:ascii="Arial" w:hAnsi="Arial"/>
                <w:color w:val="1A1A2E"/>
                <w:sz w:val="20"/>
              </w:rPr>
              <w:t>Scan inline files or repo path, returns findings with severity counts</w:t>
            </w:r>
          </w:p>
        </w:tc>
      </w:tr>
      <w:tr>
        <w:tc>
          <w:tcPr>
            <w:tcW w:type="dxa" w:w="1872"/>
            <w:shd w:fill="F4F6FC" w:val="clear"/>
            <w:tcMar>
              <w:top w:w="60" w:type="dxa"/>
              <w:start w:w="80" w:type="dxa"/>
              <w:bottom w:w="60" w:type="dxa"/>
              <w:end w:w="80" w:type="dxa"/>
            </w:tcMar>
          </w:tcPr>
          <w:p>
            <w:r/>
            <w:r>
              <w:rPr>
                <w:rFonts w:ascii="Arial" w:hAnsi="Arial"/>
                <w:b/>
                <w:color w:val="1A1A2E"/>
                <w:sz w:val="20"/>
              </w:rPr>
              <w:t>/gate</w:t>
            </w:r>
          </w:p>
        </w:tc>
        <w:tc>
          <w:tcPr>
            <w:tcW w:type="dxa" w:w="1440"/>
            <w:shd w:fill="F4F6FC" w:val="clear"/>
            <w:tcMar>
              <w:top w:w="60" w:type="dxa"/>
              <w:start w:w="80" w:type="dxa"/>
              <w:bottom w:w="60" w:type="dxa"/>
              <w:end w:w="80" w:type="dxa"/>
            </w:tcMar>
          </w:tcPr>
          <w:p>
            <w:r/>
            <w:r>
              <w:rPr>
                <w:rFonts w:ascii="Arial" w:hAnsi="Arial"/>
                <w:color w:val="1A1A2E"/>
                <w:sz w:val="20"/>
              </w:rPr>
              <w:t>POST</w:t>
            </w:r>
          </w:p>
        </w:tc>
        <w:tc>
          <w:tcPr>
            <w:tcW w:type="dxa" w:w="6768"/>
            <w:shd w:fill="F4F6FC" w:val="clear"/>
            <w:tcMar>
              <w:top w:w="60" w:type="dxa"/>
              <w:start w:w="80" w:type="dxa"/>
              <w:bottom w:w="60" w:type="dxa"/>
              <w:end w:w="80" w:type="dxa"/>
            </w:tcMar>
          </w:tcPr>
          <w:p>
            <w:r/>
            <w:r>
              <w:rPr>
                <w:rFonts w:ascii="Arial" w:hAnsi="Arial"/>
                <w:color w:val="1A1A2E"/>
                <w:sz w:val="20"/>
              </w:rPr>
              <w:t>Returns pass/fail gate result with per-severity breakdown</w:t>
            </w:r>
          </w:p>
        </w:tc>
      </w:tr>
      <w:tr>
        <w:tc>
          <w:tcPr>
            <w:tcW w:type="dxa" w:w="1872"/>
            <w:tcMar>
              <w:top w:w="60" w:type="dxa"/>
              <w:start w:w="80" w:type="dxa"/>
              <w:bottom w:w="60" w:type="dxa"/>
              <w:end w:w="80" w:type="dxa"/>
            </w:tcMar>
          </w:tcPr>
          <w:p>
            <w:r/>
            <w:r>
              <w:rPr>
                <w:rFonts w:ascii="Arial" w:hAnsi="Arial"/>
                <w:b/>
                <w:color w:val="1A1A2E"/>
                <w:sz w:val="20"/>
              </w:rPr>
              <w:t>/report</w:t>
            </w:r>
          </w:p>
        </w:tc>
        <w:tc>
          <w:tcPr>
            <w:tcW w:type="dxa" w:w="1440"/>
            <w:tcMar>
              <w:top w:w="60" w:type="dxa"/>
              <w:start w:w="80" w:type="dxa"/>
              <w:bottom w:w="60" w:type="dxa"/>
              <w:end w:w="80" w:type="dxa"/>
            </w:tcMar>
          </w:tcPr>
          <w:p>
            <w:r/>
            <w:r>
              <w:rPr>
                <w:rFonts w:ascii="Arial" w:hAnsi="Arial"/>
                <w:color w:val="1A1A2E"/>
                <w:sz w:val="20"/>
              </w:rPr>
              <w:t>POST</w:t>
            </w:r>
          </w:p>
        </w:tc>
        <w:tc>
          <w:tcPr>
            <w:tcW w:type="dxa" w:w="6768"/>
            <w:tcMar>
              <w:top w:w="60" w:type="dxa"/>
              <w:start w:w="80" w:type="dxa"/>
              <w:bottom w:w="60" w:type="dxa"/>
              <w:end w:w="80" w:type="dxa"/>
            </w:tcMar>
          </w:tcPr>
          <w:p>
            <w:r/>
            <w:r>
              <w:rPr>
                <w:rFonts w:ascii="Arial" w:hAnsi="Arial"/>
                <w:color w:val="1A1A2E"/>
                <w:sz w:val="20"/>
              </w:rPr>
              <w:t>Generates HTML/JUnit/SARIF reports from scan</w:t>
            </w:r>
          </w:p>
        </w:tc>
      </w:tr>
      <w:tr>
        <w:tc>
          <w:tcPr>
            <w:tcW w:type="dxa" w:w="1872"/>
            <w:shd w:fill="F4F6FC" w:val="clear"/>
            <w:tcMar>
              <w:top w:w="60" w:type="dxa"/>
              <w:start w:w="80" w:type="dxa"/>
              <w:bottom w:w="60" w:type="dxa"/>
              <w:end w:w="80" w:type="dxa"/>
            </w:tcMar>
          </w:tcPr>
          <w:p>
            <w:r/>
            <w:r>
              <w:rPr>
                <w:rFonts w:ascii="Arial" w:hAnsi="Arial"/>
                <w:b/>
                <w:color w:val="1A1A2E"/>
                <w:sz w:val="20"/>
              </w:rPr>
              <w:t>/rules</w:t>
            </w:r>
          </w:p>
        </w:tc>
        <w:tc>
          <w:tcPr>
            <w:tcW w:type="dxa" w:w="1440"/>
            <w:shd w:fill="F4F6FC" w:val="clear"/>
            <w:tcMar>
              <w:top w:w="60" w:type="dxa"/>
              <w:start w:w="80" w:type="dxa"/>
              <w:bottom w:w="60" w:type="dxa"/>
              <w:end w:w="80" w:type="dxa"/>
            </w:tcMar>
          </w:tcPr>
          <w:p>
            <w:r/>
            <w:r>
              <w:rPr>
                <w:rFonts w:ascii="Arial" w:hAnsi="Arial"/>
                <w:color w:val="1A1A2E"/>
                <w:sz w:val="20"/>
              </w:rPr>
              <w:t>GET</w:t>
            </w:r>
          </w:p>
        </w:tc>
        <w:tc>
          <w:tcPr>
            <w:tcW w:type="dxa" w:w="6768"/>
            <w:shd w:fill="F4F6FC" w:val="clear"/>
            <w:tcMar>
              <w:top w:w="60" w:type="dxa"/>
              <w:start w:w="80" w:type="dxa"/>
              <w:bottom w:w="60" w:type="dxa"/>
              <w:end w:w="80" w:type="dxa"/>
            </w:tcMar>
          </w:tcPr>
          <w:p>
            <w:r/>
            <w:r>
              <w:rPr>
                <w:rFonts w:ascii="Arial" w:hAnsi="Arial"/>
                <w:color w:val="1A1A2E"/>
                <w:sz w:val="20"/>
              </w:rPr>
              <w:t>Lists all configured rules (built-in + user + pack)</w:t>
            </w:r>
          </w:p>
        </w:tc>
      </w:tr>
    </w:tbl>
    <w:p/>
    <w:p>
      <w:r>
        <w:t>Docker deployment uses a multi-stage build (Python 3.12-slim, ~120MB runtime image) with a non-root user, health checks, and restart policies. Docker Compose provides volume mounts for configuration files, standards YAML, and work items — enabling deployment without requiring every team member to set up a local Python environment.</w:t>
      </w:r>
    </w:p>
    <w:p>
      <w:pPr>
        <w:pStyle w:val="Heading2"/>
      </w:pPr>
      <w:r>
        <w:t>Custom Rule Extensibility</w:t>
      </w:r>
    </w:p>
    <w:p>
      <w:r>
        <w:t>Phase 22 delivered a custom rule DSL that enables organizations to define their own rules in YAML without modifying source code. This includes:</w:t>
      </w:r>
    </w:p>
    <w:p>
      <w:pPr>
        <w:pStyle w:val="ListBullet"/>
      </w:pPr>
      <w:r>
        <w:rPr>
          <w:b/>
        </w:rPr>
        <w:t xml:space="preserve">Configurable file policy checks </w:t>
      </w:r>
      <w:r>
        <w:t>via the FILE_POLICY_CHECKS registry (max lines, required patterns, forbidden imports, function count)</w:t>
      </w:r>
    </w:p>
    <w:p>
      <w:pPr>
        <w:pStyle w:val="ListBullet"/>
      </w:pPr>
      <w:r>
        <w:rPr>
          <w:b/>
        </w:rPr>
        <w:t xml:space="preserve">Parameterized AST checks </w:t>
      </w:r>
      <w:r>
        <w:t>with configurable thresholds (complexity limits, nesting depth, function length)</w:t>
      </w:r>
    </w:p>
    <w:p>
      <w:pPr>
        <w:pStyle w:val="ListBullet"/>
      </w:pPr>
      <w:r>
        <w:rPr>
          <w:b/>
        </w:rPr>
        <w:t xml:space="preserve">Composite regex matching </w:t>
      </w:r>
      <w:r>
        <w:t>using the all_patterns field for multi-condition detection</w:t>
      </w:r>
    </w:p>
    <w:p>
      <w:pPr>
        <w:pStyle w:val="ListBullet"/>
      </w:pPr>
      <w:r>
        <w:rPr>
          <w:b/>
        </w:rPr>
        <w:t xml:space="preserve">Extension guide </w:t>
      </w:r>
      <w:r>
        <w:t>(docs/EXTENSION_GUIDE.md) with worked YAML examples for all custom rule capabilities</w:t>
      </w:r>
    </w:p>
    <w:p>
      <w:r>
        <w:br w:type="page"/>
      </w:r>
    </w:p>
    <w:p>
      <w:pPr>
        <w:pStyle w:val="Heading1"/>
        <w:pBdr>
          <w:bottom w:val="single" w:sz="6" w:space="4" w:color="3B82F6"/>
        </w:pBdr>
      </w:pPr>
      <w:r>
        <w:t>Value Proposition</w:t>
      </w:r>
    </w:p>
    <w:p>
      <w:pPr>
        <w:pStyle w:val="Heading2"/>
      </w:pPr>
      <w:r>
        <w:t>For Engineering Leaders</w:t>
      </w:r>
    </w:p>
    <w:p>
      <w:r>
        <w:rPr>
          <w:i/>
          <w:color w:val="4A4E69"/>
        </w:rPr>
        <w:t>“Let your team use AI agents without breaking your standards.”</w:t>
      </w:r>
    </w:p>
    <w:p>
      <w:pPr>
        <w:pStyle w:val="ListBullet"/>
      </w:pPr>
      <w:r>
        <w:t>Deterministic gate blocks non-compliant code before merge — no human reviewer required for pattern-level issues</w:t>
      </w:r>
    </w:p>
    <w:p>
      <w:pPr>
        <w:pStyle w:val="ListBullet"/>
      </w:pPr>
      <w:r>
        <w:t>Auto-fix patches for low-severity findings reduce manual rework by developers</w:t>
      </w:r>
    </w:p>
    <w:p>
      <w:pPr>
        <w:pStyle w:val="ListBullet"/>
      </w:pPr>
      <w:r>
        <w:t>Full audit trail of every scan, finding, and gate decision for accountability</w:t>
      </w:r>
    </w:p>
    <w:p>
      <w:pPr>
        <w:pStyle w:val="ListBullet"/>
      </w:pPr>
      <w:r>
        <w:t>Standards defined as code (.guard.yaml) and versioned alongside the codebase</w:t>
      </w:r>
    </w:p>
    <w:p>
      <w:pPr>
        <w:pStyle w:val="Heading2"/>
      </w:pPr>
      <w:r>
        <w:t>For Compliance &amp; Quality Assurance</w:t>
      </w:r>
    </w:p>
    <w:p>
      <w:r>
        <w:rPr>
          <w:i/>
          <w:color w:val="4A4E69"/>
        </w:rPr>
        <w:t>“Prove your AI-generated code meets regulatory requirements.”</w:t>
      </w:r>
    </w:p>
    <w:p>
      <w:pPr>
        <w:pStyle w:val="ListBullet"/>
      </w:pPr>
      <w:r>
        <w:t>Pre-built regulatory packs map directly to standard clauses with traceability fields</w:t>
      </w:r>
    </w:p>
    <w:p>
      <w:pPr>
        <w:pStyle w:val="ListBullet"/>
      </w:pPr>
      <w:r>
        <w:t>Documentation obligations are tracked and reported without blocking development flow</w:t>
      </w:r>
    </w:p>
    <w:p>
      <w:pPr>
        <w:pStyle w:val="ListBullet"/>
      </w:pPr>
      <w:r>
        <w:t>HTML reports include dedicated compliance obligation sections with remediation guidance</w:t>
      </w:r>
    </w:p>
    <w:p>
      <w:pPr>
        <w:pStyle w:val="ListBullet"/>
      </w:pPr>
      <w:r>
        <w:t>SARIF output enables integration with existing compliance toolchains</w:t>
      </w:r>
    </w:p>
    <w:p>
      <w:pPr>
        <w:pStyle w:val="Heading2"/>
      </w:pPr>
      <w:r>
        <w:t>For DevOps &amp; Platform Engineering</w:t>
      </w:r>
    </w:p>
    <w:p>
      <w:r>
        <w:rPr>
          <w:i/>
          <w:color w:val="4A4E69"/>
        </w:rPr>
        <w:t>“Add governance without slowing down the pipeline.”</w:t>
      </w:r>
    </w:p>
    <w:p>
      <w:pPr>
        <w:pStyle w:val="ListBullet"/>
      </w:pPr>
      <w:r>
        <w:t>Single CLI command (guard gate) integrates into any CI system with exit code pass/fail</w:t>
      </w:r>
    </w:p>
    <w:p>
      <w:pPr>
        <w:pStyle w:val="ListBullet"/>
      </w:pPr>
      <w:r>
        <w:t>Docker deployment takes minutes; scan caching ensures only changed files are re-evaluated</w:t>
      </w:r>
    </w:p>
    <w:p>
      <w:pPr>
        <w:pStyle w:val="ListBullet"/>
      </w:pPr>
      <w:r>
        <w:t>Bidirectional DevOps sync keeps work items current without manual updates</w:t>
      </w:r>
    </w:p>
    <w:p>
      <w:pPr>
        <w:pStyle w:val="ListBullet"/>
      </w:pPr>
      <w:r>
        <w:t>REST API enables centralized scanning as a service for distributed teams</w:t>
      </w:r>
    </w:p>
    <w:p/>
    <w:p>
      <w:pPr>
        <w:pStyle w:val="Heading1"/>
        <w:pBdr>
          <w:bottom w:val="single" w:sz="6" w:space="4" w:color="3B82F6"/>
        </w:pBdr>
      </w:pPr>
      <w:r>
        <w:t>Competitive Positioning</w:t>
      </w:r>
    </w:p>
    <w:p>
      <w:r>
        <w:t>AI SDLC Guard occupies a unique position — purpose-built for governing AI agent output, combining deterministic scanning with regulatory compliance.</w:t>
      </w:r>
    </w:p>
    <w:p/>
    <w:tbl>
      <w:tblPr>
        <w:tblStyle w:val="TableGrid"/>
        <w:tblW w:type="auto" w:w="0"/>
        <w:jc w:val="center"/>
        <w:tblLook w:firstColumn="1" w:firstRow="1" w:lastColumn="0" w:lastRow="0" w:noHBand="0" w:noVBand="1" w:val="04A0"/>
      </w:tblPr>
      <w:tblGrid>
        <w:gridCol w:w="3120"/>
        <w:gridCol w:w="3120"/>
        <w:gridCol w:w="3120"/>
      </w:tblGrid>
      <w:tr>
        <w:tc>
          <w:tcPr>
            <w:tcW w:type="dxa" w:w="3168"/>
            <w:shd w:fill="1E2761" w:val="clear"/>
            <w:tcMar>
              <w:top w:w="60" w:type="dxa"/>
              <w:start w:w="80" w:type="dxa"/>
              <w:bottom w:w="60" w:type="dxa"/>
              <w:end w:w="80" w:type="dxa"/>
            </w:tcMar>
          </w:tcPr>
          <w:p>
            <w:r/>
            <w:r>
              <w:rPr>
                <w:rFonts w:ascii="Arial" w:hAnsi="Arial"/>
                <w:b/>
                <w:color w:val="FFFFFF"/>
                <w:sz w:val="20"/>
              </w:rPr>
              <w:t>Category</w:t>
            </w:r>
          </w:p>
        </w:tc>
        <w:tc>
          <w:tcPr>
            <w:tcW w:type="dxa" w:w="3456"/>
            <w:shd w:fill="1E2761" w:val="clear"/>
            <w:tcMar>
              <w:top w:w="60" w:type="dxa"/>
              <w:start w:w="80" w:type="dxa"/>
              <w:bottom w:w="60" w:type="dxa"/>
              <w:end w:w="80" w:type="dxa"/>
            </w:tcMar>
          </w:tcPr>
          <w:p>
            <w:r/>
            <w:r>
              <w:rPr>
                <w:rFonts w:ascii="Arial" w:hAnsi="Arial"/>
                <w:b/>
                <w:color w:val="FFFFFF"/>
                <w:sz w:val="20"/>
              </w:rPr>
              <w:t>What They Do</w:t>
            </w:r>
          </w:p>
        </w:tc>
        <w:tc>
          <w:tcPr>
            <w:tcW w:type="dxa" w:w="3456"/>
            <w:shd w:fill="1E2761" w:val="clear"/>
            <w:tcMar>
              <w:top w:w="60" w:type="dxa"/>
              <w:start w:w="80" w:type="dxa"/>
              <w:bottom w:w="60" w:type="dxa"/>
              <w:end w:w="80" w:type="dxa"/>
            </w:tcMar>
          </w:tcPr>
          <w:p>
            <w:r/>
            <w:r>
              <w:rPr>
                <w:rFonts w:ascii="Arial" w:hAnsi="Arial"/>
                <w:b/>
                <w:color w:val="FFFFFF"/>
                <w:sz w:val="20"/>
              </w:rPr>
              <w:t>What Guard Adds</w:t>
            </w:r>
          </w:p>
        </w:tc>
      </w:tr>
      <w:tr>
        <w:tc>
          <w:tcPr>
            <w:tcW w:type="dxa" w:w="3168"/>
            <w:shd w:fill="F4F6FC" w:val="clear"/>
            <w:tcMar>
              <w:top w:w="60" w:type="dxa"/>
              <w:start w:w="80" w:type="dxa"/>
              <w:bottom w:w="60" w:type="dxa"/>
              <w:end w:w="80" w:type="dxa"/>
            </w:tcMar>
          </w:tcPr>
          <w:p>
            <w:r/>
            <w:r>
              <w:rPr>
                <w:rFonts w:ascii="Arial" w:hAnsi="Arial"/>
                <w:b/>
                <w:color w:val="1A1A2E"/>
                <w:sz w:val="20"/>
              </w:rPr>
              <w:t>Traditional SAST</w:t>
              <w:br/>
              <w:t>(SonarQube, Semgrep, CodeQL)</w:t>
            </w:r>
          </w:p>
        </w:tc>
        <w:tc>
          <w:tcPr>
            <w:tcW w:type="dxa" w:w="3456"/>
            <w:shd w:fill="F4F6FC" w:val="clear"/>
            <w:tcMar>
              <w:top w:w="60" w:type="dxa"/>
              <w:start w:w="80" w:type="dxa"/>
              <w:bottom w:w="60" w:type="dxa"/>
              <w:end w:w="80" w:type="dxa"/>
            </w:tcMar>
          </w:tcPr>
          <w:p>
            <w:r/>
            <w:r>
              <w:rPr>
                <w:rFonts w:ascii="Arial" w:hAnsi="Arial"/>
                <w:color w:val="1A1A2E"/>
                <w:sz w:val="20"/>
              </w:rPr>
              <w:t>Scan code for bugs and vulnerabilities</w:t>
            </w:r>
          </w:p>
        </w:tc>
        <w:tc>
          <w:tcPr>
            <w:tcW w:type="dxa" w:w="3456"/>
            <w:shd w:fill="F4F6FC" w:val="clear"/>
            <w:tcMar>
              <w:top w:w="60" w:type="dxa"/>
              <w:start w:w="80" w:type="dxa"/>
              <w:bottom w:w="60" w:type="dxa"/>
              <w:end w:w="80" w:type="dxa"/>
            </w:tcMar>
          </w:tcPr>
          <w:p>
            <w:r/>
            <w:r>
              <w:rPr>
                <w:rFonts w:ascii="Arial" w:hAnsi="Arial"/>
                <w:color w:val="1A1A2E"/>
                <w:sz w:val="20"/>
              </w:rPr>
              <w:t>AI agent awareness, work item traceability, regulatory compliance packs, auto-patching, SARIF import</w:t>
            </w:r>
          </w:p>
        </w:tc>
      </w:tr>
      <w:tr>
        <w:tc>
          <w:tcPr>
            <w:tcW w:type="dxa" w:w="3168"/>
            <w:tcMar>
              <w:top w:w="60" w:type="dxa"/>
              <w:start w:w="80" w:type="dxa"/>
              <w:bottom w:w="60" w:type="dxa"/>
              <w:end w:w="80" w:type="dxa"/>
            </w:tcMar>
          </w:tcPr>
          <w:p>
            <w:r/>
            <w:r>
              <w:rPr>
                <w:rFonts w:ascii="Arial" w:hAnsi="Arial"/>
                <w:b/>
                <w:color w:val="1A1A2E"/>
                <w:sz w:val="20"/>
              </w:rPr>
              <w:t>AI Agent Platforms</w:t>
              <w:br/>
              <w:t>(Copilot, Cursor, Claude Code)</w:t>
            </w:r>
          </w:p>
        </w:tc>
        <w:tc>
          <w:tcPr>
            <w:tcW w:type="dxa" w:w="3456"/>
            <w:tcMar>
              <w:top w:w="60" w:type="dxa"/>
              <w:start w:w="80" w:type="dxa"/>
              <w:bottom w:w="60" w:type="dxa"/>
              <w:end w:w="80" w:type="dxa"/>
            </w:tcMar>
          </w:tcPr>
          <w:p>
            <w:r/>
            <w:r>
              <w:rPr>
                <w:rFonts w:ascii="Arial" w:hAnsi="Arial"/>
                <w:color w:val="1A1A2E"/>
                <w:sz w:val="20"/>
              </w:rPr>
              <w:t>Generate code from natural language prompts</w:t>
            </w:r>
          </w:p>
        </w:tc>
        <w:tc>
          <w:tcPr>
            <w:tcW w:type="dxa" w:w="3456"/>
            <w:tcMar>
              <w:top w:w="60" w:type="dxa"/>
              <w:start w:w="80" w:type="dxa"/>
              <w:bottom w:w="60" w:type="dxa"/>
              <w:end w:w="80" w:type="dxa"/>
            </w:tcMar>
          </w:tcPr>
          <w:p>
            <w:r/>
            <w:r>
              <w:rPr>
                <w:rFonts w:ascii="Arial" w:hAnsi="Arial"/>
                <w:color w:val="1A1A2E"/>
                <w:sz w:val="20"/>
              </w:rPr>
              <w:t>Deterministic quality gates, compliance reporting, DevOps sync — the governance layer alongside code generation</w:t>
            </w:r>
          </w:p>
        </w:tc>
      </w:tr>
      <w:tr>
        <w:tc>
          <w:tcPr>
            <w:tcW w:type="dxa" w:w="3168"/>
            <w:shd w:fill="F4F6FC" w:val="clear"/>
            <w:tcMar>
              <w:top w:w="60" w:type="dxa"/>
              <w:start w:w="80" w:type="dxa"/>
              <w:bottom w:w="60" w:type="dxa"/>
              <w:end w:w="80" w:type="dxa"/>
            </w:tcMar>
          </w:tcPr>
          <w:p>
            <w:r/>
            <w:r>
              <w:rPr>
                <w:rFonts w:ascii="Arial" w:hAnsi="Arial"/>
                <w:b/>
                <w:color w:val="1A1A2E"/>
                <w:sz w:val="20"/>
              </w:rPr>
              <w:t>Custom CI Scripts</w:t>
            </w:r>
          </w:p>
        </w:tc>
        <w:tc>
          <w:tcPr>
            <w:tcW w:type="dxa" w:w="3456"/>
            <w:shd w:fill="F4F6FC" w:val="clear"/>
            <w:tcMar>
              <w:top w:w="60" w:type="dxa"/>
              <w:start w:w="80" w:type="dxa"/>
              <w:bottom w:w="60" w:type="dxa"/>
              <w:end w:w="80" w:type="dxa"/>
            </w:tcMar>
          </w:tcPr>
          <w:p>
            <w:r/>
            <w:r>
              <w:rPr>
                <w:rFonts w:ascii="Arial" w:hAnsi="Arial"/>
                <w:color w:val="1A1A2E"/>
                <w:sz w:val="20"/>
              </w:rPr>
              <w:t>Ad-hoc regex checks in CI pipelines</w:t>
            </w:r>
          </w:p>
        </w:tc>
        <w:tc>
          <w:tcPr>
            <w:tcW w:type="dxa" w:w="3456"/>
            <w:shd w:fill="F4F6FC" w:val="clear"/>
            <w:tcMar>
              <w:top w:w="60" w:type="dxa"/>
              <w:start w:w="80" w:type="dxa"/>
              <w:bottom w:w="60" w:type="dxa"/>
              <w:end w:w="80" w:type="dxa"/>
            </w:tcMar>
          </w:tcPr>
          <w:p>
            <w:r/>
            <w:r>
              <w:rPr>
                <w:rFonts w:ascii="Arial" w:hAnsi="Arial"/>
                <w:color w:val="1A1A2E"/>
                <w:sz w:val="20"/>
              </w:rPr>
              <w:t>Structured, tested, extensible framework with caching, reporting, auto-patching, and work item integration</w:t>
            </w:r>
          </w:p>
        </w:tc>
      </w:tr>
    </w:tbl>
    <w:p>
      <w:r>
        <w:br w:type="page"/>
      </w:r>
    </w:p>
    <w:p>
      <w:pPr>
        <w:pStyle w:val="Heading1"/>
        <w:pBdr>
          <w:bottom w:val="single" w:sz="6" w:space="4" w:color="3B82F6"/>
        </w:pBdr>
      </w:pPr>
      <w:r>
        <w:t>Current Status &amp; Roadmap</w:t>
      </w:r>
    </w:p>
    <w:p>
      <w:r>
        <w:t>AI SDLC Guard is v1.0.0, feature-complete through Phase 22, and ready for internal pilot deployment. Twenty-two development phases have been completed, delivering a production-grade platform with comprehensive test coverage and documentation.</w:t>
      </w:r>
    </w:p>
    <w:p>
      <w:pPr>
        <w:pStyle w:val="Heading2"/>
      </w:pPr>
      <w:r>
        <w:t>Platform Metrics (v1.0.0)</w:t>
      </w:r>
    </w:p>
    <w:p/>
    <w:tbl>
      <w:tblPr>
        <w:tblStyle w:val="TableGrid"/>
        <w:tblW w:type="auto" w:w="0"/>
        <w:jc w:val="center"/>
        <w:tblLook w:firstColumn="1" w:firstRow="1" w:lastColumn="0" w:lastRow="0" w:noHBand="0" w:noVBand="1" w:val="04A0"/>
      </w:tblPr>
      <w:tblGrid>
        <w:gridCol w:w="4680"/>
        <w:gridCol w:w="4680"/>
      </w:tblGrid>
      <w:tr>
        <w:tc>
          <w:tcPr>
            <w:tcW w:type="dxa" w:w="3600"/>
            <w:shd w:fill="1E2761" w:val="clear"/>
            <w:tcMar>
              <w:top w:w="60" w:type="dxa"/>
              <w:start w:w="80" w:type="dxa"/>
              <w:bottom w:w="60" w:type="dxa"/>
              <w:end w:w="80" w:type="dxa"/>
            </w:tcMar>
          </w:tcPr>
          <w:p>
            <w:r/>
            <w:r>
              <w:rPr>
                <w:rFonts w:ascii="Arial" w:hAnsi="Arial"/>
                <w:b/>
                <w:color w:val="FFFFFF"/>
                <w:sz w:val="20"/>
              </w:rPr>
              <w:t>Metric</w:t>
            </w:r>
          </w:p>
        </w:tc>
        <w:tc>
          <w:tcPr>
            <w:tcW w:type="dxa" w:w="6480"/>
            <w:shd w:fill="1E2761" w:val="clear"/>
            <w:tcMar>
              <w:top w:w="60" w:type="dxa"/>
              <w:start w:w="80" w:type="dxa"/>
              <w:bottom w:w="60" w:type="dxa"/>
              <w:end w:w="80" w:type="dxa"/>
            </w:tcMar>
          </w:tcPr>
          <w:p>
            <w:r/>
            <w:r>
              <w:rPr>
                <w:rFonts w:ascii="Arial" w:hAnsi="Arial"/>
                <w:b/>
                <w:color w:val="FFFFFF"/>
                <w:sz w:val="20"/>
              </w:rPr>
              <w:t>Value</w:t>
            </w:r>
          </w:p>
        </w:tc>
      </w:tr>
      <w:tr>
        <w:tc>
          <w:tcPr>
            <w:tcW w:type="dxa" w:w="3600"/>
            <w:shd w:fill="F4F6FC" w:val="clear"/>
            <w:tcMar>
              <w:top w:w="60" w:type="dxa"/>
              <w:start w:w="80" w:type="dxa"/>
              <w:bottom w:w="60" w:type="dxa"/>
              <w:end w:w="80" w:type="dxa"/>
            </w:tcMar>
          </w:tcPr>
          <w:p>
            <w:r/>
            <w:r>
              <w:rPr>
                <w:rFonts w:ascii="Arial" w:hAnsi="Arial"/>
                <w:b/>
                <w:color w:val="1A1A2E"/>
                <w:sz w:val="20"/>
              </w:rPr>
              <w:t>Production Code</w:t>
            </w:r>
          </w:p>
        </w:tc>
        <w:tc>
          <w:tcPr>
            <w:tcW w:type="dxa" w:w="6480"/>
            <w:shd w:fill="F4F6FC" w:val="clear"/>
            <w:tcMar>
              <w:top w:w="60" w:type="dxa"/>
              <w:start w:w="80" w:type="dxa"/>
              <w:bottom w:w="60" w:type="dxa"/>
              <w:end w:w="80" w:type="dxa"/>
            </w:tcMar>
          </w:tcPr>
          <w:p>
            <w:r/>
            <w:r>
              <w:rPr>
                <w:rFonts w:ascii="Arial" w:hAnsi="Arial"/>
                <w:color w:val="1A1A2E"/>
                <w:sz w:val="20"/>
              </w:rPr>
              <w:t>~5,500 lines across 50 Python modules</w:t>
            </w:r>
          </w:p>
        </w:tc>
      </w:tr>
      <w:tr>
        <w:tc>
          <w:tcPr>
            <w:tcW w:type="dxa" w:w="3600"/>
            <w:tcMar>
              <w:top w:w="60" w:type="dxa"/>
              <w:start w:w="80" w:type="dxa"/>
              <w:bottom w:w="60" w:type="dxa"/>
              <w:end w:w="80" w:type="dxa"/>
            </w:tcMar>
          </w:tcPr>
          <w:p>
            <w:r/>
            <w:r>
              <w:rPr>
                <w:rFonts w:ascii="Arial" w:hAnsi="Arial"/>
                <w:b/>
                <w:color w:val="1A1A2E"/>
                <w:sz w:val="20"/>
              </w:rPr>
              <w:t>Test Suite</w:t>
            </w:r>
          </w:p>
        </w:tc>
        <w:tc>
          <w:tcPr>
            <w:tcW w:type="dxa" w:w="6480"/>
            <w:tcMar>
              <w:top w:w="60" w:type="dxa"/>
              <w:start w:w="80" w:type="dxa"/>
              <w:bottom w:w="60" w:type="dxa"/>
              <w:end w:w="80" w:type="dxa"/>
            </w:tcMar>
          </w:tcPr>
          <w:p>
            <w:r/>
            <w:r>
              <w:rPr>
                <w:rFonts w:ascii="Arial" w:hAnsi="Arial"/>
                <w:color w:val="1A1A2E"/>
                <w:sz w:val="20"/>
              </w:rPr>
              <w:t>816 tests across 33 modules (~10,000 LOC)</w:t>
            </w:r>
          </w:p>
        </w:tc>
      </w:tr>
      <w:tr>
        <w:tc>
          <w:tcPr>
            <w:tcW w:type="dxa" w:w="3600"/>
            <w:shd w:fill="F4F6FC" w:val="clear"/>
            <w:tcMar>
              <w:top w:w="60" w:type="dxa"/>
              <w:start w:w="80" w:type="dxa"/>
              <w:bottom w:w="60" w:type="dxa"/>
              <w:end w:w="80" w:type="dxa"/>
            </w:tcMar>
          </w:tcPr>
          <w:p>
            <w:r/>
            <w:r>
              <w:rPr>
                <w:rFonts w:ascii="Arial" w:hAnsi="Arial"/>
                <w:b/>
                <w:color w:val="1A1A2E"/>
                <w:sz w:val="20"/>
              </w:rPr>
              <w:t>Test Coverage</w:t>
            </w:r>
          </w:p>
        </w:tc>
        <w:tc>
          <w:tcPr>
            <w:tcW w:type="dxa" w:w="6480"/>
            <w:shd w:fill="F4F6FC" w:val="clear"/>
            <w:tcMar>
              <w:top w:w="60" w:type="dxa"/>
              <w:start w:w="80" w:type="dxa"/>
              <w:bottom w:w="60" w:type="dxa"/>
              <w:end w:w="80" w:type="dxa"/>
            </w:tcMar>
          </w:tcPr>
          <w:p>
            <w:r/>
            <w:r>
              <w:rPr>
                <w:rFonts w:ascii="Arial" w:hAnsi="Arial"/>
                <w:color w:val="1A1A2E"/>
                <w:sz w:val="20"/>
              </w:rPr>
              <w:t>96%+ (90% threshold enforced in CI)</w:t>
            </w:r>
          </w:p>
        </w:tc>
      </w:tr>
      <w:tr>
        <w:tc>
          <w:tcPr>
            <w:tcW w:type="dxa" w:w="3600"/>
            <w:tcMar>
              <w:top w:w="60" w:type="dxa"/>
              <w:start w:w="80" w:type="dxa"/>
              <w:bottom w:w="60" w:type="dxa"/>
              <w:end w:w="80" w:type="dxa"/>
            </w:tcMar>
          </w:tcPr>
          <w:p>
            <w:r/>
            <w:r>
              <w:rPr>
                <w:rFonts w:ascii="Arial" w:hAnsi="Arial"/>
                <w:b/>
                <w:color w:val="1A1A2E"/>
                <w:sz w:val="20"/>
              </w:rPr>
              <w:t>CLI Commands</w:t>
            </w:r>
          </w:p>
        </w:tc>
        <w:tc>
          <w:tcPr>
            <w:tcW w:type="dxa" w:w="6480"/>
            <w:tcMar>
              <w:top w:w="60" w:type="dxa"/>
              <w:start w:w="80" w:type="dxa"/>
              <w:bottom w:w="60" w:type="dxa"/>
              <w:end w:w="80" w:type="dxa"/>
            </w:tcMar>
          </w:tcPr>
          <w:p>
            <w:r/>
            <w:r>
              <w:rPr>
                <w:rFonts w:ascii="Arial" w:hAnsi="Arial"/>
                <w:color w:val="1A1A2E"/>
                <w:sz w:val="20"/>
              </w:rPr>
              <w:t>15 (scan, gate, sync, serve, list-packs, and more)</w:t>
            </w:r>
          </w:p>
        </w:tc>
      </w:tr>
      <w:tr>
        <w:tc>
          <w:tcPr>
            <w:tcW w:type="dxa" w:w="3600"/>
            <w:shd w:fill="F4F6FC" w:val="clear"/>
            <w:tcMar>
              <w:top w:w="60" w:type="dxa"/>
              <w:start w:w="80" w:type="dxa"/>
              <w:bottom w:w="60" w:type="dxa"/>
              <w:end w:w="80" w:type="dxa"/>
            </w:tcMar>
          </w:tcPr>
          <w:p>
            <w:r/>
            <w:r>
              <w:rPr>
                <w:rFonts w:ascii="Arial" w:hAnsi="Arial"/>
                <w:b/>
                <w:color w:val="1A1A2E"/>
                <w:sz w:val="20"/>
              </w:rPr>
              <w:t>API Endpoints</w:t>
            </w:r>
          </w:p>
        </w:tc>
        <w:tc>
          <w:tcPr>
            <w:tcW w:type="dxa" w:w="6480"/>
            <w:shd w:fill="F4F6FC" w:val="clear"/>
            <w:tcMar>
              <w:top w:w="60" w:type="dxa"/>
              <w:start w:w="80" w:type="dxa"/>
              <w:bottom w:w="60" w:type="dxa"/>
              <w:end w:w="80" w:type="dxa"/>
            </w:tcMar>
          </w:tcPr>
          <w:p>
            <w:r/>
            <w:r>
              <w:rPr>
                <w:rFonts w:ascii="Arial" w:hAnsi="Arial"/>
                <w:color w:val="1A1A2E"/>
                <w:sz w:val="20"/>
              </w:rPr>
              <w:t>5 (health, scan, gate, report, rules)</w:t>
            </w:r>
          </w:p>
        </w:tc>
      </w:tr>
      <w:tr>
        <w:tc>
          <w:tcPr>
            <w:tcW w:type="dxa" w:w="3600"/>
            <w:tcMar>
              <w:top w:w="60" w:type="dxa"/>
              <w:start w:w="80" w:type="dxa"/>
              <w:bottom w:w="60" w:type="dxa"/>
              <w:end w:w="80" w:type="dxa"/>
            </w:tcMar>
          </w:tcPr>
          <w:p>
            <w:r/>
            <w:r>
              <w:rPr>
                <w:rFonts w:ascii="Arial" w:hAnsi="Arial"/>
                <w:b/>
                <w:color w:val="1A1A2E"/>
                <w:sz w:val="20"/>
              </w:rPr>
              <w:t>Standards Rules</w:t>
            </w:r>
          </w:p>
        </w:tc>
        <w:tc>
          <w:tcPr>
            <w:tcW w:type="dxa" w:w="6480"/>
            <w:tcMar>
              <w:top w:w="60" w:type="dxa"/>
              <w:start w:w="80" w:type="dxa"/>
              <w:bottom w:w="60" w:type="dxa"/>
              <w:end w:w="80" w:type="dxa"/>
            </w:tcMar>
          </w:tcPr>
          <w:p>
            <w:r/>
            <w:r>
              <w:rPr>
                <w:rFonts w:ascii="Arial" w:hAnsi="Arial"/>
                <w:color w:val="1A1A2E"/>
                <w:sz w:val="20"/>
              </w:rPr>
              <w:t>9 user-configurable + 6 built-in AST checks</w:t>
            </w:r>
          </w:p>
        </w:tc>
      </w:tr>
      <w:tr>
        <w:tc>
          <w:tcPr>
            <w:tcW w:type="dxa" w:w="3600"/>
            <w:shd w:fill="F4F6FC" w:val="clear"/>
            <w:tcMar>
              <w:top w:w="60" w:type="dxa"/>
              <w:start w:w="80" w:type="dxa"/>
              <w:bottom w:w="60" w:type="dxa"/>
              <w:end w:w="80" w:type="dxa"/>
            </w:tcMar>
          </w:tcPr>
          <w:p>
            <w:r/>
            <w:r>
              <w:rPr>
                <w:rFonts w:ascii="Arial" w:hAnsi="Arial"/>
                <w:b/>
                <w:color w:val="1A1A2E"/>
                <w:sz w:val="20"/>
              </w:rPr>
              <w:t>Regulatory Pack Rules</w:t>
            </w:r>
          </w:p>
        </w:tc>
        <w:tc>
          <w:tcPr>
            <w:tcW w:type="dxa" w:w="6480"/>
            <w:shd w:fill="F4F6FC" w:val="clear"/>
            <w:tcMar>
              <w:top w:w="60" w:type="dxa"/>
              <w:start w:w="80" w:type="dxa"/>
              <w:bottom w:w="60" w:type="dxa"/>
              <w:end w:w="80" w:type="dxa"/>
            </w:tcMar>
          </w:tcPr>
          <w:p>
            <w:r/>
            <w:r>
              <w:rPr>
                <w:rFonts w:ascii="Arial" w:hAnsi="Arial"/>
                <w:color w:val="1A1A2E"/>
                <w:sz w:val="20"/>
              </w:rPr>
              <w:t>52 total (FDA: 14, OWASP: 22, SOC2: 16)</w:t>
            </w:r>
          </w:p>
        </w:tc>
      </w:tr>
      <w:tr>
        <w:tc>
          <w:tcPr>
            <w:tcW w:type="dxa" w:w="3600"/>
            <w:tcMar>
              <w:top w:w="60" w:type="dxa"/>
              <w:start w:w="80" w:type="dxa"/>
              <w:bottom w:w="60" w:type="dxa"/>
              <w:end w:w="80" w:type="dxa"/>
            </w:tcMar>
          </w:tcPr>
          <w:p>
            <w:r/>
            <w:r>
              <w:rPr>
                <w:rFonts w:ascii="Arial" w:hAnsi="Arial"/>
                <w:b/>
                <w:color w:val="1A1A2E"/>
                <w:sz w:val="20"/>
              </w:rPr>
              <w:t>DevOps Integrations</w:t>
            </w:r>
          </w:p>
        </w:tc>
        <w:tc>
          <w:tcPr>
            <w:tcW w:type="dxa" w:w="6480"/>
            <w:tcMar>
              <w:top w:w="60" w:type="dxa"/>
              <w:start w:w="80" w:type="dxa"/>
              <w:bottom w:w="60" w:type="dxa"/>
              <w:end w:w="80" w:type="dxa"/>
            </w:tcMar>
          </w:tcPr>
          <w:p>
            <w:r/>
            <w:r>
              <w:rPr>
                <w:rFonts w:ascii="Arial" w:hAnsi="Arial"/>
                <w:color w:val="1A1A2E"/>
                <w:sz w:val="20"/>
              </w:rPr>
              <w:t>Azure DevOps + GitHub (bidirectional sync)</w:t>
            </w:r>
          </w:p>
        </w:tc>
      </w:tr>
      <w:tr>
        <w:tc>
          <w:tcPr>
            <w:tcW w:type="dxa" w:w="3600"/>
            <w:shd w:fill="F4F6FC" w:val="clear"/>
            <w:tcMar>
              <w:top w:w="60" w:type="dxa"/>
              <w:start w:w="80" w:type="dxa"/>
              <w:bottom w:w="60" w:type="dxa"/>
              <w:end w:w="80" w:type="dxa"/>
            </w:tcMar>
          </w:tcPr>
          <w:p>
            <w:r/>
            <w:r>
              <w:rPr>
                <w:rFonts w:ascii="Arial" w:hAnsi="Arial"/>
                <w:b/>
                <w:color w:val="1A1A2E"/>
                <w:sz w:val="20"/>
              </w:rPr>
              <w:t>Report Formats</w:t>
            </w:r>
          </w:p>
        </w:tc>
        <w:tc>
          <w:tcPr>
            <w:tcW w:type="dxa" w:w="6480"/>
            <w:shd w:fill="F4F6FC" w:val="clear"/>
            <w:tcMar>
              <w:top w:w="60" w:type="dxa"/>
              <w:start w:w="80" w:type="dxa"/>
              <w:bottom w:w="60" w:type="dxa"/>
              <w:end w:w="80" w:type="dxa"/>
            </w:tcMar>
          </w:tcPr>
          <w:p>
            <w:r/>
            <w:r>
              <w:rPr>
                <w:rFonts w:ascii="Arial" w:hAnsi="Arial"/>
                <w:color w:val="1A1A2E"/>
                <w:sz w:val="20"/>
              </w:rPr>
              <w:t>HTML, JUnit XML, SARIF JSON</w:t>
            </w:r>
          </w:p>
        </w:tc>
      </w:tr>
      <w:tr>
        <w:tc>
          <w:tcPr>
            <w:tcW w:type="dxa" w:w="3600"/>
            <w:tcMar>
              <w:top w:w="60" w:type="dxa"/>
              <w:start w:w="80" w:type="dxa"/>
              <w:bottom w:w="60" w:type="dxa"/>
              <w:end w:w="80" w:type="dxa"/>
            </w:tcMar>
          </w:tcPr>
          <w:p>
            <w:r/>
            <w:r>
              <w:rPr>
                <w:rFonts w:ascii="Arial" w:hAnsi="Arial"/>
                <w:b/>
                <w:color w:val="1A1A2E"/>
                <w:sz w:val="20"/>
              </w:rPr>
              <w:t>Deployment</w:t>
            </w:r>
          </w:p>
        </w:tc>
        <w:tc>
          <w:tcPr>
            <w:tcW w:type="dxa" w:w="6480"/>
            <w:tcMar>
              <w:top w:w="60" w:type="dxa"/>
              <w:start w:w="80" w:type="dxa"/>
              <w:bottom w:w="60" w:type="dxa"/>
              <w:end w:w="80" w:type="dxa"/>
            </w:tcMar>
          </w:tcPr>
          <w:p>
            <w:r/>
            <w:r>
              <w:rPr>
                <w:rFonts w:ascii="Arial" w:hAnsi="Arial"/>
                <w:color w:val="1A1A2E"/>
                <w:sz w:val="20"/>
              </w:rPr>
              <w:t>Docker (multi-stage, ~120MB, non-root)</w:t>
            </w:r>
          </w:p>
        </w:tc>
      </w:tr>
    </w:tbl>
    <w:p/>
    <w:p>
      <w:pPr>
        <w:pStyle w:val="Heading2"/>
      </w:pPr>
      <w:r>
        <w:t>Roadmap</w:t>
      </w:r>
    </w:p>
    <w:p>
      <w:r>
        <w:rPr>
          <w:b/>
        </w:rPr>
        <w:t xml:space="preserve">Shipped (Phases 1–22): </w:t>
      </w:r>
      <w:r>
        <w:t>Core engine, Azure DevOps + GitHub providers, REST API + Docker, 3 standards packs, custom rule DSL, internal documentation, 96%+ test coverage.</w:t>
      </w:r>
    </w:p>
    <w:p>
      <w:r>
        <w:rPr>
          <w:b/>
        </w:rPr>
        <w:t xml:space="preserve">Next (Phases 23–24): </w:t>
      </w:r>
      <w:r>
        <w:t>Jira integration as a third DevOps provider. Performance optimization for large repos (10k+ files). VS Code extension for in-editor scanning. ML-based severity estimation to reduce false positive noise.</w:t>
      </w:r>
    </w:p>
    <w:p>
      <w:r>
        <w:rPr>
          <w:b/>
        </w:rPr>
        <w:t xml:space="preserve">Future (Phase 25+): </w:t>
      </w:r>
      <w:r>
        <w:t>Web dashboard for scan trends and team-level visibility. Multi-language support beyond Python.</w:t>
      </w:r>
    </w:p>
    <w:p/>
    <w:p>
      <w:pPr>
        <w:pStyle w:val="Heading1"/>
        <w:pBdr>
          <w:bottom w:val="single" w:sz="6" w:space="4" w:color="3B82F6"/>
        </w:pBdr>
      </w:pPr>
      <w:r>
        <w:t>Go-to-Market Strategy</w:t>
      </w:r>
    </w:p>
    <w:p>
      <w:r>
        <w:t>AI SDLC Guard follows an internal-first strategy: prove value inside the organization before exploring external sales.</w:t>
      </w:r>
    </w:p>
    <w:p>
      <w:r>
        <w:rPr>
          <w:b/>
        </w:rPr>
        <w:t xml:space="preserve">Phase 1 — Internal Pilot (Now → Q2 2026): </w:t>
      </w:r>
      <w:r>
        <w:t>Deploy Docker container to one team’s CI pipeline. Run guard gate on 3 active repositories for 2 weeks. Measure findings caught, gate pass rate, and developer friction. Gather feedback on rule accuracy and false positive rate.</w:t>
      </w:r>
    </w:p>
    <w:p>
      <w:r>
        <w:rPr>
          <w:b/>
        </w:rPr>
        <w:t xml:space="preserve">Phase 2 — Org-Wide Rollout (Q3 2026): </w:t>
      </w:r>
      <w:r>
        <w:t>Onboard 2–3 additional teams. Deploy custom rule DSL so each team can add org-specific policies without modifying source. Add Jira integration for teams not on Azure DevOps or GitHub. Build an internal case study with concrete metrics.</w:t>
      </w:r>
    </w:p>
    <w:p>
      <w:r>
        <w:rPr>
          <w:b/>
        </w:rPr>
        <w:t xml:space="preserve">Phase 3 — External Sales (Q4 2026+): </w:t>
      </w:r>
      <w:r>
        <w:t>Package as a licensed product with enterprise pricing (per-team or per-repo). Market around compliance certifications: “AI code that passes your audit.” Conference talks and technical blog content to build awareness.</w:t>
      </w:r>
    </w:p>
    <w:p>
      <w:r>
        <w:br w:type="page"/>
      </w:r>
    </w:p>
    <w:p>
      <w:pPr>
        <w:pStyle w:val="Heading1"/>
        <w:pBdr>
          <w:bottom w:val="single" w:sz="6" w:space="4" w:color="3B82F6"/>
        </w:pBdr>
      </w:pPr>
      <w:r>
        <w:t>Key Success Metrics</w:t>
      </w:r>
    </w:p>
    <w:p/>
    <w:tbl>
      <w:tblPr>
        <w:tblStyle w:val="TableGrid"/>
        <w:tblW w:type="auto" w:w="0"/>
        <w:jc w:val="center"/>
        <w:tblLook w:firstColumn="1" w:firstRow="1" w:lastColumn="0" w:lastRow="0" w:noHBand="0" w:noVBand="1" w:val="04A0"/>
      </w:tblPr>
      <w:tblGrid>
        <w:gridCol w:w="3120"/>
        <w:gridCol w:w="3120"/>
        <w:gridCol w:w="3120"/>
      </w:tblGrid>
      <w:tr>
        <w:tc>
          <w:tcPr>
            <w:tcW w:type="dxa" w:w="2160"/>
            <w:shd w:fill="1E2761" w:val="clear"/>
            <w:tcMar>
              <w:top w:w="60" w:type="dxa"/>
              <w:start w:w="80" w:type="dxa"/>
              <w:bottom w:w="60" w:type="dxa"/>
              <w:end w:w="80" w:type="dxa"/>
            </w:tcMar>
          </w:tcPr>
          <w:p>
            <w:r/>
            <w:r>
              <w:rPr>
                <w:rFonts w:ascii="Arial" w:hAnsi="Arial"/>
                <w:b/>
                <w:color w:val="FFFFFF"/>
                <w:sz w:val="20"/>
              </w:rPr>
              <w:t>Metric</w:t>
            </w:r>
          </w:p>
        </w:tc>
        <w:tc>
          <w:tcPr>
            <w:tcW w:type="dxa" w:w="4320"/>
            <w:shd w:fill="1E2761" w:val="clear"/>
            <w:tcMar>
              <w:top w:w="60" w:type="dxa"/>
              <w:start w:w="80" w:type="dxa"/>
              <w:bottom w:w="60" w:type="dxa"/>
              <w:end w:w="80" w:type="dxa"/>
            </w:tcMar>
          </w:tcPr>
          <w:p>
            <w:r/>
            <w:r>
              <w:rPr>
                <w:rFonts w:ascii="Arial" w:hAnsi="Arial"/>
                <w:b/>
                <w:color w:val="FFFFFF"/>
                <w:sz w:val="20"/>
              </w:rPr>
              <w:t>Description</w:t>
            </w:r>
          </w:p>
        </w:tc>
        <w:tc>
          <w:tcPr>
            <w:tcW w:type="dxa" w:w="3600"/>
            <w:shd w:fill="1E2761" w:val="clear"/>
            <w:tcMar>
              <w:top w:w="60" w:type="dxa"/>
              <w:start w:w="80" w:type="dxa"/>
              <w:bottom w:w="60" w:type="dxa"/>
              <w:end w:w="80" w:type="dxa"/>
            </w:tcMar>
          </w:tcPr>
          <w:p>
            <w:r/>
            <w:r>
              <w:rPr>
                <w:rFonts w:ascii="Arial" w:hAnsi="Arial"/>
                <w:b/>
                <w:color w:val="FFFFFF"/>
                <w:sz w:val="20"/>
              </w:rPr>
              <w:t>Target</w:t>
            </w:r>
          </w:p>
        </w:tc>
      </w:tr>
      <w:tr>
        <w:tc>
          <w:tcPr>
            <w:tcW w:type="dxa" w:w="2160"/>
            <w:shd w:fill="F4F6FC" w:val="clear"/>
            <w:tcMar>
              <w:top w:w="60" w:type="dxa"/>
              <w:start w:w="80" w:type="dxa"/>
              <w:bottom w:w="60" w:type="dxa"/>
              <w:end w:w="80" w:type="dxa"/>
            </w:tcMar>
          </w:tcPr>
          <w:p>
            <w:r/>
            <w:r>
              <w:rPr>
                <w:rFonts w:ascii="Arial" w:hAnsi="Arial"/>
                <w:b/>
                <w:color w:val="1A1A2E"/>
                <w:sz w:val="20"/>
              </w:rPr>
              <w:t>Adoption</w:t>
            </w:r>
          </w:p>
        </w:tc>
        <w:tc>
          <w:tcPr>
            <w:tcW w:type="dxa" w:w="4320"/>
            <w:shd w:fill="F4F6FC" w:val="clear"/>
            <w:tcMar>
              <w:top w:w="60" w:type="dxa"/>
              <w:start w:w="80" w:type="dxa"/>
              <w:bottom w:w="60" w:type="dxa"/>
              <w:end w:w="80" w:type="dxa"/>
            </w:tcMar>
          </w:tcPr>
          <w:p>
            <w:r/>
            <w:r>
              <w:rPr>
                <w:rFonts w:ascii="Arial" w:hAnsi="Arial"/>
                <w:color w:val="1A1A2E"/>
                <w:sz w:val="20"/>
              </w:rPr>
              <w:t>Number of teams using Guard in their CI pipelines</w:t>
            </w:r>
          </w:p>
        </w:tc>
        <w:tc>
          <w:tcPr>
            <w:tcW w:type="dxa" w:w="3600"/>
            <w:shd w:fill="F4F6FC" w:val="clear"/>
            <w:tcMar>
              <w:top w:w="60" w:type="dxa"/>
              <w:start w:w="80" w:type="dxa"/>
              <w:bottom w:w="60" w:type="dxa"/>
              <w:end w:w="80" w:type="dxa"/>
            </w:tcMar>
          </w:tcPr>
          <w:p>
            <w:r/>
            <w:r>
              <w:rPr>
                <w:rFonts w:ascii="Arial" w:hAnsi="Arial"/>
                <w:color w:val="1A1A2E"/>
                <w:sz w:val="20"/>
              </w:rPr>
              <w:t>3+ teams by end of Q2 2026</w:t>
            </w:r>
          </w:p>
        </w:tc>
      </w:tr>
      <w:tr>
        <w:tc>
          <w:tcPr>
            <w:tcW w:type="dxa" w:w="2160"/>
            <w:tcMar>
              <w:top w:w="60" w:type="dxa"/>
              <w:start w:w="80" w:type="dxa"/>
              <w:bottom w:w="60" w:type="dxa"/>
              <w:end w:w="80" w:type="dxa"/>
            </w:tcMar>
          </w:tcPr>
          <w:p>
            <w:r/>
            <w:r>
              <w:rPr>
                <w:rFonts w:ascii="Arial" w:hAnsi="Arial"/>
                <w:b/>
                <w:color w:val="1A1A2E"/>
                <w:sz w:val="20"/>
              </w:rPr>
              <w:t>Coverage</w:t>
            </w:r>
          </w:p>
        </w:tc>
        <w:tc>
          <w:tcPr>
            <w:tcW w:type="dxa" w:w="4320"/>
            <w:tcMar>
              <w:top w:w="60" w:type="dxa"/>
              <w:start w:w="80" w:type="dxa"/>
              <w:bottom w:w="60" w:type="dxa"/>
              <w:end w:w="80" w:type="dxa"/>
            </w:tcMar>
          </w:tcPr>
          <w:p>
            <w:r/>
            <w:r>
              <w:rPr>
                <w:rFonts w:ascii="Arial" w:hAnsi="Arial"/>
                <w:color w:val="1A1A2E"/>
                <w:sz w:val="20"/>
              </w:rPr>
              <w:t>Percentage of active repos with Guard enabled</w:t>
            </w:r>
          </w:p>
        </w:tc>
        <w:tc>
          <w:tcPr>
            <w:tcW w:type="dxa" w:w="3600"/>
            <w:tcMar>
              <w:top w:w="60" w:type="dxa"/>
              <w:start w:w="80" w:type="dxa"/>
              <w:bottom w:w="60" w:type="dxa"/>
              <w:end w:w="80" w:type="dxa"/>
            </w:tcMar>
          </w:tcPr>
          <w:p>
            <w:r/>
            <w:r>
              <w:rPr>
                <w:rFonts w:ascii="Arial" w:hAnsi="Arial"/>
                <w:color w:val="1A1A2E"/>
                <w:sz w:val="20"/>
              </w:rPr>
              <w:t>50%+ of team repos by Q3 2026</w:t>
            </w:r>
          </w:p>
        </w:tc>
      </w:tr>
      <w:tr>
        <w:tc>
          <w:tcPr>
            <w:tcW w:type="dxa" w:w="2160"/>
            <w:shd w:fill="F4F6FC" w:val="clear"/>
            <w:tcMar>
              <w:top w:w="60" w:type="dxa"/>
              <w:start w:w="80" w:type="dxa"/>
              <w:bottom w:w="60" w:type="dxa"/>
              <w:end w:w="80" w:type="dxa"/>
            </w:tcMar>
          </w:tcPr>
          <w:p>
            <w:r/>
            <w:r>
              <w:rPr>
                <w:rFonts w:ascii="Arial" w:hAnsi="Arial"/>
                <w:b/>
                <w:color w:val="1A1A2E"/>
                <w:sz w:val="20"/>
              </w:rPr>
              <w:t>Catch Rate</w:t>
            </w:r>
          </w:p>
        </w:tc>
        <w:tc>
          <w:tcPr>
            <w:tcW w:type="dxa" w:w="4320"/>
            <w:shd w:fill="F4F6FC" w:val="clear"/>
            <w:tcMar>
              <w:top w:w="60" w:type="dxa"/>
              <w:start w:w="80" w:type="dxa"/>
              <w:bottom w:w="60" w:type="dxa"/>
              <w:end w:w="80" w:type="dxa"/>
            </w:tcMar>
          </w:tcPr>
          <w:p>
            <w:r/>
            <w:r>
              <w:rPr>
                <w:rFonts w:ascii="Arial" w:hAnsi="Arial"/>
                <w:color w:val="1A1A2E"/>
                <w:sz w:val="20"/>
              </w:rPr>
              <w:t>Critical and high findings caught per scan</w:t>
            </w:r>
          </w:p>
        </w:tc>
        <w:tc>
          <w:tcPr>
            <w:tcW w:type="dxa" w:w="3600"/>
            <w:shd w:fill="F4F6FC" w:val="clear"/>
            <w:tcMar>
              <w:top w:w="60" w:type="dxa"/>
              <w:start w:w="80" w:type="dxa"/>
              <w:bottom w:w="60" w:type="dxa"/>
              <w:end w:w="80" w:type="dxa"/>
            </w:tcMar>
          </w:tcPr>
          <w:p>
            <w:r/>
            <w:r>
              <w:rPr>
                <w:rFonts w:ascii="Arial" w:hAnsi="Arial"/>
                <w:color w:val="1A1A2E"/>
                <w:sz w:val="20"/>
              </w:rPr>
              <w:t>Validates rules catch real problems</w:t>
            </w:r>
          </w:p>
        </w:tc>
      </w:tr>
      <w:tr>
        <w:tc>
          <w:tcPr>
            <w:tcW w:type="dxa" w:w="2160"/>
            <w:tcMar>
              <w:top w:w="60" w:type="dxa"/>
              <w:start w:w="80" w:type="dxa"/>
              <w:bottom w:w="60" w:type="dxa"/>
              <w:end w:w="80" w:type="dxa"/>
            </w:tcMar>
          </w:tcPr>
          <w:p>
            <w:r/>
            <w:r>
              <w:rPr>
                <w:rFonts w:ascii="Arial" w:hAnsi="Arial"/>
                <w:b/>
                <w:color w:val="1A1A2E"/>
                <w:sz w:val="20"/>
              </w:rPr>
              <w:t>Time Saved</w:t>
            </w:r>
          </w:p>
        </w:tc>
        <w:tc>
          <w:tcPr>
            <w:tcW w:type="dxa" w:w="4320"/>
            <w:tcMar>
              <w:top w:w="60" w:type="dxa"/>
              <w:start w:w="80" w:type="dxa"/>
              <w:bottom w:w="60" w:type="dxa"/>
              <w:end w:w="80" w:type="dxa"/>
            </w:tcMar>
          </w:tcPr>
          <w:p>
            <w:r/>
            <w:r>
              <w:rPr>
                <w:rFonts w:ascii="Arial" w:hAnsi="Arial"/>
                <w:color w:val="1A1A2E"/>
                <w:sz w:val="20"/>
              </w:rPr>
              <w:t>Hours of manual code review avoided per sprint</w:t>
            </w:r>
          </w:p>
        </w:tc>
        <w:tc>
          <w:tcPr>
            <w:tcW w:type="dxa" w:w="3600"/>
            <w:tcMar>
              <w:top w:w="60" w:type="dxa"/>
              <w:start w:w="80" w:type="dxa"/>
              <w:bottom w:w="60" w:type="dxa"/>
              <w:end w:w="80" w:type="dxa"/>
            </w:tcMar>
          </w:tcPr>
          <w:p>
            <w:r/>
            <w:r>
              <w:rPr>
                <w:rFonts w:ascii="Arial" w:hAnsi="Arial"/>
                <w:color w:val="1A1A2E"/>
                <w:sz w:val="20"/>
              </w:rPr>
              <w:t>Measured pre/post Guard adoption</w:t>
            </w:r>
          </w:p>
        </w:tc>
      </w:tr>
    </w:tbl>
    <w:p/>
    <w:p>
      <w:pPr>
        <w:pStyle w:val="Heading1"/>
        <w:pBdr>
          <w:bottom w:val="single" w:sz="6" w:space="4" w:color="3B82F6"/>
        </w:pBdr>
      </w:pPr>
      <w:r>
        <w:t>Recommended Next Steps</w:t>
      </w:r>
    </w:p>
    <w:p>
      <w:pPr>
        <w:pStyle w:val="ListNumber"/>
      </w:pPr>
      <w:r>
        <w:rPr>
          <w:rFonts w:ascii="Arial" w:hAnsi="Arial"/>
          <w:sz w:val="22"/>
        </w:rPr>
        <w:t>Deploy Docker container to pilot team’s CI pipeline</w:t>
      </w:r>
    </w:p>
    <w:p>
      <w:pPr>
        <w:pStyle w:val="ListNumber"/>
      </w:pPr>
      <w:r>
        <w:rPr>
          <w:rFonts w:ascii="Arial" w:hAnsi="Arial"/>
          <w:sz w:val="22"/>
        </w:rPr>
        <w:t>Run guard gate on 3 active repositories for 2 weeks</w:t>
      </w:r>
    </w:p>
    <w:p>
      <w:pPr>
        <w:pStyle w:val="ListNumber"/>
      </w:pPr>
      <w:r>
        <w:rPr>
          <w:rFonts w:ascii="Arial" w:hAnsi="Arial"/>
          <w:sz w:val="22"/>
        </w:rPr>
        <w:t>Review findings report and calibrate rule thresholds based on team feedback</w:t>
      </w:r>
    </w:p>
    <w:p>
      <w:pPr>
        <w:pStyle w:val="ListNumber"/>
      </w:pPr>
      <w:r>
        <w:rPr>
          <w:rFonts w:ascii="Arial" w:hAnsi="Arial"/>
          <w:sz w:val="22"/>
        </w:rPr>
        <w:t>Present pilot results to leadership for org-wide rollout decision</w:t>
      </w:r>
    </w:p>
    <w:p/>
    <w:p/>
    <w:p>
      <w:pPr>
        <w:pBdr>
          <w:bottom w:val="single" w:sz="2" w:space="4" w:color="D0D5DD"/>
        </w:pBdr>
        <w:jc w:val="center"/>
      </w:pPr>
    </w:p>
    <w:p>
      <w:pPr>
        <w:jc w:val="center"/>
      </w:pPr>
      <w:r>
        <w:rPr>
          <w:rFonts w:ascii="Arial" w:hAnsi="Arial"/>
          <w:color w:val="4A4E69"/>
          <w:sz w:val="18"/>
        </w:rPr>
        <w:t>AI SDLC Guard  |  v1.0.0  |  March 2026  |  Confidential</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Arial" w:hAnsi="Arial"/>
      <w:color w:val="1A1A2E"/>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160"/>
      <w:outlineLvl w:val="0"/>
    </w:pPr>
    <w:rPr>
      <w:rFonts w:asciiTheme="majorHAnsi" w:eastAsiaTheme="majorEastAsia" w:hAnsiTheme="majorHAnsi" w:cstheme="majorBidi" w:ascii="Arial" w:hAnsi="Arial"/>
      <w:b/>
      <w:bCs/>
      <w:color w:val="1E2761"/>
      <w:sz w:val="36"/>
      <w:szCs w:val="28"/>
    </w:rPr>
  </w:style>
  <w:style w:type="paragraph" w:styleId="Heading2">
    <w:name w:val="heading 2"/>
    <w:basedOn w:val="Normal"/>
    <w:next w:val="Normal"/>
    <w:link w:val="Heading2Char"/>
    <w:uiPriority w:val="9"/>
    <w:unhideWhenUsed/>
    <w:qFormat/>
    <w:rsid w:val="00FC693F"/>
    <w:pPr>
      <w:keepNext/>
      <w:keepLines/>
      <w:spacing w:before="240" w:after="160"/>
      <w:outlineLvl w:val="1"/>
    </w:pPr>
    <w:rPr>
      <w:rFonts w:asciiTheme="majorHAnsi" w:eastAsiaTheme="majorEastAsia" w:hAnsiTheme="majorHAnsi" w:cstheme="majorBidi" w:ascii="Arial" w:hAnsi="Arial"/>
      <w:b/>
      <w:bCs/>
      <w:color w:val="1A1A2E"/>
      <w:sz w:val="30"/>
      <w:szCs w:val="26"/>
    </w:rPr>
  </w:style>
  <w:style w:type="paragraph" w:styleId="Heading3">
    <w:name w:val="heading 3"/>
    <w:basedOn w:val="Normal"/>
    <w:next w:val="Normal"/>
    <w:link w:val="Heading3Char"/>
    <w:uiPriority w:val="9"/>
    <w:unhideWhenUsed/>
    <w:qFormat/>
    <w:rsid w:val="00FC693F"/>
    <w:pPr>
      <w:keepNext/>
      <w:keepLines/>
      <w:spacing w:before="240" w:after="160"/>
      <w:outlineLvl w:val="2"/>
    </w:pPr>
    <w:rPr>
      <w:rFonts w:asciiTheme="majorHAnsi" w:eastAsiaTheme="majorEastAsia" w:hAnsiTheme="majorHAnsi" w:cstheme="majorBidi" w:ascii="Arial" w:hAnsi="Arial"/>
      <w:b/>
      <w:bCs/>
      <w:color w:val="1A1A2E"/>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