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before="20" w:after="20"/>
        <w:jc w:val="center"/>
      </w:pPr>
      <w:r>
        <w:rPr>
          <w:rFonts w:ascii="Times New Roman" w:hAnsi="Times New Roman"/>
          <w:color w:val="000000"/>
          <w:sz w:val="22"/>
        </w:rPr>
        <w:t>UNITED STATES DISTRICT COURT NORTHERN DISTRICT OF GEORGIA ATLANTA DIVISION</w:t>
      </w:r>
    </w:p>
    <w:p>
      <w:pPr>
        <w:spacing w:line="276" w:lineRule="auto" w:before="0" w:after="120"/>
        <w:jc w:val="center"/>
      </w:pPr>
      <w:r>
        <w:rPr>
          <w:rFonts w:ascii="Times New Roman" w:hAnsi="Times New Roman"/>
          <w:b/>
          <w:color w:val="000000"/>
          <w:sz w:val="22"/>
        </w:rPr>
        <w:t>PINNACLE STAFFING SOLUTIONS, INC.,</w:t>
      </w:r>
    </w:p>
    <w:p>
      <w:pPr>
        <w:spacing w:line="276" w:lineRule="auto" w:before="0" w:after="120"/>
        <w:jc w:val="center"/>
      </w:pPr>
      <w:r>
        <w:rPr>
          <w:rFonts w:ascii="Times New Roman" w:hAnsi="Times New Roman"/>
          <w:color w:val="000000"/>
          <w:sz w:val="22"/>
        </w:rPr>
        <w:t>Plaintiff,</w:t>
      </w:r>
    </w:p>
    <w:p>
      <w:pPr>
        <w:spacing w:line="276" w:lineRule="auto" w:before="0" w:after="120"/>
        <w:jc w:val="center"/>
      </w:pPr>
      <w:r>
        <w:rPr>
          <w:rFonts w:ascii="Times New Roman" w:hAnsi="Times New Roman"/>
          <w:color w:val="000000"/>
          <w:sz w:val="22"/>
        </w:rPr>
        <w:t>v.</w:t>
      </w:r>
    </w:p>
    <w:p>
      <w:pPr>
        <w:spacing w:line="276" w:lineRule="auto" w:before="0" w:after="120"/>
        <w:jc w:val="center"/>
      </w:pPr>
      <w:r>
        <w:rPr>
          <w:rFonts w:ascii="Times New Roman" w:hAnsi="Times New Roman"/>
          <w:b/>
          <w:color w:val="000000"/>
          <w:sz w:val="22"/>
        </w:rPr>
        <w:t>DATACORE SYSTEMS, INC.,</w:t>
      </w:r>
    </w:p>
    <w:p>
      <w:pPr>
        <w:spacing w:line="276" w:lineRule="auto" w:before="0" w:after="120"/>
        <w:jc w:val="center"/>
      </w:pPr>
      <w:r>
        <w:rPr>
          <w:rFonts w:ascii="Times New Roman" w:hAnsi="Times New Roman"/>
          <w:color w:val="000000"/>
          <w:sz w:val="22"/>
        </w:rPr>
        <w:t>Defendant.</w:t>
      </w:r>
    </w:p>
    <w:p>
      <w:pPr>
        <w:spacing w:line="276" w:lineRule="auto" w:before="0" w:after="120"/>
        <w:jc w:val="center"/>
      </w:pPr>
      <w:r>
        <w:rPr>
          <w:rFonts w:ascii="Times New Roman" w:hAnsi="Times New Roman"/>
          <w:b/>
          <w:color w:val="000000"/>
          <w:sz w:val="22"/>
        </w:rPr>
        <w:t>Case No. 1:24-cv-01287-RWS</w:t>
      </w:r>
    </w:p>
    <w:p>
      <w:pPr>
        <w:spacing w:line="276" w:lineRule="auto" w:before="0" w:after="120"/>
        <w:jc w:val="center"/>
      </w:pPr>
      <w:r>
        <w:rPr>
          <w:rFonts w:ascii="Times New Roman" w:hAnsi="Times New Roman"/>
          <w:b/>
          <w:color w:val="000000"/>
          <w:sz w:val="22"/>
        </w:rPr>
        <w:t>Before the Honorable Robert W. Stafford United States District Judge</w:t>
      </w:r>
    </w:p>
    <w:p>
      <w:pPr>
        <w:spacing w:line="276" w:lineRule="auto" w:before="0" w:after="120"/>
        <w:jc w:val="center"/>
      </w:pPr>
      <w:r>
        <w:rPr>
          <w:rFonts w:ascii="Times New Roman" w:hAnsi="Times New Roman"/>
          <w:b/>
          <w:color w:val="000000"/>
          <w:sz w:val="22"/>
        </w:rPr>
        <w:t>DEFENDANT DATACORE SYSTEMS, INC.'S MEMORANDUM OF LAW IN SUPPORT OF ITS MOTION TO DISMISS PURSUANT TO FEDERAL RULES OF CIVIL PROCEDURE 12(b)(1), 12(b)(2), 12(b)(3), AND 12(b)(6)</w:t>
      </w:r>
    </w:p>
    <w:p>
      <w:pPr>
        <w:spacing w:line="276" w:lineRule="auto" w:before="0" w:after="120"/>
        <w:jc w:val="right"/>
      </w:pPr>
      <w:r>
        <w:rPr>
          <w:rFonts w:ascii="Times New Roman" w:hAnsi="Times New Roman"/>
          <w:color w:val="000000"/>
          <w:sz w:val="22"/>
        </w:rPr>
        <w:t>Filed: May 20, 2024</w:t>
      </w:r>
    </w:p>
    <w:p>
      <w:r>
        <w:br w:type="page"/>
      </w:r>
    </w:p>
    <w:p>
      <w:pPr>
        <w:spacing w:line="276" w:lineRule="auto" w:before="0" w:after="120"/>
        <w:jc w:val="center"/>
      </w:pPr>
      <w:r>
        <w:rPr>
          <w:rFonts w:ascii="Times New Roman" w:hAnsi="Times New Roman"/>
          <w:b/>
          <w:color w:val="000000"/>
          <w:sz w:val="22"/>
        </w:rPr>
        <w:t>TABLE OF CONTENTS</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20"/>
        <w:gridCol w:w="4320"/>
      </w:tblGrid>
      <w:tr>
        <w:tc>
          <w:tcPr>
            <w:tcW w:type="dxa" w:w="4320"/>
          </w:tcPr>
          <w:p>
            <w:pPr>
              <w:spacing w:line="276" w:lineRule="auto" w:before="20" w:after="20"/>
            </w:pPr>
            <w:r>
              <w:rPr>
                <w:b/>
              </w:rPr>
            </w:r>
          </w:p>
        </w:tc>
        <w:tc>
          <w:tcPr>
            <w:tcW w:type="dxa" w:w="4320"/>
          </w:tcPr>
          <w:p>
            <w:pPr>
              <w:spacing w:line="276" w:lineRule="auto" w:before="20" w:after="20"/>
            </w:pPr>
            <w:r>
              <w:rPr>
                <w:b/>
              </w:rPr>
            </w:r>
            <w:r>
              <w:rPr>
                <w:rFonts w:ascii="Times New Roman" w:hAnsi="Times New Roman"/>
                <w:b/>
                <w:color w:val="000000"/>
                <w:sz w:val="18"/>
              </w:rPr>
              <w:t>Page</w:t>
            </w:r>
          </w:p>
        </w:tc>
      </w:tr>
      <w:tr>
        <w:tc>
          <w:tcPr>
            <w:tcW w:type="dxa" w:w="4320"/>
          </w:tcPr>
          <w:p>
            <w:pPr>
              <w:spacing w:line="276" w:lineRule="auto" w:before="20" w:after="20"/>
            </w:pPr>
            <w:r/>
            <w:r>
              <w:rPr>
                <w:rFonts w:ascii="Times New Roman" w:hAnsi="Times New Roman"/>
                <w:color w:val="000000"/>
                <w:sz w:val="18"/>
              </w:rPr>
              <w:t>TABLE OF AUTHORITIES</w:t>
            </w:r>
          </w:p>
        </w:tc>
        <w:tc>
          <w:tcPr>
            <w:tcW w:type="dxa" w:w="4320"/>
          </w:tcPr>
          <w:p>
            <w:pPr>
              <w:spacing w:line="276" w:lineRule="auto" w:before="20" w:after="20"/>
            </w:pPr>
            <w:r/>
            <w:r>
              <w:rPr>
                <w:rFonts w:ascii="Times New Roman" w:hAnsi="Times New Roman"/>
                <w:color w:val="000000"/>
                <w:sz w:val="18"/>
              </w:rPr>
              <w:t>iii</w:t>
            </w:r>
          </w:p>
        </w:tc>
      </w:tr>
      <w:tr>
        <w:tc>
          <w:tcPr>
            <w:tcW w:type="dxa" w:w="4320"/>
          </w:tcPr>
          <w:p>
            <w:pPr>
              <w:spacing w:line="276" w:lineRule="auto" w:before="20" w:after="20"/>
            </w:pPr>
            <w:r/>
            <w:r>
              <w:rPr>
                <w:rFonts w:ascii="Times New Roman" w:hAnsi="Times New Roman"/>
                <w:color w:val="000000"/>
                <w:sz w:val="18"/>
              </w:rPr>
              <w:t>I. PRELIMINARY STATEMENT</w:t>
            </w:r>
          </w:p>
        </w:tc>
        <w:tc>
          <w:tcPr>
            <w:tcW w:type="dxa" w:w="4320"/>
          </w:tcPr>
          <w:p>
            <w:pPr>
              <w:spacing w:line="276" w:lineRule="auto" w:before="20" w:after="20"/>
            </w:pPr>
            <w:r/>
            <w:r>
              <w:rPr>
                <w:rFonts w:ascii="Times New Roman" w:hAnsi="Times New Roman"/>
                <w:color w:val="000000"/>
                <w:sz w:val="18"/>
              </w:rPr>
              <w:t>1</w:t>
            </w:r>
          </w:p>
        </w:tc>
      </w:tr>
      <w:tr>
        <w:tc>
          <w:tcPr>
            <w:tcW w:type="dxa" w:w="4320"/>
          </w:tcPr>
          <w:p>
            <w:pPr>
              <w:spacing w:line="276" w:lineRule="auto" w:before="20" w:after="20"/>
            </w:pPr>
            <w:r/>
            <w:r>
              <w:rPr>
                <w:rFonts w:ascii="Times New Roman" w:hAnsi="Times New Roman"/>
                <w:color w:val="000000"/>
                <w:sz w:val="18"/>
              </w:rPr>
              <w:t>II. STATEMENT OF FACTS</w:t>
            </w:r>
          </w:p>
        </w:tc>
        <w:tc>
          <w:tcPr>
            <w:tcW w:type="dxa" w:w="4320"/>
          </w:tcPr>
          <w:p>
            <w:pPr>
              <w:spacing w:line="276" w:lineRule="auto" w:before="20" w:after="20"/>
            </w:pPr>
            <w:r/>
            <w:r>
              <w:rPr>
                <w:rFonts w:ascii="Times New Roman" w:hAnsi="Times New Roman"/>
                <w:color w:val="000000"/>
                <w:sz w:val="18"/>
              </w:rPr>
              <w:t>3</w:t>
            </w:r>
          </w:p>
        </w:tc>
      </w:tr>
      <w:tr>
        <w:tc>
          <w:tcPr>
            <w:tcW w:type="dxa" w:w="4320"/>
          </w:tcPr>
          <w:p>
            <w:pPr>
              <w:spacing w:line="276" w:lineRule="auto" w:before="20" w:after="20"/>
            </w:pPr>
            <w:r/>
            <w:r>
              <w:rPr>
                <w:rFonts w:ascii="Times New Roman" w:hAnsi="Times New Roman"/>
                <w:color w:val="000000"/>
                <w:sz w:val="18"/>
              </w:rPr>
              <w:t>&amp;nbsp;&amp;nbsp;&amp;nbsp;&amp;nbsp;A. The Parties</w:t>
            </w:r>
          </w:p>
        </w:tc>
        <w:tc>
          <w:tcPr>
            <w:tcW w:type="dxa" w:w="4320"/>
          </w:tcPr>
          <w:p>
            <w:pPr>
              <w:spacing w:line="276" w:lineRule="auto" w:before="20" w:after="20"/>
            </w:pPr>
            <w:r/>
            <w:r>
              <w:rPr>
                <w:rFonts w:ascii="Times New Roman" w:hAnsi="Times New Roman"/>
                <w:color w:val="000000"/>
                <w:sz w:val="18"/>
              </w:rPr>
              <w:t>3</w:t>
            </w:r>
          </w:p>
        </w:tc>
      </w:tr>
      <w:tr>
        <w:tc>
          <w:tcPr>
            <w:tcW w:type="dxa" w:w="4320"/>
          </w:tcPr>
          <w:p>
            <w:pPr>
              <w:spacing w:line="276" w:lineRule="auto" w:before="20" w:after="20"/>
            </w:pPr>
            <w:r/>
            <w:r>
              <w:rPr>
                <w:rFonts w:ascii="Times New Roman" w:hAnsi="Times New Roman"/>
                <w:color w:val="000000"/>
                <w:sz w:val="18"/>
              </w:rPr>
              <w:t>&amp;nbsp;&amp;nbsp;&amp;nbsp;&amp;nbsp;B. The Sales Process and MSA Execution</w:t>
            </w:r>
          </w:p>
        </w:tc>
        <w:tc>
          <w:tcPr>
            <w:tcW w:type="dxa" w:w="4320"/>
          </w:tcPr>
          <w:p>
            <w:pPr>
              <w:spacing w:line="276" w:lineRule="auto" w:before="20" w:after="20"/>
            </w:pPr>
            <w:r/>
            <w:r>
              <w:rPr>
                <w:rFonts w:ascii="Times New Roman" w:hAnsi="Times New Roman"/>
                <w:color w:val="000000"/>
                <w:sz w:val="18"/>
              </w:rPr>
              <w:t>4</w:t>
            </w:r>
          </w:p>
        </w:tc>
      </w:tr>
      <w:tr>
        <w:tc>
          <w:tcPr>
            <w:tcW w:type="dxa" w:w="4320"/>
          </w:tcPr>
          <w:p>
            <w:pPr>
              <w:spacing w:line="276" w:lineRule="auto" w:before="20" w:after="20"/>
            </w:pPr>
            <w:r/>
            <w:r>
              <w:rPr>
                <w:rFonts w:ascii="Times New Roman" w:hAnsi="Times New Roman"/>
                <w:color w:val="000000"/>
                <w:sz w:val="18"/>
              </w:rPr>
              <w:t>&amp;nbsp;&amp;nbsp;&amp;nbsp;&amp;nbsp;C. Post-Implementation Events</w:t>
            </w:r>
          </w:p>
        </w:tc>
        <w:tc>
          <w:tcPr>
            <w:tcW w:type="dxa" w:w="4320"/>
          </w:tcPr>
          <w:p>
            <w:pPr>
              <w:spacing w:line="276" w:lineRule="auto" w:before="20" w:after="20"/>
            </w:pPr>
            <w:r/>
            <w:r>
              <w:rPr>
                <w:rFonts w:ascii="Times New Roman" w:hAnsi="Times New Roman"/>
                <w:color w:val="000000"/>
                <w:sz w:val="18"/>
              </w:rPr>
              <w:t>6</w:t>
            </w:r>
          </w:p>
        </w:tc>
      </w:tr>
      <w:tr>
        <w:tc>
          <w:tcPr>
            <w:tcW w:type="dxa" w:w="4320"/>
          </w:tcPr>
          <w:p>
            <w:pPr>
              <w:spacing w:line="276" w:lineRule="auto" w:before="20" w:after="20"/>
            </w:pPr>
            <w:r/>
            <w:r>
              <w:rPr>
                <w:rFonts w:ascii="Times New Roman" w:hAnsi="Times New Roman"/>
                <w:color w:val="000000"/>
                <w:sz w:val="18"/>
              </w:rPr>
              <w:t>&amp;nbsp;&amp;nbsp;&amp;nbsp;&amp;nbsp;D. This Litigation</w:t>
            </w:r>
          </w:p>
        </w:tc>
        <w:tc>
          <w:tcPr>
            <w:tcW w:type="dxa" w:w="4320"/>
          </w:tcPr>
          <w:p>
            <w:pPr>
              <w:spacing w:line="276" w:lineRule="auto" w:before="20" w:after="20"/>
            </w:pPr>
            <w:r/>
            <w:r>
              <w:rPr>
                <w:rFonts w:ascii="Times New Roman" w:hAnsi="Times New Roman"/>
                <w:color w:val="000000"/>
                <w:sz w:val="18"/>
              </w:rPr>
              <w:t>7</w:t>
            </w:r>
          </w:p>
        </w:tc>
      </w:tr>
      <w:tr>
        <w:tc>
          <w:tcPr>
            <w:tcW w:type="dxa" w:w="4320"/>
          </w:tcPr>
          <w:p>
            <w:pPr>
              <w:spacing w:line="276" w:lineRule="auto" w:before="20" w:after="20"/>
            </w:pPr>
            <w:r/>
            <w:r>
              <w:rPr>
                <w:rFonts w:ascii="Times New Roman" w:hAnsi="Times New Roman"/>
                <w:color w:val="000000"/>
                <w:sz w:val="18"/>
              </w:rPr>
              <w:t>III. LEGAL STANDARD</w:t>
            </w:r>
          </w:p>
        </w:tc>
        <w:tc>
          <w:tcPr>
            <w:tcW w:type="dxa" w:w="4320"/>
          </w:tcPr>
          <w:p>
            <w:pPr>
              <w:spacing w:line="276" w:lineRule="auto" w:before="20" w:after="20"/>
            </w:pPr>
            <w:r/>
            <w:r>
              <w:rPr>
                <w:rFonts w:ascii="Times New Roman" w:hAnsi="Times New Roman"/>
                <w:color w:val="000000"/>
                <w:sz w:val="18"/>
              </w:rPr>
              <w:t>8</w:t>
            </w:r>
          </w:p>
        </w:tc>
      </w:tr>
      <w:tr>
        <w:tc>
          <w:tcPr>
            <w:tcW w:type="dxa" w:w="4320"/>
          </w:tcPr>
          <w:p>
            <w:pPr>
              <w:spacing w:line="276" w:lineRule="auto" w:before="20" w:after="20"/>
            </w:pPr>
            <w:r/>
            <w:r>
              <w:rPr>
                <w:rFonts w:ascii="Times New Roman" w:hAnsi="Times New Roman"/>
                <w:color w:val="000000"/>
                <w:sz w:val="18"/>
              </w:rPr>
              <w:t>IV. ARGUMENT</w:t>
            </w:r>
          </w:p>
        </w:tc>
        <w:tc>
          <w:tcPr>
            <w:tcW w:type="dxa" w:w="4320"/>
          </w:tcPr>
          <w:p>
            <w:pPr>
              <w:spacing w:line="276" w:lineRule="auto" w:before="20" w:after="20"/>
            </w:pPr>
            <w:r/>
            <w:r>
              <w:rPr>
                <w:rFonts w:ascii="Times New Roman" w:hAnsi="Times New Roman"/>
                <w:color w:val="000000"/>
                <w:sz w:val="18"/>
              </w:rPr>
              <w:t>10</w:t>
            </w:r>
          </w:p>
        </w:tc>
      </w:tr>
      <w:tr>
        <w:tc>
          <w:tcPr>
            <w:tcW w:type="dxa" w:w="4320"/>
          </w:tcPr>
          <w:p>
            <w:pPr>
              <w:spacing w:line="276" w:lineRule="auto" w:before="20" w:after="20"/>
            </w:pPr>
            <w:r/>
            <w:r>
              <w:rPr>
                <w:rFonts w:ascii="Times New Roman" w:hAnsi="Times New Roman"/>
                <w:color w:val="000000"/>
                <w:sz w:val="18"/>
              </w:rPr>
              <w:t>&amp;nbsp;&amp;nbsp;&amp;nbsp;&amp;nbsp;A. The Complaint Should Be Dismissed Under Rule 12(b)(1) for Lack of Subject Matter Jurisdiction</w:t>
            </w:r>
          </w:p>
        </w:tc>
        <w:tc>
          <w:tcPr>
            <w:tcW w:type="dxa" w:w="4320"/>
          </w:tcPr>
          <w:p>
            <w:pPr>
              <w:spacing w:line="276" w:lineRule="auto" w:before="20" w:after="20"/>
            </w:pPr>
            <w:r/>
            <w:r>
              <w:rPr>
                <w:rFonts w:ascii="Times New Roman" w:hAnsi="Times New Roman"/>
                <w:color w:val="000000"/>
                <w:sz w:val="18"/>
              </w:rPr>
              <w:t>10</w:t>
            </w:r>
          </w:p>
        </w:tc>
      </w:tr>
      <w:tr>
        <w:tc>
          <w:tcPr>
            <w:tcW w:type="dxa" w:w="4320"/>
          </w:tcPr>
          <w:p>
            <w:pPr>
              <w:spacing w:line="276" w:lineRule="auto" w:before="20" w:after="20"/>
            </w:pPr>
            <w:r/>
            <w:r>
              <w:rPr>
                <w:rFonts w:ascii="Times New Roman" w:hAnsi="Times New Roman"/>
                <w:color w:val="000000"/>
                <w:sz w:val="18"/>
              </w:rPr>
              <w:t>&amp;nbsp;&amp;nbsp;&amp;nbsp;&amp;nbsp;B. The Complaint Should Be Dismissed Under Rule 12(b)(2) for Lack of Personal Jurisdiction</w:t>
            </w:r>
          </w:p>
        </w:tc>
        <w:tc>
          <w:tcPr>
            <w:tcW w:type="dxa" w:w="4320"/>
          </w:tcPr>
          <w:p>
            <w:pPr>
              <w:spacing w:line="276" w:lineRule="auto" w:before="20" w:after="20"/>
            </w:pPr>
            <w:r/>
            <w:r>
              <w:rPr>
                <w:rFonts w:ascii="Times New Roman" w:hAnsi="Times New Roman"/>
                <w:color w:val="000000"/>
                <w:sz w:val="18"/>
              </w:rPr>
              <w:t>11</w:t>
            </w:r>
          </w:p>
        </w:tc>
      </w:tr>
      <w:tr>
        <w:tc>
          <w:tcPr>
            <w:tcW w:type="dxa" w:w="4320"/>
          </w:tcPr>
          <w:p>
            <w:pPr>
              <w:spacing w:line="276" w:lineRule="auto" w:before="20" w:after="20"/>
            </w:pPr>
            <w:r/>
            <w:r>
              <w:rPr>
                <w:rFonts w:ascii="Times New Roman" w:hAnsi="Times New Roman"/>
                <w:color w:val="000000"/>
                <w:sz w:val="18"/>
              </w:rPr>
              <w:t>&amp;nbsp;&amp;nbsp;&amp;nbsp;&amp;nbsp;C. The Complaint Should Be Dismissed Under Rule 12(b)(3) for Improper Venue Based on the Forum Selection Clause</w:t>
            </w:r>
          </w:p>
        </w:tc>
        <w:tc>
          <w:tcPr>
            <w:tcW w:type="dxa" w:w="4320"/>
          </w:tcPr>
          <w:p>
            <w:pPr>
              <w:spacing w:line="276" w:lineRule="auto" w:before="20" w:after="20"/>
            </w:pPr>
            <w:r/>
            <w:r>
              <w:rPr>
                <w:rFonts w:ascii="Times New Roman" w:hAnsi="Times New Roman"/>
                <w:color w:val="000000"/>
                <w:sz w:val="18"/>
              </w:rPr>
              <w:t>13</w:t>
            </w:r>
          </w:p>
        </w:tc>
      </w:tr>
      <w:tr>
        <w:tc>
          <w:tcPr>
            <w:tcW w:type="dxa" w:w="4320"/>
          </w:tcPr>
          <w:p>
            <w:pPr>
              <w:spacing w:line="276" w:lineRule="auto" w:before="20" w:after="20"/>
            </w:pPr>
            <w:r/>
            <w:r>
              <w:rPr>
                <w:rFonts w:ascii="Times New Roman" w:hAnsi="Times New Roman"/>
                <w:color w:val="000000"/>
                <w:sz w:val="18"/>
              </w:rPr>
              <w:t>&amp;nbsp;&amp;nbsp;&amp;nbsp;&amp;nbsp;D. The Complaint Should Be Dismissed Under Rule 12(b)(6) for Failure to State a Claim</w:t>
            </w:r>
          </w:p>
        </w:tc>
        <w:tc>
          <w:tcPr>
            <w:tcW w:type="dxa" w:w="4320"/>
          </w:tcPr>
          <w:p>
            <w:pPr>
              <w:spacing w:line="276" w:lineRule="auto" w:before="20" w:after="20"/>
            </w:pPr>
            <w:r/>
            <w:r>
              <w:rPr>
                <w:rFonts w:ascii="Times New Roman" w:hAnsi="Times New Roman"/>
                <w:color w:val="000000"/>
                <w:sz w:val="18"/>
              </w:rPr>
              <w:t>15</w:t>
            </w:r>
          </w:p>
        </w:tc>
      </w:tr>
      <w:tr>
        <w:tc>
          <w:tcPr>
            <w:tcW w:type="dxa" w:w="4320"/>
          </w:tcPr>
          <w:p>
            <w:pPr>
              <w:spacing w:line="276" w:lineRule="auto" w:before="20" w:after="20"/>
            </w:pPr>
            <w:r/>
            <w:r>
              <w:rPr>
                <w:rFonts w:ascii="Times New Roman" w:hAnsi="Times New Roman"/>
                <w:color w:val="000000"/>
                <w:sz w:val="18"/>
              </w:rPr>
              <w:t>&amp;nbsp;&amp;nbsp;&amp;nbsp;&amp;nbsp;&amp;nbsp;&amp;nbsp;&amp;nbsp;&amp;nbsp;1. Count I — Breach of Contract Fails to State a Claim</w:t>
            </w:r>
          </w:p>
        </w:tc>
        <w:tc>
          <w:tcPr>
            <w:tcW w:type="dxa" w:w="4320"/>
          </w:tcPr>
          <w:p>
            <w:pPr>
              <w:spacing w:line="276" w:lineRule="auto" w:before="20" w:after="20"/>
            </w:pPr>
            <w:r/>
            <w:r>
              <w:rPr>
                <w:rFonts w:ascii="Times New Roman" w:hAnsi="Times New Roman"/>
                <w:color w:val="000000"/>
                <w:sz w:val="18"/>
              </w:rPr>
              <w:t>15</w:t>
            </w:r>
          </w:p>
        </w:tc>
      </w:tr>
      <w:tr>
        <w:tc>
          <w:tcPr>
            <w:tcW w:type="dxa" w:w="4320"/>
          </w:tcPr>
          <w:p>
            <w:pPr>
              <w:spacing w:line="276" w:lineRule="auto" w:before="20" w:after="20"/>
            </w:pPr>
            <w:r/>
            <w:r>
              <w:rPr>
                <w:rFonts w:ascii="Times New Roman" w:hAnsi="Times New Roman"/>
                <w:color w:val="000000"/>
                <w:sz w:val="18"/>
              </w:rPr>
              <w:t>&amp;nbsp;&amp;nbsp;&amp;nbsp;&amp;nbsp;&amp;nbsp;&amp;nbsp;&amp;nbsp;&amp;nbsp;2. Count II — Fraudulent Inducement Fails to State a Claim</w:t>
            </w:r>
          </w:p>
        </w:tc>
        <w:tc>
          <w:tcPr>
            <w:tcW w:type="dxa" w:w="4320"/>
          </w:tcPr>
          <w:p>
            <w:pPr>
              <w:spacing w:line="276" w:lineRule="auto" w:before="20" w:after="20"/>
            </w:pPr>
            <w:r/>
            <w:r>
              <w:rPr>
                <w:rFonts w:ascii="Times New Roman" w:hAnsi="Times New Roman"/>
                <w:color w:val="000000"/>
                <w:sz w:val="18"/>
              </w:rPr>
              <w:t>20</w:t>
            </w:r>
          </w:p>
        </w:tc>
      </w:tr>
      <w:tr>
        <w:tc>
          <w:tcPr>
            <w:tcW w:type="dxa" w:w="4320"/>
          </w:tcPr>
          <w:p>
            <w:pPr>
              <w:spacing w:line="276" w:lineRule="auto" w:before="20" w:after="20"/>
            </w:pPr>
            <w:r/>
            <w:r>
              <w:rPr>
                <w:rFonts w:ascii="Times New Roman" w:hAnsi="Times New Roman"/>
                <w:color w:val="000000"/>
                <w:sz w:val="18"/>
              </w:rPr>
              <w:t>&amp;nbsp;&amp;nbsp;&amp;nbsp;&amp;nbsp;&amp;nbsp;&amp;nbsp;&amp;nbsp;&amp;nbsp;3. Count III — Negligent Misrepresentation Fails to State a Claim</w:t>
            </w:r>
          </w:p>
        </w:tc>
        <w:tc>
          <w:tcPr>
            <w:tcW w:type="dxa" w:w="4320"/>
          </w:tcPr>
          <w:p>
            <w:pPr>
              <w:spacing w:line="276" w:lineRule="auto" w:before="20" w:after="20"/>
            </w:pPr>
            <w:r/>
            <w:r>
              <w:rPr>
                <w:rFonts w:ascii="Times New Roman" w:hAnsi="Times New Roman"/>
                <w:color w:val="000000"/>
                <w:sz w:val="18"/>
              </w:rPr>
              <w:t>23</w:t>
            </w:r>
          </w:p>
        </w:tc>
      </w:tr>
      <w:tr>
        <w:tc>
          <w:tcPr>
            <w:tcW w:type="dxa" w:w="4320"/>
          </w:tcPr>
          <w:p>
            <w:pPr>
              <w:spacing w:line="276" w:lineRule="auto" w:before="20" w:after="20"/>
            </w:pPr>
            <w:r/>
            <w:r>
              <w:rPr>
                <w:rFonts w:ascii="Times New Roman" w:hAnsi="Times New Roman"/>
                <w:color w:val="000000"/>
                <w:sz w:val="18"/>
              </w:rPr>
              <w:t>&amp;nbsp;&amp;nbsp;&amp;nbsp;&amp;nbsp;&amp;nbsp;&amp;nbsp;&amp;nbsp;&amp;nbsp;4. Count IV — Georgia Uniform Deceptive Trade Practices Act Claim Fails to State a Claim</w:t>
            </w:r>
          </w:p>
        </w:tc>
        <w:tc>
          <w:tcPr>
            <w:tcW w:type="dxa" w:w="4320"/>
          </w:tcPr>
          <w:p>
            <w:pPr>
              <w:spacing w:line="276" w:lineRule="auto" w:before="20" w:after="20"/>
            </w:pPr>
            <w:r/>
            <w:r>
              <w:rPr>
                <w:rFonts w:ascii="Times New Roman" w:hAnsi="Times New Roman"/>
                <w:color w:val="000000"/>
                <w:sz w:val="18"/>
              </w:rPr>
              <w:t>24</w:t>
            </w:r>
          </w:p>
        </w:tc>
      </w:tr>
      <w:tr>
        <w:tc>
          <w:tcPr>
            <w:tcW w:type="dxa" w:w="4320"/>
          </w:tcPr>
          <w:p>
            <w:pPr>
              <w:spacing w:line="276" w:lineRule="auto" w:before="20" w:after="20"/>
            </w:pPr>
            <w:r/>
            <w:r>
              <w:rPr>
                <w:rFonts w:ascii="Times New Roman" w:hAnsi="Times New Roman"/>
                <w:color w:val="000000"/>
                <w:sz w:val="18"/>
              </w:rPr>
              <w:t>&amp;nbsp;&amp;nbsp;&amp;nbsp;&amp;nbsp;E. Cross-Cutting Arguments: The Choice-of-Law Clause Governs All Claims</w:t>
            </w:r>
          </w:p>
        </w:tc>
        <w:tc>
          <w:tcPr>
            <w:tcW w:type="dxa" w:w="4320"/>
          </w:tcPr>
          <w:p>
            <w:pPr>
              <w:spacing w:line="276" w:lineRule="auto" w:before="20" w:after="20"/>
            </w:pPr>
            <w:r/>
            <w:r>
              <w:rPr>
                <w:rFonts w:ascii="Times New Roman" w:hAnsi="Times New Roman"/>
                <w:color w:val="000000"/>
                <w:sz w:val="18"/>
              </w:rPr>
              <w:t>26</w:t>
            </w:r>
          </w:p>
        </w:tc>
      </w:tr>
      <w:tr>
        <w:tc>
          <w:tcPr>
            <w:tcW w:type="dxa" w:w="4320"/>
          </w:tcPr>
          <w:p>
            <w:pPr>
              <w:spacing w:line="276" w:lineRule="auto" w:before="20" w:after="20"/>
            </w:pPr>
            <w:r/>
            <w:r>
              <w:rPr>
                <w:rFonts w:ascii="Times New Roman" w:hAnsi="Times New Roman"/>
                <w:color w:val="000000"/>
                <w:sz w:val="18"/>
              </w:rPr>
              <w:t>V. CONCLUSION</w:t>
            </w:r>
          </w:p>
        </w:tc>
        <w:tc>
          <w:tcPr>
            <w:tcW w:type="dxa" w:w="4320"/>
          </w:tcPr>
          <w:p>
            <w:pPr>
              <w:spacing w:line="276" w:lineRule="auto" w:before="20" w:after="20"/>
            </w:pPr>
            <w:r/>
            <w:r>
              <w:rPr>
                <w:rFonts w:ascii="Times New Roman" w:hAnsi="Times New Roman"/>
                <w:color w:val="000000"/>
                <w:sz w:val="18"/>
              </w:rPr>
              <w:t>27</w:t>
            </w:r>
          </w:p>
        </w:tc>
      </w:tr>
      <w:tr>
        <w:tc>
          <w:tcPr>
            <w:tcW w:type="dxa" w:w="4320"/>
          </w:tcPr>
          <w:p>
            <w:pPr>
              <w:spacing w:line="276" w:lineRule="auto" w:before="20" w:after="20"/>
            </w:pPr>
            <w:r/>
            <w:r>
              <w:rPr>
                <w:rFonts w:ascii="Times New Roman" w:hAnsi="Times New Roman"/>
                <w:color w:val="000000"/>
                <w:sz w:val="18"/>
              </w:rPr>
              <w:t>CERTIFICATE OF SERVICE</w:t>
            </w:r>
          </w:p>
        </w:tc>
        <w:tc>
          <w:tcPr>
            <w:tcW w:type="dxa" w:w="4320"/>
          </w:tcPr>
          <w:p>
            <w:pPr>
              <w:spacing w:line="276" w:lineRule="auto" w:before="20" w:after="20"/>
            </w:pPr>
            <w:r/>
            <w:r>
              <w:rPr>
                <w:rFonts w:ascii="Times New Roman" w:hAnsi="Times New Roman"/>
                <w:color w:val="000000"/>
                <w:sz w:val="18"/>
              </w:rPr>
              <w:t>28</w:t>
            </w:r>
          </w:p>
        </w:tc>
      </w:tr>
    </w:tbl>
    <w:p/>
    <w:p>
      <w:r>
        <w:br w:type="page"/>
      </w:r>
    </w:p>
    <w:p>
      <w:pPr>
        <w:spacing w:line="276" w:lineRule="auto" w:before="0" w:after="120"/>
        <w:jc w:val="center"/>
      </w:pPr>
      <w:r>
        <w:rPr>
          <w:rFonts w:ascii="Times New Roman" w:hAnsi="Times New Roman"/>
          <w:b/>
          <w:color w:val="000000"/>
          <w:sz w:val="22"/>
        </w:rPr>
        <w:t>TABLE OF AUTHORITIES</w:t>
      </w:r>
    </w:p>
    <w:p>
      <w:pPr>
        <w:spacing w:line="276" w:lineRule="auto" w:before="0" w:after="120"/>
        <w:jc w:val="both"/>
      </w:pPr>
      <w:r>
        <w:rPr>
          <w:rFonts w:ascii="Times New Roman" w:hAnsi="Times New Roman"/>
          <w:b/>
          <w:color w:val="000000"/>
          <w:sz w:val="22"/>
        </w:rPr>
        <w:t>Cases</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20"/>
        <w:gridCol w:w="4320"/>
      </w:tblGrid>
      <w:tr>
        <w:tc>
          <w:tcPr>
            <w:tcW w:type="dxa" w:w="4320"/>
          </w:tcPr>
          <w:p>
            <w:pPr>
              <w:spacing w:line="276" w:lineRule="auto" w:before="20" w:after="20"/>
            </w:pPr>
            <w:r>
              <w:rPr>
                <w:b/>
              </w:rPr>
            </w:r>
          </w:p>
        </w:tc>
        <w:tc>
          <w:tcPr>
            <w:tcW w:type="dxa" w:w="4320"/>
          </w:tcPr>
          <w:p>
            <w:pPr>
              <w:spacing w:line="276" w:lineRule="auto" w:before="20" w:after="20"/>
            </w:pPr>
            <w:r>
              <w:rPr>
                <w:b/>
              </w:rPr>
            </w:r>
            <w:r>
              <w:rPr>
                <w:rFonts w:ascii="Times New Roman" w:hAnsi="Times New Roman"/>
                <w:b/>
                <w:color w:val="000000"/>
                <w:sz w:val="18"/>
              </w:rPr>
              <w:t>Page(s)</w:t>
            </w:r>
          </w:p>
        </w:tc>
      </w:tr>
      <w:tr>
        <w:tc>
          <w:tcPr>
            <w:tcW w:type="dxa" w:w="4320"/>
          </w:tcPr>
          <w:p>
            <w:pPr>
              <w:spacing w:line="276" w:lineRule="auto" w:before="20" w:after="20"/>
            </w:pPr>
            <w:r/>
            <w:r>
              <w:rPr>
                <w:rFonts w:ascii="Times New Roman" w:hAnsi="Times New Roman"/>
                <w:i/>
                <w:color w:val="000000"/>
                <w:sz w:val="18"/>
              </w:rPr>
              <w:t>Ashcroft v. Iqbal</w:t>
            </w:r>
            <w:r>
              <w:rPr>
                <w:rFonts w:ascii="Times New Roman" w:hAnsi="Times New Roman"/>
                <w:color w:val="000000"/>
                <w:sz w:val="18"/>
              </w:rPr>
              <w:t>, 556 U.S. 662 (2009)</w:t>
            </w:r>
          </w:p>
        </w:tc>
        <w:tc>
          <w:tcPr>
            <w:tcW w:type="dxa" w:w="4320"/>
          </w:tcPr>
          <w:p>
            <w:pPr>
              <w:spacing w:line="276" w:lineRule="auto" w:before="20" w:after="20"/>
            </w:pPr>
            <w:r/>
            <w:r>
              <w:rPr>
                <w:rFonts w:ascii="Times New Roman" w:hAnsi="Times New Roman"/>
                <w:color w:val="000000"/>
                <w:sz w:val="18"/>
              </w:rPr>
              <w:t>8, 9, 15, 20, 21</w:t>
            </w:r>
          </w:p>
        </w:tc>
      </w:tr>
      <w:tr>
        <w:tc>
          <w:tcPr>
            <w:tcW w:type="dxa" w:w="4320"/>
          </w:tcPr>
          <w:p>
            <w:pPr>
              <w:spacing w:line="276" w:lineRule="auto" w:before="20" w:after="20"/>
            </w:pPr>
            <w:r/>
            <w:r>
              <w:rPr>
                <w:rFonts w:ascii="Times New Roman" w:hAnsi="Times New Roman"/>
                <w:i/>
                <w:color w:val="000000"/>
                <w:sz w:val="18"/>
              </w:rPr>
              <w:t>Bell Atlantic Corp. v. Twombly</w:t>
            </w:r>
            <w:r>
              <w:rPr>
                <w:rFonts w:ascii="Times New Roman" w:hAnsi="Times New Roman"/>
                <w:color w:val="000000"/>
                <w:sz w:val="18"/>
              </w:rPr>
              <w:t>, 550 U.S. 544 (2007)</w:t>
            </w:r>
          </w:p>
        </w:tc>
        <w:tc>
          <w:tcPr>
            <w:tcW w:type="dxa" w:w="4320"/>
          </w:tcPr>
          <w:p>
            <w:pPr>
              <w:spacing w:line="276" w:lineRule="auto" w:before="20" w:after="20"/>
            </w:pPr>
            <w:r/>
            <w:r>
              <w:rPr>
                <w:rFonts w:ascii="Times New Roman" w:hAnsi="Times New Roman"/>
                <w:color w:val="000000"/>
                <w:sz w:val="18"/>
              </w:rPr>
              <w:t>8, 9, 15, 20</w:t>
            </w:r>
          </w:p>
        </w:tc>
      </w:tr>
      <w:tr>
        <w:tc>
          <w:tcPr>
            <w:tcW w:type="dxa" w:w="4320"/>
          </w:tcPr>
          <w:p>
            <w:pPr>
              <w:spacing w:line="276" w:lineRule="auto" w:before="20" w:after="20"/>
            </w:pPr>
            <w:r/>
            <w:r>
              <w:rPr>
                <w:rFonts w:ascii="Times New Roman" w:hAnsi="Times New Roman"/>
                <w:i/>
                <w:color w:val="000000"/>
                <w:sz w:val="18"/>
              </w:rPr>
              <w:t>Burger King Corp. v. Rudzewicz</w:t>
            </w:r>
            <w:r>
              <w:rPr>
                <w:rFonts w:ascii="Times New Roman" w:hAnsi="Times New Roman"/>
                <w:color w:val="000000"/>
                <w:sz w:val="18"/>
              </w:rPr>
              <w:t>, 471 U.S. 462 (1985)</w:t>
            </w:r>
          </w:p>
        </w:tc>
        <w:tc>
          <w:tcPr>
            <w:tcW w:type="dxa" w:w="4320"/>
          </w:tcPr>
          <w:p>
            <w:pPr>
              <w:spacing w:line="276" w:lineRule="auto" w:before="20" w:after="20"/>
            </w:pPr>
            <w:r/>
            <w:r>
              <w:rPr>
                <w:rFonts w:ascii="Times New Roman" w:hAnsi="Times New Roman"/>
                <w:color w:val="000000"/>
                <w:sz w:val="18"/>
              </w:rPr>
              <w:t>8</w:t>
            </w:r>
          </w:p>
        </w:tc>
      </w:tr>
      <w:tr>
        <w:tc>
          <w:tcPr>
            <w:tcW w:type="dxa" w:w="4320"/>
          </w:tcPr>
          <w:p>
            <w:pPr>
              <w:spacing w:line="276" w:lineRule="auto" w:before="20" w:after="20"/>
            </w:pPr>
            <w:r/>
            <w:r>
              <w:rPr>
                <w:rFonts w:ascii="Times New Roman" w:hAnsi="Times New Roman"/>
                <w:i/>
                <w:color w:val="000000"/>
                <w:sz w:val="18"/>
              </w:rPr>
              <w:t>Daimler AG v. Bauman</w:t>
            </w:r>
            <w:r>
              <w:rPr>
                <w:rFonts w:ascii="Times New Roman" w:hAnsi="Times New Roman"/>
                <w:color w:val="000000"/>
                <w:sz w:val="18"/>
              </w:rPr>
              <w:t>, 571 U.S. 117 (2014)</w:t>
            </w:r>
          </w:p>
        </w:tc>
        <w:tc>
          <w:tcPr>
            <w:tcW w:type="dxa" w:w="4320"/>
          </w:tcPr>
          <w:p>
            <w:pPr>
              <w:spacing w:line="276" w:lineRule="auto" w:before="20" w:after="20"/>
            </w:pPr>
            <w:r/>
            <w:r>
              <w:rPr>
                <w:rFonts w:ascii="Times New Roman" w:hAnsi="Times New Roman"/>
                <w:color w:val="000000"/>
                <w:sz w:val="18"/>
              </w:rPr>
              <w:t>9, 11, 12</w:t>
            </w:r>
          </w:p>
        </w:tc>
      </w:tr>
      <w:tr>
        <w:tc>
          <w:tcPr>
            <w:tcW w:type="dxa" w:w="4320"/>
          </w:tcPr>
          <w:p>
            <w:pPr>
              <w:spacing w:line="276" w:lineRule="auto" w:before="20" w:after="20"/>
            </w:pPr>
            <w:r/>
            <w:r>
              <w:rPr>
                <w:rFonts w:ascii="Times New Roman" w:hAnsi="Times New Roman"/>
                <w:i/>
                <w:color w:val="000000"/>
                <w:sz w:val="18"/>
              </w:rPr>
              <w:t>Goodyear Dunlop Tires Operations, S.A. v. Brown</w:t>
            </w:r>
            <w:r>
              <w:rPr>
                <w:rFonts w:ascii="Times New Roman" w:hAnsi="Times New Roman"/>
                <w:color w:val="000000"/>
                <w:sz w:val="18"/>
              </w:rPr>
              <w:t>, 564 U.S. 915 (2011)</w:t>
            </w:r>
          </w:p>
        </w:tc>
        <w:tc>
          <w:tcPr>
            <w:tcW w:type="dxa" w:w="4320"/>
          </w:tcPr>
          <w:p>
            <w:pPr>
              <w:spacing w:line="276" w:lineRule="auto" w:before="20" w:after="20"/>
            </w:pPr>
            <w:r/>
            <w:r>
              <w:rPr>
                <w:rFonts w:ascii="Times New Roman" w:hAnsi="Times New Roman"/>
                <w:color w:val="000000"/>
                <w:sz w:val="18"/>
              </w:rPr>
              <w:t>11</w:t>
            </w:r>
          </w:p>
        </w:tc>
      </w:tr>
      <w:tr>
        <w:tc>
          <w:tcPr>
            <w:tcW w:type="dxa" w:w="4320"/>
          </w:tcPr>
          <w:p>
            <w:pPr>
              <w:spacing w:line="276" w:lineRule="auto" w:before="20" w:after="20"/>
            </w:pPr>
            <w:r/>
            <w:r>
              <w:rPr>
                <w:rFonts w:ascii="Times New Roman" w:hAnsi="Times New Roman"/>
                <w:i/>
                <w:color w:val="000000"/>
                <w:sz w:val="18"/>
              </w:rPr>
              <w:t>International Shoe Co. v. Washington</w:t>
            </w:r>
            <w:r>
              <w:rPr>
                <w:rFonts w:ascii="Times New Roman" w:hAnsi="Times New Roman"/>
                <w:color w:val="000000"/>
                <w:sz w:val="18"/>
              </w:rPr>
              <w:t>, 326 U.S. 310 (1945)</w:t>
            </w:r>
          </w:p>
        </w:tc>
        <w:tc>
          <w:tcPr>
            <w:tcW w:type="dxa" w:w="4320"/>
          </w:tcPr>
          <w:p>
            <w:pPr>
              <w:spacing w:line="276" w:lineRule="auto" w:before="20" w:after="20"/>
            </w:pPr>
            <w:r/>
            <w:r>
              <w:rPr>
                <w:rFonts w:ascii="Times New Roman" w:hAnsi="Times New Roman"/>
                <w:color w:val="000000"/>
                <w:sz w:val="18"/>
              </w:rPr>
              <w:t>8, 11</w:t>
            </w:r>
          </w:p>
        </w:tc>
      </w:tr>
      <w:tr>
        <w:tc>
          <w:tcPr>
            <w:tcW w:type="dxa" w:w="4320"/>
          </w:tcPr>
          <w:p>
            <w:pPr>
              <w:spacing w:line="276" w:lineRule="auto" w:before="20" w:after="20"/>
            </w:pPr>
            <w:r/>
            <w:r>
              <w:rPr>
                <w:rFonts w:ascii="Times New Roman" w:hAnsi="Times New Roman"/>
                <w:i/>
                <w:color w:val="000000"/>
                <w:sz w:val="18"/>
              </w:rPr>
              <w:t>Italian Colors Restaurant v. Harris</w:t>
            </w:r>
            <w:r>
              <w:rPr>
                <w:rFonts w:ascii="Times New Roman" w:hAnsi="Times New Roman"/>
                <w:color w:val="000000"/>
                <w:sz w:val="18"/>
              </w:rPr>
              <w:t>, 99 F. Supp. 3d 1199 (N.D. Cal. 2015)</w:t>
            </w:r>
          </w:p>
        </w:tc>
        <w:tc>
          <w:tcPr>
            <w:tcW w:type="dxa" w:w="4320"/>
          </w:tcPr>
          <w:p>
            <w:pPr>
              <w:spacing w:line="276" w:lineRule="auto" w:before="20" w:after="20"/>
            </w:pPr>
            <w:r/>
            <w:r>
              <w:rPr>
                <w:rFonts w:ascii="Times New Roman" w:hAnsi="Times New Roman"/>
                <w:color w:val="000000"/>
                <w:sz w:val="18"/>
              </w:rPr>
              <w:t>16</w:t>
            </w:r>
          </w:p>
        </w:tc>
      </w:tr>
      <w:tr>
        <w:tc>
          <w:tcPr>
            <w:tcW w:type="dxa" w:w="4320"/>
          </w:tcPr>
          <w:p>
            <w:pPr>
              <w:spacing w:line="276" w:lineRule="auto" w:before="20" w:after="20"/>
            </w:pPr>
            <w:r/>
            <w:r>
              <w:rPr>
                <w:rFonts w:ascii="Times New Roman" w:hAnsi="Times New Roman"/>
                <w:i/>
                <w:color w:val="000000"/>
                <w:sz w:val="18"/>
              </w:rPr>
              <w:t>M/S Bremen v. Zapata Off-Shore Co.</w:t>
            </w:r>
            <w:r>
              <w:rPr>
                <w:rFonts w:ascii="Times New Roman" w:hAnsi="Times New Roman"/>
                <w:color w:val="000000"/>
                <w:sz w:val="18"/>
              </w:rPr>
              <w:t>, 407 U.S. 1 (1972)</w:t>
            </w:r>
          </w:p>
        </w:tc>
        <w:tc>
          <w:tcPr>
            <w:tcW w:type="dxa" w:w="4320"/>
          </w:tcPr>
          <w:p>
            <w:pPr>
              <w:spacing w:line="276" w:lineRule="auto" w:before="20" w:after="20"/>
            </w:pPr>
            <w:r/>
            <w:r>
              <w:rPr>
                <w:rFonts w:ascii="Times New Roman" w:hAnsi="Times New Roman"/>
                <w:color w:val="000000"/>
                <w:sz w:val="18"/>
              </w:rPr>
              <w:t>13, 14</w:t>
            </w:r>
          </w:p>
        </w:tc>
      </w:tr>
      <w:tr>
        <w:tc>
          <w:tcPr>
            <w:tcW w:type="dxa" w:w="4320"/>
          </w:tcPr>
          <w:p>
            <w:pPr>
              <w:spacing w:line="276" w:lineRule="auto" w:before="20" w:after="20"/>
            </w:pPr>
            <w:r/>
            <w:r>
              <w:rPr>
                <w:rFonts w:ascii="Times New Roman" w:hAnsi="Times New Roman"/>
                <w:i/>
                <w:color w:val="000000"/>
                <w:sz w:val="18"/>
              </w:rPr>
              <w:t>Perkins v. Benguet Consol. Mining Co.</w:t>
            </w:r>
            <w:r>
              <w:rPr>
                <w:rFonts w:ascii="Times New Roman" w:hAnsi="Times New Roman"/>
                <w:color w:val="000000"/>
                <w:sz w:val="18"/>
              </w:rPr>
              <w:t>, 342 U.S. 437 (1952)</w:t>
            </w:r>
          </w:p>
        </w:tc>
        <w:tc>
          <w:tcPr>
            <w:tcW w:type="dxa" w:w="4320"/>
          </w:tcPr>
          <w:p>
            <w:pPr>
              <w:spacing w:line="276" w:lineRule="auto" w:before="20" w:after="20"/>
            </w:pPr>
            <w:r/>
            <w:r>
              <w:rPr>
                <w:rFonts w:ascii="Times New Roman" w:hAnsi="Times New Roman"/>
                <w:color w:val="000000"/>
                <w:sz w:val="18"/>
              </w:rPr>
              <w:t>12</w:t>
            </w:r>
          </w:p>
        </w:tc>
      </w:tr>
      <w:tr>
        <w:tc>
          <w:tcPr>
            <w:tcW w:type="dxa" w:w="4320"/>
          </w:tcPr>
          <w:p>
            <w:pPr>
              <w:spacing w:line="276" w:lineRule="auto" w:before="20" w:after="20"/>
            </w:pPr>
            <w:r/>
            <w:r>
              <w:rPr>
                <w:rFonts w:ascii="Times New Roman" w:hAnsi="Times New Roman"/>
                <w:i/>
                <w:color w:val="000000"/>
                <w:sz w:val="18"/>
              </w:rPr>
              <w:t>Scherk v. Alberto-Culver Co.</w:t>
            </w:r>
            <w:r>
              <w:rPr>
                <w:rFonts w:ascii="Times New Roman" w:hAnsi="Times New Roman"/>
                <w:color w:val="000000"/>
                <w:sz w:val="18"/>
              </w:rPr>
              <w:t>, 417 U.S. 506 (1974)</w:t>
            </w:r>
          </w:p>
        </w:tc>
        <w:tc>
          <w:tcPr>
            <w:tcW w:type="dxa" w:w="4320"/>
          </w:tcPr>
          <w:p>
            <w:pPr>
              <w:spacing w:line="276" w:lineRule="auto" w:before="20" w:after="20"/>
            </w:pPr>
            <w:r/>
            <w:r>
              <w:rPr>
                <w:rFonts w:ascii="Times New Roman" w:hAnsi="Times New Roman"/>
                <w:color w:val="000000"/>
                <w:sz w:val="18"/>
              </w:rPr>
              <w:t>14</w:t>
            </w:r>
          </w:p>
        </w:tc>
      </w:tr>
      <w:tr>
        <w:tc>
          <w:tcPr>
            <w:tcW w:type="dxa" w:w="4320"/>
          </w:tcPr>
          <w:p>
            <w:pPr>
              <w:spacing w:line="276" w:lineRule="auto" w:before="20" w:after="20"/>
            </w:pPr>
            <w:r/>
            <w:r>
              <w:rPr>
                <w:rFonts w:ascii="Times New Roman" w:hAnsi="Times New Roman"/>
                <w:i/>
                <w:color w:val="000000"/>
                <w:sz w:val="18"/>
              </w:rPr>
              <w:t>Stewart Org., Inc. v. Ricoh Corp.</w:t>
            </w:r>
            <w:r>
              <w:rPr>
                <w:rFonts w:ascii="Times New Roman" w:hAnsi="Times New Roman"/>
                <w:color w:val="000000"/>
                <w:sz w:val="18"/>
              </w:rPr>
              <w:t>, 487 U.S. 22 (1988)</w:t>
            </w:r>
          </w:p>
        </w:tc>
        <w:tc>
          <w:tcPr>
            <w:tcW w:type="dxa" w:w="4320"/>
          </w:tcPr>
          <w:p>
            <w:pPr>
              <w:spacing w:line="276" w:lineRule="auto" w:before="20" w:after="20"/>
            </w:pPr>
            <w:r/>
            <w:r>
              <w:rPr>
                <w:rFonts w:ascii="Times New Roman" w:hAnsi="Times New Roman"/>
                <w:color w:val="000000"/>
                <w:sz w:val="18"/>
              </w:rPr>
              <w:t>14</w:t>
            </w:r>
          </w:p>
        </w:tc>
      </w:tr>
      <w:tr>
        <w:tc>
          <w:tcPr>
            <w:tcW w:type="dxa" w:w="4320"/>
          </w:tcPr>
          <w:p>
            <w:pPr>
              <w:spacing w:line="276" w:lineRule="auto" w:before="20" w:after="20"/>
            </w:pPr>
            <w:r/>
            <w:r>
              <w:rPr>
                <w:rFonts w:ascii="Times New Roman" w:hAnsi="Times New Roman"/>
                <w:i/>
                <w:color w:val="000000"/>
                <w:sz w:val="18"/>
              </w:rPr>
              <w:t>Walker v. BuildDirect.com Techs., Inc.</w:t>
            </w:r>
            <w:r>
              <w:rPr>
                <w:rFonts w:ascii="Times New Roman" w:hAnsi="Times New Roman"/>
                <w:color w:val="000000"/>
                <w:sz w:val="18"/>
              </w:rPr>
              <w:t>, 733 F.3d 1001 (11th Cir. 2013)</w:t>
            </w:r>
          </w:p>
        </w:tc>
        <w:tc>
          <w:tcPr>
            <w:tcW w:type="dxa" w:w="4320"/>
          </w:tcPr>
          <w:p>
            <w:pPr>
              <w:spacing w:line="276" w:lineRule="auto" w:before="20" w:after="20"/>
            </w:pPr>
            <w:r/>
            <w:r>
              <w:rPr>
                <w:rFonts w:ascii="Times New Roman" w:hAnsi="Times New Roman"/>
                <w:color w:val="000000"/>
                <w:sz w:val="18"/>
              </w:rPr>
              <w:t>11</w:t>
            </w:r>
          </w:p>
        </w:tc>
      </w:tr>
    </w:tbl>
    <w:p/>
    <w:p>
      <w:pPr>
        <w:spacing w:line="276" w:lineRule="auto" w:before="0" w:after="120"/>
        <w:jc w:val="both"/>
      </w:pPr>
      <w:r>
        <w:rPr>
          <w:rFonts w:ascii="Times New Roman" w:hAnsi="Times New Roman"/>
          <w:b/>
          <w:color w:val="000000"/>
          <w:sz w:val="22"/>
        </w:rPr>
        <w:t>Statutes</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20"/>
        <w:gridCol w:w="4320"/>
      </w:tblGrid>
      <w:tr>
        <w:tc>
          <w:tcPr>
            <w:tcW w:type="dxa" w:w="4320"/>
          </w:tcPr>
          <w:p>
            <w:pPr>
              <w:spacing w:line="276" w:lineRule="auto" w:before="20" w:after="20"/>
            </w:pPr>
            <w:r>
              <w:rPr>
                <w:b/>
              </w:rPr>
            </w:r>
          </w:p>
        </w:tc>
        <w:tc>
          <w:tcPr>
            <w:tcW w:type="dxa" w:w="4320"/>
          </w:tcPr>
          <w:p>
            <w:pPr>
              <w:spacing w:line="276" w:lineRule="auto" w:before="20" w:after="20"/>
            </w:pPr>
            <w:r>
              <w:rPr>
                <w:b/>
              </w:rPr>
            </w:r>
            <w:r>
              <w:rPr>
                <w:rFonts w:ascii="Times New Roman" w:hAnsi="Times New Roman"/>
                <w:b/>
                <w:color w:val="000000"/>
                <w:sz w:val="18"/>
              </w:rPr>
              <w:t>Page(s)</w:t>
            </w:r>
          </w:p>
        </w:tc>
      </w:tr>
      <w:tr>
        <w:tc>
          <w:tcPr>
            <w:tcW w:type="dxa" w:w="4320"/>
          </w:tcPr>
          <w:p>
            <w:pPr>
              <w:spacing w:line="276" w:lineRule="auto" w:before="20" w:after="20"/>
            </w:pPr>
            <w:r/>
            <w:r>
              <w:rPr>
                <w:rFonts w:ascii="Times New Roman" w:hAnsi="Times New Roman"/>
                <w:color w:val="000000"/>
                <w:sz w:val="18"/>
              </w:rPr>
              <w:t>28 U.S.C. § 1332</w:t>
            </w:r>
          </w:p>
        </w:tc>
        <w:tc>
          <w:tcPr>
            <w:tcW w:type="dxa" w:w="4320"/>
          </w:tcPr>
          <w:p>
            <w:pPr>
              <w:spacing w:line="276" w:lineRule="auto" w:before="20" w:after="20"/>
            </w:pPr>
            <w:r/>
            <w:r>
              <w:rPr>
                <w:rFonts w:ascii="Times New Roman" w:hAnsi="Times New Roman"/>
                <w:color w:val="000000"/>
                <w:sz w:val="18"/>
              </w:rPr>
              <w:t>7, 10</w:t>
            </w:r>
          </w:p>
        </w:tc>
      </w:tr>
      <w:tr>
        <w:tc>
          <w:tcPr>
            <w:tcW w:type="dxa" w:w="4320"/>
          </w:tcPr>
          <w:p>
            <w:pPr>
              <w:spacing w:line="276" w:lineRule="auto" w:before="20" w:after="20"/>
            </w:pPr>
            <w:r/>
            <w:r>
              <w:rPr>
                <w:rFonts w:ascii="Times New Roman" w:hAnsi="Times New Roman"/>
                <w:color w:val="000000"/>
                <w:sz w:val="18"/>
              </w:rPr>
              <w:t>28 U.S.C. § 1391</w:t>
            </w:r>
          </w:p>
        </w:tc>
        <w:tc>
          <w:tcPr>
            <w:tcW w:type="dxa" w:w="4320"/>
          </w:tcPr>
          <w:p>
            <w:pPr>
              <w:spacing w:line="276" w:lineRule="auto" w:before="20" w:after="20"/>
            </w:pPr>
            <w:r/>
            <w:r>
              <w:rPr>
                <w:rFonts w:ascii="Times New Roman" w:hAnsi="Times New Roman"/>
                <w:color w:val="000000"/>
                <w:sz w:val="18"/>
              </w:rPr>
              <w:t>9, 13</w:t>
            </w:r>
          </w:p>
        </w:tc>
      </w:tr>
      <w:tr>
        <w:tc>
          <w:tcPr>
            <w:tcW w:type="dxa" w:w="4320"/>
          </w:tcPr>
          <w:p>
            <w:pPr>
              <w:spacing w:line="276" w:lineRule="auto" w:before="20" w:after="20"/>
            </w:pPr>
            <w:r/>
            <w:r>
              <w:rPr>
                <w:rFonts w:ascii="Times New Roman" w:hAnsi="Times New Roman"/>
                <w:color w:val="000000"/>
                <w:sz w:val="18"/>
              </w:rPr>
              <w:t xml:space="preserve">O.C.G.A. § 10-1-370 </w:t>
            </w:r>
            <w:r>
              <w:rPr>
                <w:rFonts w:ascii="Times New Roman" w:hAnsi="Times New Roman"/>
                <w:i/>
                <w:color w:val="000000"/>
                <w:sz w:val="18"/>
              </w:rPr>
              <w:t>et seq.</w:t>
            </w:r>
          </w:p>
        </w:tc>
        <w:tc>
          <w:tcPr>
            <w:tcW w:type="dxa" w:w="4320"/>
          </w:tcPr>
          <w:p>
            <w:pPr>
              <w:spacing w:line="276" w:lineRule="auto" w:before="20" w:after="20"/>
            </w:pPr>
            <w:r/>
            <w:r>
              <w:rPr>
                <w:rFonts w:ascii="Times New Roman" w:hAnsi="Times New Roman"/>
                <w:color w:val="000000"/>
                <w:sz w:val="18"/>
              </w:rPr>
              <w:t>7, 24, 25</w:t>
            </w:r>
          </w:p>
        </w:tc>
      </w:tr>
      <w:tr>
        <w:tc>
          <w:tcPr>
            <w:tcW w:type="dxa" w:w="4320"/>
          </w:tcPr>
          <w:p>
            <w:pPr>
              <w:spacing w:line="276" w:lineRule="auto" w:before="20" w:after="20"/>
            </w:pPr>
            <w:r/>
            <w:r>
              <w:rPr>
                <w:rFonts w:ascii="Times New Roman" w:hAnsi="Times New Roman"/>
                <w:color w:val="000000"/>
                <w:sz w:val="18"/>
              </w:rPr>
              <w:t>Tex. Bus. &amp; Com. Code § 2.725</w:t>
            </w:r>
          </w:p>
        </w:tc>
        <w:tc>
          <w:tcPr>
            <w:tcW w:type="dxa" w:w="4320"/>
          </w:tcPr>
          <w:p>
            <w:pPr>
              <w:spacing w:line="276" w:lineRule="auto" w:before="20" w:after="20"/>
            </w:pPr>
            <w:r/>
            <w:r>
              <w:rPr>
                <w:rFonts w:ascii="Times New Roman" w:hAnsi="Times New Roman"/>
                <w:color w:val="000000"/>
                <w:sz w:val="18"/>
              </w:rPr>
              <w:t>16</w:t>
            </w:r>
          </w:p>
        </w:tc>
      </w:tr>
    </w:tbl>
    <w:p/>
    <w:p>
      <w:pPr>
        <w:spacing w:line="276" w:lineRule="auto" w:before="0" w:after="120"/>
        <w:jc w:val="both"/>
      </w:pPr>
      <w:r>
        <w:rPr>
          <w:rFonts w:ascii="Times New Roman" w:hAnsi="Times New Roman"/>
          <w:b/>
          <w:color w:val="000000"/>
          <w:sz w:val="22"/>
        </w:rPr>
        <w:t>Rules</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20"/>
        <w:gridCol w:w="4320"/>
      </w:tblGrid>
      <w:tr>
        <w:tc>
          <w:tcPr>
            <w:tcW w:type="dxa" w:w="4320"/>
          </w:tcPr>
          <w:p>
            <w:pPr>
              <w:spacing w:line="276" w:lineRule="auto" w:before="20" w:after="20"/>
            </w:pPr>
            <w:r>
              <w:rPr>
                <w:b/>
              </w:rPr>
            </w:r>
          </w:p>
        </w:tc>
        <w:tc>
          <w:tcPr>
            <w:tcW w:type="dxa" w:w="4320"/>
          </w:tcPr>
          <w:p>
            <w:pPr>
              <w:spacing w:line="276" w:lineRule="auto" w:before="20" w:after="20"/>
            </w:pPr>
            <w:r>
              <w:rPr>
                <w:b/>
              </w:rPr>
            </w:r>
            <w:r>
              <w:rPr>
                <w:rFonts w:ascii="Times New Roman" w:hAnsi="Times New Roman"/>
                <w:b/>
                <w:color w:val="000000"/>
                <w:sz w:val="18"/>
              </w:rPr>
              <w:t>Page(s)</w:t>
            </w:r>
          </w:p>
        </w:tc>
      </w:tr>
      <w:tr>
        <w:tc>
          <w:tcPr>
            <w:tcW w:type="dxa" w:w="4320"/>
          </w:tcPr>
          <w:p>
            <w:pPr>
              <w:spacing w:line="276" w:lineRule="auto" w:before="20" w:after="20"/>
            </w:pPr>
            <w:r/>
            <w:r>
              <w:rPr>
                <w:rFonts w:ascii="Times New Roman" w:hAnsi="Times New Roman"/>
                <w:color w:val="000000"/>
                <w:sz w:val="18"/>
              </w:rPr>
              <w:t>Fed. R. Civ. P. 9(b)</w:t>
            </w:r>
          </w:p>
        </w:tc>
        <w:tc>
          <w:tcPr>
            <w:tcW w:type="dxa" w:w="4320"/>
          </w:tcPr>
          <w:p>
            <w:pPr>
              <w:spacing w:line="276" w:lineRule="auto" w:before="20" w:after="20"/>
            </w:pPr>
            <w:r/>
            <w:r>
              <w:rPr>
                <w:rFonts w:ascii="Times New Roman" w:hAnsi="Times New Roman"/>
                <w:color w:val="000000"/>
                <w:sz w:val="18"/>
              </w:rPr>
              <w:t>21 n.5</w:t>
            </w:r>
          </w:p>
        </w:tc>
      </w:tr>
      <w:tr>
        <w:tc>
          <w:tcPr>
            <w:tcW w:type="dxa" w:w="4320"/>
          </w:tcPr>
          <w:p>
            <w:pPr>
              <w:spacing w:line="276" w:lineRule="auto" w:before="20" w:after="20"/>
            </w:pPr>
            <w:r/>
            <w:r>
              <w:rPr>
                <w:rFonts w:ascii="Times New Roman" w:hAnsi="Times New Roman"/>
                <w:color w:val="000000"/>
                <w:sz w:val="18"/>
              </w:rPr>
              <w:t>Fed. R. Civ. P. 12(b)(1)</w:t>
            </w:r>
          </w:p>
        </w:tc>
        <w:tc>
          <w:tcPr>
            <w:tcW w:type="dxa" w:w="4320"/>
          </w:tcPr>
          <w:p>
            <w:pPr>
              <w:spacing w:line="276" w:lineRule="auto" w:before="20" w:after="20"/>
            </w:pPr>
            <w:r/>
            <w:r>
              <w:rPr>
                <w:rFonts w:ascii="Times New Roman" w:hAnsi="Times New Roman"/>
                <w:color w:val="000000"/>
                <w:sz w:val="18"/>
              </w:rPr>
              <w:t>1, 8, 10</w:t>
            </w:r>
          </w:p>
        </w:tc>
      </w:tr>
      <w:tr>
        <w:tc>
          <w:tcPr>
            <w:tcW w:type="dxa" w:w="4320"/>
          </w:tcPr>
          <w:p>
            <w:pPr>
              <w:spacing w:line="276" w:lineRule="auto" w:before="20" w:after="20"/>
            </w:pPr>
            <w:r/>
            <w:r>
              <w:rPr>
                <w:rFonts w:ascii="Times New Roman" w:hAnsi="Times New Roman"/>
                <w:color w:val="000000"/>
                <w:sz w:val="18"/>
              </w:rPr>
              <w:t>Fed. R. Civ. P. 12(b)(2)</w:t>
            </w:r>
          </w:p>
        </w:tc>
        <w:tc>
          <w:tcPr>
            <w:tcW w:type="dxa" w:w="4320"/>
          </w:tcPr>
          <w:p>
            <w:pPr>
              <w:spacing w:line="276" w:lineRule="auto" w:before="20" w:after="20"/>
            </w:pPr>
            <w:r/>
            <w:r>
              <w:rPr>
                <w:rFonts w:ascii="Times New Roman" w:hAnsi="Times New Roman"/>
                <w:color w:val="000000"/>
                <w:sz w:val="18"/>
              </w:rPr>
              <w:t>1, 8, 11</w:t>
            </w:r>
          </w:p>
        </w:tc>
      </w:tr>
      <w:tr>
        <w:tc>
          <w:tcPr>
            <w:tcW w:type="dxa" w:w="4320"/>
          </w:tcPr>
          <w:p>
            <w:pPr>
              <w:spacing w:line="276" w:lineRule="auto" w:before="20" w:after="20"/>
            </w:pPr>
            <w:r/>
            <w:r>
              <w:rPr>
                <w:rFonts w:ascii="Times New Roman" w:hAnsi="Times New Roman"/>
                <w:color w:val="000000"/>
                <w:sz w:val="18"/>
              </w:rPr>
              <w:t>Fed. R. Civ. P. 12(b)(3)</w:t>
            </w:r>
          </w:p>
        </w:tc>
        <w:tc>
          <w:tcPr>
            <w:tcW w:type="dxa" w:w="4320"/>
          </w:tcPr>
          <w:p>
            <w:pPr>
              <w:spacing w:line="276" w:lineRule="auto" w:before="20" w:after="20"/>
            </w:pPr>
            <w:r/>
            <w:r>
              <w:rPr>
                <w:rFonts w:ascii="Times New Roman" w:hAnsi="Times New Roman"/>
                <w:color w:val="000000"/>
                <w:sz w:val="18"/>
              </w:rPr>
              <w:t>1, 9, 13</w:t>
            </w:r>
          </w:p>
        </w:tc>
      </w:tr>
      <w:tr>
        <w:tc>
          <w:tcPr>
            <w:tcW w:type="dxa" w:w="4320"/>
          </w:tcPr>
          <w:p>
            <w:pPr>
              <w:spacing w:line="276" w:lineRule="auto" w:before="20" w:after="20"/>
            </w:pPr>
            <w:r/>
            <w:r>
              <w:rPr>
                <w:rFonts w:ascii="Times New Roman" w:hAnsi="Times New Roman"/>
                <w:color w:val="000000"/>
                <w:sz w:val="18"/>
              </w:rPr>
              <w:t>Fed. R. Civ. P. 12(b)(6)</w:t>
            </w:r>
          </w:p>
        </w:tc>
        <w:tc>
          <w:tcPr>
            <w:tcW w:type="dxa" w:w="4320"/>
          </w:tcPr>
          <w:p>
            <w:pPr>
              <w:spacing w:line="276" w:lineRule="auto" w:before="20" w:after="20"/>
            </w:pPr>
            <w:r/>
            <w:r>
              <w:rPr>
                <w:rFonts w:ascii="Times New Roman" w:hAnsi="Times New Roman"/>
                <w:color w:val="000000"/>
                <w:sz w:val="18"/>
              </w:rPr>
              <w:t>1, 9, 15</w:t>
            </w:r>
          </w:p>
        </w:tc>
      </w:tr>
    </w:tbl>
    <w:p/>
    <w:p>
      <w:r>
        <w:br w:type="page"/>
      </w:r>
    </w:p>
    <w:p>
      <w:pPr>
        <w:keepNext/>
        <w:spacing w:line="276" w:lineRule="auto" w:before="360" w:after="120"/>
        <w:jc w:val="left"/>
      </w:pPr>
      <w:r>
        <w:rPr>
          <w:rFonts w:ascii="Times New Roman" w:hAnsi="Times New Roman"/>
          <w:b/>
          <w:color w:val="000000"/>
          <w:sz w:val="22"/>
          <w:u w:val="single"/>
        </w:rPr>
        <w:t>I. PRELIMINARY STATEMENT</w:t>
      </w:r>
    </w:p>
    <w:p>
      <w:pPr>
        <w:spacing w:line="276" w:lineRule="auto" w:before="0" w:after="120"/>
        <w:jc w:val="both"/>
      </w:pPr>
      <w:r>
        <w:rPr>
          <w:rFonts w:ascii="Times New Roman" w:hAnsi="Times New Roman"/>
          <w:color w:val="000000"/>
          <w:sz w:val="22"/>
        </w:rPr>
        <w:t>Defendant DataCore Systems, Inc. ("DataCore") is a Delaware corporation with its principal place of business at 750 Innovation Drive, Suite 300, Austin, Texas 78759. DataCore is a leading provider of cloud-based human resources technology solutions, serving clients nationwide under the leadership of its Chief Executive Officer, Rajesh Narayan. DataCore respectfully submits this Memorandum of Law in support of its Motion to Dismiss the meritless and opportunistic Complaint filed by Plaintiff Pinnacle Staffing Solutions, Inc. ("Pinnacle").</w:t>
      </w:r>
    </w:p>
    <w:p>
      <w:pPr>
        <w:spacing w:line="276" w:lineRule="auto" w:before="0" w:after="120"/>
        <w:jc w:val="both"/>
      </w:pPr>
      <w:r>
        <w:rPr>
          <w:rFonts w:ascii="Times New Roman" w:hAnsi="Times New Roman"/>
          <w:color w:val="000000"/>
          <w:sz w:val="22"/>
        </w:rPr>
        <w:t>Pinnacle is a Georgia corporation headquartered at 3200 Peachtree Road NE, Suite 1400, Atlanta, Georgia 30305. In 2022, Pinnacle — a sophisticated commercial enterprise generating approximately $48 million in annual revenue — freely entered into a negotiated Master Services Agreement ("MSA") with DataCore for the licensing and implementation of DataCore's TalentBridge workforce management platform. The MSA was executed on March 15, 2022, after months of arm's-length negotiations between the parties. Pinnacle was represented by competent counsel throughout the process and had every opportunity to negotiate the terms it desired.</w:t>
      </w:r>
    </w:p>
    <w:p>
      <w:pPr>
        <w:spacing w:line="276" w:lineRule="auto" w:before="0" w:after="120"/>
        <w:jc w:val="both"/>
      </w:pPr>
      <w:r>
        <w:rPr>
          <w:rFonts w:ascii="Times New Roman" w:hAnsi="Times New Roman"/>
          <w:color w:val="000000"/>
          <w:sz w:val="22"/>
        </w:rPr>
        <w:t>Now, dissatisfied with the business outcome of its own freely negotiated agreement, Pinnacle seeks to use this litigation to escape the contractual terms to which it willingly bound itself. Each of the four counts in the Complaint fails as a matter of law:</w:t>
      </w:r>
    </w:p>
    <w:p>
      <w:pPr>
        <w:spacing w:line="276" w:lineRule="auto" w:before="0" w:after="120"/>
        <w:jc w:val="both"/>
      </w:pPr>
      <w:r>
        <w:rPr>
          <w:rFonts w:ascii="Times New Roman" w:hAnsi="Times New Roman"/>
          <w:b/>
          <w:color w:val="000000"/>
          <w:sz w:val="22"/>
        </w:rPr>
        <w:t>Count I (Breach of Contract)</w:t>
      </w:r>
      <w:r>
        <w:rPr>
          <w:rFonts w:ascii="Times New Roman" w:hAnsi="Times New Roman"/>
          <w:color w:val="000000"/>
          <w:sz w:val="22"/>
        </w:rPr>
        <w:t xml:space="preserve"> is time-barred under the MSA's contractual limitations period (Section 9.4), which requires claims to be brought within one year of when the claimant knew or should have known of the alleged breach. Pinnacle discovered the issues it now complains of no later than August 2022, yet did not file suit until March 2024 — well beyond the contractual deadline. The claim is further barred by the MSA's limitation of liability provisions (Section 11.1) and consequential damages waiver (Section 11.2).</w:t>
      </w:r>
    </w:p>
    <w:p>
      <w:pPr>
        <w:spacing w:line="276" w:lineRule="auto" w:before="0" w:after="120"/>
        <w:jc w:val="both"/>
      </w:pPr>
      <w:r>
        <w:rPr>
          <w:rFonts w:ascii="Times New Roman" w:hAnsi="Times New Roman"/>
          <w:b/>
          <w:color w:val="000000"/>
          <w:sz w:val="22"/>
        </w:rPr>
        <w:t>Count II (Fraudulent Inducement)</w:t>
      </w:r>
      <w:r>
        <w:rPr>
          <w:rFonts w:ascii="Times New Roman" w:hAnsi="Times New Roman"/>
          <w:color w:val="000000"/>
          <w:sz w:val="22"/>
        </w:rPr>
        <w:t xml:space="preserve"> fails to plead fraud with the specificity and plausibility required under federal law. Pinnacle's purported fraud allegations are nothing more than generalized dissatisfaction with product performance, recast as fraud after the fact. The integration clause in Section 14.7 of the MSA forecloses any reliance on pre-contractual representations.</w:t>
      </w:r>
    </w:p>
    <w:p>
      <w:pPr>
        <w:spacing w:line="276" w:lineRule="auto" w:before="0" w:after="120"/>
        <w:jc w:val="both"/>
      </w:pPr>
      <w:r>
        <w:rPr>
          <w:rFonts w:ascii="Times New Roman" w:hAnsi="Times New Roman"/>
          <w:b/>
          <w:color w:val="000000"/>
          <w:sz w:val="22"/>
        </w:rPr>
        <w:t>Count III (Negligent Misrepresentation)</w:t>
      </w:r>
      <w:r>
        <w:rPr>
          <w:rFonts w:ascii="Times New Roman" w:hAnsi="Times New Roman"/>
          <w:color w:val="000000"/>
          <w:sz w:val="22"/>
        </w:rPr>
        <w:t xml:space="preserve"> is barred by the MSA's integration clause and by the economic loss rule, which precludes recovery in tort for purely economic losses arising from a contractual relationship.</w:t>
      </w:r>
    </w:p>
    <w:p>
      <w:pPr>
        <w:spacing w:line="276" w:lineRule="auto" w:before="0" w:after="120"/>
        <w:jc w:val="both"/>
      </w:pPr>
      <w:r>
        <w:rPr>
          <w:rFonts w:ascii="Times New Roman" w:hAnsi="Times New Roman"/>
          <w:b/>
          <w:color w:val="000000"/>
          <w:sz w:val="22"/>
        </w:rPr>
        <w:t>Count IV (Violation of the Georgia Uniform Deceptive Trade Practices Act)</w:t>
      </w:r>
      <w:r>
        <w:rPr>
          <w:rFonts w:ascii="Times New Roman" w:hAnsi="Times New Roman"/>
          <w:color w:val="000000"/>
          <w:sz w:val="22"/>
        </w:rPr>
        <w:t xml:space="preserve"> is duplicative of the contract claim, barred by the economic loss rule, and inapplicable where, as here, the parties have selected Texas law to govern their disputes.</w:t>
      </w:r>
    </w:p>
    <w:p>
      <w:pPr>
        <w:spacing w:line="276" w:lineRule="auto" w:before="0" w:after="120"/>
        <w:jc w:val="both"/>
      </w:pPr>
      <w:r>
        <w:rPr>
          <w:rFonts w:ascii="Times New Roman" w:hAnsi="Times New Roman"/>
          <w:color w:val="000000"/>
          <w:sz w:val="22"/>
        </w:rPr>
        <w:t>Moreover, this action has been filed in the wrong forum. The MSA contains a mandatory forum selection clause requiring all disputes to be resolved exclusively in the state or federal courts located in Travis County, Texas (Section 14.2). Pursuant to Section 14.3, Texas law governs all disputes arising under the Agreement, including each of the four counts asserted in the Complaint. The Northern District of Georgia is neither the contractually designated nor the proper forum for this dispute.</w:t>
      </w:r>
    </w:p>
    <w:p>
      <w:pPr>
        <w:spacing w:line="276" w:lineRule="auto" w:before="0" w:after="120"/>
        <w:jc w:val="both"/>
      </w:pPr>
      <w:r>
        <w:rPr>
          <w:rFonts w:ascii="Times New Roman" w:hAnsi="Times New Roman"/>
          <w:color w:val="000000"/>
          <w:sz w:val="22"/>
        </w:rPr>
        <w:t>For all of these reasons, DataCore moves to dismiss the Complaint in its entirety under Federal Rules of Civil Procedure 12(b)(1), 12(b)(2), 12(b)(3), and 12(b)(6).</w:t>
      </w:r>
    </w:p>
    <w:p>
      <w:r>
        <w:br w:type="page"/>
      </w:r>
    </w:p>
    <w:p>
      <w:pPr>
        <w:keepNext/>
        <w:spacing w:line="276" w:lineRule="auto" w:before="360" w:after="120"/>
        <w:jc w:val="left"/>
      </w:pPr>
      <w:r>
        <w:rPr>
          <w:rFonts w:ascii="Times New Roman" w:hAnsi="Times New Roman"/>
          <w:b/>
          <w:color w:val="000000"/>
          <w:sz w:val="22"/>
          <w:u w:val="single"/>
        </w:rPr>
        <w:t>II. STATEMENT OF FACTS</w:t>
      </w:r>
    </w:p>
    <w:p>
      <w:pPr>
        <w:spacing w:line="276" w:lineRule="auto" w:before="0" w:after="120"/>
        <w:jc w:val="both"/>
      </w:pPr>
      <w:r>
        <w:rPr>
          <w:rFonts w:ascii="Times New Roman" w:hAnsi="Times New Roman"/>
          <w:color w:val="000000"/>
          <w:sz w:val="22"/>
        </w:rPr>
        <w:t>The following facts are drawn from the Complaint and the MSA, which is referenced extensively in and integral to the Complaint. DataCore presents these facts as alleged by Pinnacle and as reflected in the parties' written agreement, framed in their proper context.</w:t>
      </w:r>
    </w:p>
    <w:p>
      <w:pPr>
        <w:keepNext/>
        <w:spacing w:line="276" w:lineRule="auto" w:before="200" w:after="80"/>
        <w:ind w:left="0"/>
      </w:pPr>
      <w:r>
        <w:rPr>
          <w:rFonts w:ascii="Times New Roman" w:hAnsi="Times New Roman"/>
          <w:b/>
          <w:color w:val="000000"/>
          <w:sz w:val="22"/>
        </w:rPr>
        <w:t>A. The Parties</w:t>
      </w:r>
    </w:p>
    <w:p>
      <w:pPr>
        <w:spacing w:line="276" w:lineRule="auto" w:before="0" w:after="120"/>
        <w:jc w:val="both"/>
      </w:pPr>
      <w:r>
        <w:rPr>
          <w:rFonts w:ascii="Times New Roman" w:hAnsi="Times New Roman"/>
          <w:color w:val="000000"/>
          <w:sz w:val="22"/>
        </w:rPr>
        <w:t>Plaintiff Pinnacle Staffing Solutions, Inc. is a Georgia corporation formed in 2011 and headquartered at 3200 Peachtree Road NE, Suite 1400, Atlanta, Georgia 30305. Pinnacle operates as a staffing company providing temporary and permanent placement services across the southeastern United States. According to the Complaint, Pinnacle is led by its Chief Executive Officer Margaret "Meg" Holliday and generated approximately $48 million in annual revenue in fiscal year 2023. Pinnacle is, by any measure, a sophisticated commercial enterprise with substantial resources and access to experienced legal and financial advisors.</w:t>
      </w:r>
    </w:p>
    <w:p>
      <w:pPr>
        <w:spacing w:line="276" w:lineRule="auto" w:before="0" w:after="120"/>
        <w:jc w:val="both"/>
      </w:pPr>
      <w:r>
        <w:rPr>
          <w:rFonts w:ascii="Times New Roman" w:hAnsi="Times New Roman"/>
          <w:color w:val="000000"/>
          <w:sz w:val="22"/>
        </w:rPr>
        <w:t>Defendant DataCore Systems, Inc. is a Delaware corporation with its principal place of business at 750 Innovation Drive, Suite 300, Austin, Texas 78759. DataCore provides cloud-based human resources technology solutions to enterprise clients throughout the United States. DataCore's flagship product is the TalentBridge platform, a comprehensive workforce management system designed to streamline staffing operations, applicant tracking, and payroll administration. DataCore is led by its Chief Executive Officer, Rajesh Narayan, and generated approximately $210 million in annual revenue in fiscal year 2023. DataCore's technology operations, engineering teams, corporate leadership, and primary business functions are based in Austin, Texas.</w:t>
      </w:r>
    </w:p>
    <w:p>
      <w:pPr>
        <w:spacing w:line="276" w:lineRule="auto" w:before="0" w:after="120"/>
        <w:jc w:val="both"/>
      </w:pPr>
      <w:r>
        <w:rPr>
          <w:rFonts w:ascii="Times New Roman" w:hAnsi="Times New Roman"/>
          <w:color w:val="000000"/>
          <w:sz w:val="22"/>
        </w:rPr>
        <w:t>Both parties are substantial, well-resourced business entities that engaged in a negotiated commercial transaction at arm's length.</w:t>
      </w:r>
    </w:p>
    <w:p>
      <w:pPr>
        <w:keepNext/>
        <w:spacing w:line="276" w:lineRule="auto" w:before="200" w:after="80"/>
        <w:ind w:left="0"/>
      </w:pPr>
      <w:r>
        <w:rPr>
          <w:rFonts w:ascii="Times New Roman" w:hAnsi="Times New Roman"/>
          <w:b/>
          <w:color w:val="000000"/>
          <w:sz w:val="22"/>
        </w:rPr>
        <w:t>B. The Sales Process and MSA Execution</w:t>
      </w:r>
    </w:p>
    <w:p>
      <w:pPr>
        <w:spacing w:line="276" w:lineRule="auto" w:before="0" w:after="120"/>
        <w:jc w:val="both"/>
      </w:pPr>
      <w:r>
        <w:rPr>
          <w:rFonts w:ascii="Times New Roman" w:hAnsi="Times New Roman"/>
          <w:color w:val="000000"/>
          <w:sz w:val="22"/>
        </w:rPr>
        <w:t>Between approximately December 2021 and February 2022, the parties engaged in sales discussions concerning Pinnacle's potential licensing of the TalentBridge platform. During this sales process, Victor Sousa, DataCore's Vice President of Sales for the Southeast Region, served as the primary sales contact. Mr. Sousa engaged with Cheryl Nance, Pinnacle's Chief Technology Officer, regarding the potential scope and implementation of the TalentBridge platform for Pinnacle's business needs.</w:t>
      </w:r>
    </w:p>
    <w:p>
      <w:pPr>
        <w:spacing w:line="276" w:lineRule="auto" w:before="0" w:after="120"/>
        <w:jc w:val="both"/>
      </w:pPr>
      <w:r>
        <w:rPr>
          <w:rFonts w:ascii="Times New Roman" w:hAnsi="Times New Roman"/>
          <w:color w:val="000000"/>
          <w:sz w:val="22"/>
        </w:rPr>
        <w:t>As part of typical pre-sale activities, DataCore's sales engineering team conducted product demonstrations for Pinnacle's personnel. Derek Baines, a DataCore sales engineer, conducted demonstrations on January 18, 2022, and February 7, 2022. These demonstrations, like all such product presentations, were intended to illustrate TalentBridge's general features and functionalities in a controlled demonstration environment. The Complaint references a January 10, 2022 email from Mr. Sousa to Ms. Nance regarding payroll integration capabilities, as well as a February 14, 2022 "Statement of Work Capabilities" document. These communications were part of the ordinary course of pre-sale discussions and marketing — the type of preliminary communications that occur routinely in enterprise software transactions. Such pre-sale materials do not constitute binding contractual commitments, as both parties understood at the time.</w:t>
      </w:r>
    </w:p>
    <w:p>
      <w:pPr>
        <w:spacing w:line="276" w:lineRule="auto" w:before="0" w:after="120"/>
        <w:jc w:val="both"/>
      </w:pPr>
      <w:r>
        <w:rPr>
          <w:rFonts w:ascii="Times New Roman" w:hAnsi="Times New Roman"/>
          <w:color w:val="000000"/>
          <w:sz w:val="22"/>
        </w:rPr>
        <w:t>On March 15, 2022, after extensive negotiation and review, the parties executed the Master Services Agreement. The MSA was signed by Victor Sousa on behalf of DataCore and by Cheryl Nance on behalf of Pinnacle. The MSA is a detailed, comprehensive, and professionally drafted commercial agreement reflecting the final, negotiated terms of the parties' relationship. Its key provisions include:</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Term and Subscription</w:t>
      </w:r>
      <w:r>
        <w:rPr>
          <w:rFonts w:ascii="Times New Roman" w:hAnsi="Times New Roman"/>
          <w:color w:val="000000"/>
          <w:sz w:val="22"/>
        </w:rPr>
        <w:t>: A five-year subscription period running from March 15, 2022, through March 14, 2027 (Section 2.1).</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Financial Terms</w:t>
      </w:r>
      <w:r>
        <w:rPr>
          <w:rFonts w:ascii="Times New Roman" w:hAnsi="Times New Roman"/>
          <w:color w:val="000000"/>
          <w:sz w:val="22"/>
        </w:rPr>
        <w:t>: An annual license fee of $432,000 per year ($36,000 per month), a one-time implementation fee of $175,000, and a total five-year contract value of $2,335,000 (Sections 3.1, 3.2).</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Integration Clause (Section 14.7)</w:t>
      </w:r>
      <w:r>
        <w:rPr>
          <w:rFonts w:ascii="Times New Roman" w:hAnsi="Times New Roman"/>
          <w:color w:val="000000"/>
          <w:sz w:val="22"/>
        </w:rPr>
        <w:t>: The MSA "constitutes the entire agreement between the parties and supersedes all prior and contemporaneous agreements, representations, warranties, and understandings, whether written or oral, relating to the subject matter hereof." This provision ensured that both parties understood the MSA — and only the MSA — defined the scope of their respective obligations.</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Forum Selection Clause (Section 14.2)</w:t>
      </w:r>
      <w:r>
        <w:rPr>
          <w:rFonts w:ascii="Times New Roman" w:hAnsi="Times New Roman"/>
          <w:color w:val="000000"/>
          <w:sz w:val="22"/>
        </w:rPr>
        <w:t>: "Any dispute arising out of or relating to this Agreement shall be resolved exclusively in the state or federal courts located in Travis County, Texas." The parties agreed to this exclusive forum, and Pinnacle does not allege that it was coerced or that this provision was the product of fraud, duress, or overreaching.</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Choice-of-Law Clause (Section 14.3)</w:t>
      </w:r>
      <w:r>
        <w:rPr>
          <w:rFonts w:ascii="Times New Roman" w:hAnsi="Times New Roman"/>
          <w:color w:val="000000"/>
          <w:sz w:val="22"/>
        </w:rPr>
        <w:t>: The MSA provides that Texas law governs all disputes "arising under this Agreement," without regard to conflict-of-laws principles.</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Limitation of Liability (Section 11.1)</w:t>
      </w:r>
      <w:r>
        <w:rPr>
          <w:rFonts w:ascii="Times New Roman" w:hAnsi="Times New Roman"/>
          <w:color w:val="000000"/>
          <w:sz w:val="22"/>
        </w:rPr>
        <w:t>: DataCore's total aggregate liability under the MSA is capped at "the fees paid by Customer during the twelve (12) months immediately preceding the event giving rise to the claim" — i.e., a maximum of $432,000.</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Consequential Damages Waiver (Section 11.2)</w:t>
      </w:r>
      <w:r>
        <w:rPr>
          <w:rFonts w:ascii="Times New Roman" w:hAnsi="Times New Roman"/>
          <w:color w:val="000000"/>
          <w:sz w:val="22"/>
        </w:rPr>
        <w:t>: Both parties expressly waived all claims for consequential, incidental, special, and punitive damages arising under or in connection with the Agreement.</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Contractual Limitations Period (Section 9.4)</w:t>
      </w:r>
      <w:r>
        <w:rPr>
          <w:rFonts w:ascii="Times New Roman" w:hAnsi="Times New Roman"/>
          <w:color w:val="000000"/>
          <w:sz w:val="22"/>
        </w:rPr>
        <w:t>: Any claim arising under the MSA must be brought within one (1) year from the date the claiming party "knew or should have known of the facts giving rise to such claim."</w:t>
      </w:r>
    </w:p>
    <w:p>
      <w:pPr>
        <w:spacing w:line="276" w:lineRule="auto" w:before="20" w:after="20"/>
        <w:ind w:left="432" w:hanging="360"/>
        <w:jc w:val="both"/>
      </w:pPr>
      <w:r>
        <w:rPr>
          <w:rFonts w:ascii="Times New Roman" w:hAnsi="Times New Roman"/>
          <w:color w:val="000000"/>
          <w:sz w:val="22"/>
        </w:rPr>
        <w:t xml:space="preserve">•  </w:t>
      </w:r>
      <w:r>
        <w:rPr>
          <w:rFonts w:ascii="Times New Roman" w:hAnsi="Times New Roman"/>
          <w:b/>
          <w:color w:val="000000"/>
          <w:sz w:val="22"/>
        </w:rPr>
        <w:t>Arbitration Carve-Out (Section 14.5)</w:t>
      </w:r>
      <w:r>
        <w:rPr>
          <w:rFonts w:ascii="Times New Roman" w:hAnsi="Times New Roman"/>
          <w:color w:val="000000"/>
          <w:sz w:val="22"/>
        </w:rPr>
        <w:t>: Disputes involving amounts under $50,000 are subject to binding arbitration; disputes exceeding that threshold are to be resolved through litigation in the courts designated by Section 14.2.</w:t>
      </w:r>
    </w:p>
    <w:p>
      <w:pPr>
        <w:spacing w:line="276" w:lineRule="auto" w:before="0" w:after="120"/>
        <w:jc w:val="both"/>
      </w:pPr>
      <w:r>
        <w:rPr>
          <w:rFonts w:ascii="Times New Roman" w:hAnsi="Times New Roman"/>
          <w:color w:val="000000"/>
          <w:sz w:val="22"/>
        </w:rPr>
        <w:t>These provisions were negotiated by sophisticated parties, and Pinnacle had ample opportunity to review, negotiate, and modify the terms before execution. Pinnacle does not allege that it was prevented from reading the MSA, that it was denied the opportunity to consult counsel, or that any material term was hidden or obscured.</w:t>
      </w:r>
    </w:p>
    <w:p>
      <w:pPr>
        <w:keepNext/>
        <w:spacing w:line="276" w:lineRule="auto" w:before="200" w:after="80"/>
        <w:ind w:left="0"/>
      </w:pPr>
      <w:r>
        <w:rPr>
          <w:rFonts w:ascii="Times New Roman" w:hAnsi="Times New Roman"/>
          <w:b/>
          <w:color w:val="000000"/>
          <w:sz w:val="22"/>
        </w:rPr>
        <w:t>C. Post-Implementation Events</w:t>
      </w:r>
    </w:p>
    <w:p>
      <w:pPr>
        <w:spacing w:line="276" w:lineRule="auto" w:before="0" w:after="120"/>
        <w:jc w:val="both"/>
      </w:pPr>
      <w:r>
        <w:rPr>
          <w:rFonts w:ascii="Times New Roman" w:hAnsi="Times New Roman"/>
          <w:color w:val="000000"/>
          <w:sz w:val="22"/>
        </w:rPr>
        <w:t>Following execution of the MSA, DataCore commenced implementation of the TalentBridge platform for Pinnacle. Implementation was completed on approximately June 30, 2022, in accordance with the project timeline contemplated by the parties.</w:t>
      </w:r>
    </w:p>
    <w:p>
      <w:pPr>
        <w:spacing w:line="276" w:lineRule="auto" w:before="0" w:after="120"/>
        <w:jc w:val="both"/>
      </w:pPr>
      <w:r>
        <w:rPr>
          <w:rFonts w:ascii="Times New Roman" w:hAnsi="Times New Roman"/>
          <w:color w:val="000000"/>
          <w:sz w:val="22"/>
        </w:rPr>
        <w:t>In August 2022, Pinnacle raised concerns to DataCore regarding the integration of the TalentBridge platform with Pinnacle's existing ADP payroll system. DataCore's engineering team promptly engaged with Pinnacle to investigate and address the reported issues. Subsequently, in November 2022, Pinnacle raised additional concerns regarding system latency when processing approximately 4,000 concurrent records.</w:t>
      </w:r>
    </w:p>
    <w:p>
      <w:pPr>
        <w:spacing w:line="276" w:lineRule="auto" w:before="0" w:after="120"/>
        <w:jc w:val="both"/>
      </w:pPr>
      <w:r>
        <w:rPr>
          <w:rFonts w:ascii="Times New Roman" w:hAnsi="Times New Roman"/>
          <w:color w:val="000000"/>
          <w:sz w:val="22"/>
        </w:rPr>
        <w:t>On December 5, 2022, Pinnacle sent a formal notice letter to DataCore documenting its concerns about both the ADP integration issue and the latency performance. DataCore took these concerns seriously and initiated a thorough technical review. On January 12, 2023, DataCore's Chief Technology Officer, Anil Subramanian, sent an email to Pinnacle acknowledging certain performance limitations and outlining DataCore's plan to develop and deploy a software patch to address the reported issues. This email reflected DataCore's good-faith commitment to customer satisfaction and its ongoing efforts to resolve technical challenges encountered during the implementation — challenges that are not uncommon in complex enterprise software deployments.</w:t>
      </w:r>
    </w:p>
    <w:p>
      <w:pPr>
        <w:spacing w:line="276" w:lineRule="auto" w:before="0" w:after="120"/>
        <w:jc w:val="both"/>
      </w:pPr>
      <w:r>
        <w:rPr>
          <w:rFonts w:ascii="Times New Roman" w:hAnsi="Times New Roman"/>
          <w:color w:val="000000"/>
          <w:sz w:val="22"/>
        </w:rPr>
        <w:t>DataCore's engineering team developed and delivered a software patch on April 15, 2023. The patch improved system performance to approximately 7,500 concurrent records, representing a significant enhancement over the previously reported performance levels. DataCore continued to work cooperatively with Pinnacle to optimize the platform's performance within Pinnacle's specific operating environment.</w:t>
      </w:r>
    </w:p>
    <w:p>
      <w:pPr>
        <w:spacing w:line="276" w:lineRule="auto" w:before="0" w:after="120"/>
        <w:jc w:val="both"/>
      </w:pPr>
      <w:r>
        <w:rPr>
          <w:rFonts w:ascii="Times New Roman" w:hAnsi="Times New Roman"/>
          <w:color w:val="000000"/>
          <w:sz w:val="22"/>
        </w:rPr>
        <w:t>Throughout this period — from implementation through the end of 2023 — Pinnacle continued to actively use the TalentBridge platform in its daily operations and continued to pay the monthly license fee of $36,000 without interruption. In total, Pinnacle paid DataCore $756,000 in license fees (representing 21 monthly payments from approximately April 2022 through December 2023) plus the $175,000 one-time implementation fee, for total payments of $931,000.</w:t>
      </w:r>
    </w:p>
    <w:p>
      <w:pPr>
        <w:spacing w:line="276" w:lineRule="auto" w:before="0" w:after="120"/>
        <w:jc w:val="both"/>
      </w:pPr>
      <w:r>
        <w:rPr>
          <w:rFonts w:ascii="Times New Roman" w:hAnsi="Times New Roman"/>
          <w:color w:val="000000"/>
          <w:sz w:val="22"/>
        </w:rPr>
        <w:t>Pinnacle ceased making monthly license payments beginning January 1, 2024. On January 15, 2024, Pinnacle sent DataCore a notice of termination. DataCore contends that Pinnacle's unilateral termination constitutes a material breach of the MSA, and that Pinnacle owes $432,000 in unpaid license fees for the twelve-month period from January through December 2024 (12 months × $36,000/month).</w:t>
      </w:r>
    </w:p>
    <w:p>
      <w:pPr>
        <w:keepNext/>
        <w:spacing w:line="276" w:lineRule="auto" w:before="200" w:after="80"/>
        <w:ind w:left="0"/>
      </w:pPr>
      <w:r>
        <w:rPr>
          <w:rFonts w:ascii="Times New Roman" w:hAnsi="Times New Roman"/>
          <w:b/>
          <w:color w:val="000000"/>
          <w:sz w:val="22"/>
        </w:rPr>
        <w:t>D. This Litigation</w:t>
      </w:r>
    </w:p>
    <w:p>
      <w:pPr>
        <w:spacing w:line="276" w:lineRule="auto" w:before="0" w:after="120"/>
        <w:jc w:val="both"/>
      </w:pPr>
      <w:r>
        <w:rPr>
          <w:rFonts w:ascii="Times New Roman" w:hAnsi="Times New Roman"/>
          <w:color w:val="000000"/>
          <w:sz w:val="22"/>
        </w:rPr>
        <w:t xml:space="preserve">On March 22, 2024, Pinnacle filed the Complaint in this action in the United States District Court for the Northern District of Georgia, Atlanta Division, asserting diversity jurisdiction under 28 U.S.C. § 1332. The Complaint asserts four counts: Count I (Breach of Contract), Count II (Fraudulent Inducement), Count III (Negligent Misrepresentation), and Count IV (Violation of the Georgia Uniform Deceptive Trade Practices Act, O.C.G.A. § 10-1-370 </w:t>
      </w:r>
      <w:r>
        <w:rPr>
          <w:rFonts w:ascii="Times New Roman" w:hAnsi="Times New Roman"/>
          <w:i/>
          <w:color w:val="000000"/>
          <w:sz w:val="22"/>
        </w:rPr>
        <w:t>et seq.</w:t>
      </w:r>
      <w:r>
        <w:rPr>
          <w:rFonts w:ascii="Times New Roman" w:hAnsi="Times New Roman"/>
          <w:color w:val="000000"/>
          <w:sz w:val="22"/>
        </w:rPr>
        <w:t>).</w:t>
      </w:r>
    </w:p>
    <w:p>
      <w:pPr>
        <w:spacing w:line="276" w:lineRule="auto" w:before="0" w:after="120"/>
        <w:jc w:val="both"/>
      </w:pPr>
      <w:r>
        <w:rPr>
          <w:rFonts w:ascii="Times New Roman" w:hAnsi="Times New Roman"/>
          <w:color w:val="000000"/>
          <w:sz w:val="22"/>
        </w:rPr>
        <w:t>Pinnacle seeks damages in the following categories: $2,335,000 in "actual damages" (representing the total contract value), $931,000 in "reliance damages" (representing fees already paid), $1,200,000 in "consequential damages" (allegedly representing replacement system costs and lost business, purportedly quantified by Pinnacle's auditor, Greenleaf Accounting Group), punitive damages on the fraudulent inducement count, and attorneys' fees. Pinnacle is represented by Katherine "Kate" Ashford of Ashford, Clement &amp; Yates LLP, 191 Peachtree Street NE, Suite 3600, Atlanta, Georgia 30303.</w:t>
      </w:r>
    </w:p>
    <w:p>
      <w:r>
        <w:br w:type="page"/>
      </w:r>
    </w:p>
    <w:p>
      <w:pPr>
        <w:keepNext/>
        <w:spacing w:line="276" w:lineRule="auto" w:before="360" w:after="120"/>
        <w:jc w:val="left"/>
      </w:pPr>
      <w:r>
        <w:rPr>
          <w:rFonts w:ascii="Times New Roman" w:hAnsi="Times New Roman"/>
          <w:b/>
          <w:color w:val="000000"/>
          <w:sz w:val="22"/>
          <w:u w:val="single"/>
        </w:rPr>
        <w:t>III. LEGAL STANDARD</w:t>
      </w:r>
    </w:p>
    <w:p>
      <w:pPr>
        <w:spacing w:line="276" w:lineRule="auto" w:before="0" w:after="120"/>
        <w:jc w:val="both"/>
      </w:pPr>
      <w:r>
        <w:rPr>
          <w:rFonts w:ascii="Times New Roman" w:hAnsi="Times New Roman"/>
          <w:color w:val="000000"/>
          <w:sz w:val="22"/>
        </w:rPr>
        <w:t>The standards governing a motion to dismiss under the Federal Rules of Civil Procedure are well established.</w:t>
      </w:r>
    </w:p>
    <w:p>
      <w:pPr>
        <w:spacing w:line="276" w:lineRule="auto" w:before="0" w:after="120"/>
        <w:jc w:val="both"/>
      </w:pPr>
      <w:r>
        <w:rPr>
          <w:rFonts w:ascii="Times New Roman" w:hAnsi="Times New Roman"/>
          <w:b/>
          <w:color w:val="000000"/>
          <w:sz w:val="22"/>
        </w:rPr>
        <w:t>Rule 12(b)(1) — Subject Matter Jurisdiction.</w:t>
      </w:r>
      <w:r>
        <w:rPr>
          <w:rFonts w:ascii="Times New Roman" w:hAnsi="Times New Roman"/>
          <w:color w:val="000000"/>
          <w:sz w:val="22"/>
        </w:rPr>
        <w:t xml:space="preserve"> Federal Rule of Civil Procedure 12(b)(1) permits dismissal of a complaint for lack of subject matter jurisdiction. The plaintiff bears the burden of establishing the existence of subject matter jurisdiction. </w:t>
      </w:r>
      <w:r>
        <w:rPr>
          <w:rFonts w:ascii="Times New Roman" w:hAnsi="Times New Roman"/>
          <w:i/>
          <w:color w:val="000000"/>
          <w:sz w:val="22"/>
        </w:rPr>
        <w:t>See Ishler v. Internal Revenue</w:t>
      </w:r>
      <w:r>
        <w:rPr>
          <w:rFonts w:ascii="Times New Roman" w:hAnsi="Times New Roman"/>
          <w:color w:val="000000"/>
          <w:sz w:val="22"/>
        </w:rPr>
        <w:t>, 237 F. App'x 394, 395 (11th Cir. 2007). The court may consider matters outside the pleadings, such as testimony and affidavits, when resolving a factual challenge to subject matter jurisdiction. Where the defendant raises a facial challenge, the court must accept the allegations in the complaint as true and determine whether they are sufficient to invoke the court's jurisdiction.</w:t>
      </w:r>
    </w:p>
    <w:p>
      <w:pPr>
        <w:spacing w:line="276" w:lineRule="auto" w:before="0" w:after="120"/>
        <w:jc w:val="both"/>
      </w:pPr>
      <w:r>
        <w:rPr>
          <w:rFonts w:ascii="Times New Roman" w:hAnsi="Times New Roman"/>
          <w:b/>
          <w:color w:val="000000"/>
          <w:sz w:val="22"/>
        </w:rPr>
        <w:t>Rule 12(b)(2) — Personal Jurisdiction.</w:t>
      </w:r>
      <w:r>
        <w:rPr>
          <w:rFonts w:ascii="Times New Roman" w:hAnsi="Times New Roman"/>
          <w:color w:val="000000"/>
          <w:sz w:val="22"/>
        </w:rPr>
        <w:t xml:space="preserve"> A motion to dismiss under Rule 12(b)(2) challenges the court's exercise of personal jurisdiction over the defendant. Once the defendant raises a jurisdictional challenge supported by affidavits or other evidence, the burden shifts to the plaintiff to establish a prima facie case of personal jurisdiction. </w:t>
      </w:r>
      <w:r>
        <w:rPr>
          <w:rFonts w:ascii="Times New Roman" w:hAnsi="Times New Roman"/>
          <w:i/>
          <w:color w:val="000000"/>
          <w:sz w:val="22"/>
        </w:rPr>
        <w:t>See Walker v. BuildDirect.com Techs., Inc.</w:t>
      </w:r>
      <w:r>
        <w:rPr>
          <w:rFonts w:ascii="Times New Roman" w:hAnsi="Times New Roman"/>
          <w:color w:val="000000"/>
          <w:sz w:val="22"/>
        </w:rPr>
        <w:t xml:space="preserve">, 733 F.3d 1001, 1005 (11th Cir. 2013). A federal court sitting in diversity may exercise personal jurisdiction over a nonresident defendant only to the extent permitted by the forum state's long-arm statute and the Due Process Clause of the Fourteenth Amendment. </w:t>
      </w:r>
      <w:r>
        <w:rPr>
          <w:rFonts w:ascii="Times New Roman" w:hAnsi="Times New Roman"/>
          <w:i/>
          <w:color w:val="000000"/>
          <w:sz w:val="22"/>
        </w:rPr>
        <w:t>International Shoe Co. v. Washington</w:t>
      </w:r>
      <w:r>
        <w:rPr>
          <w:rFonts w:ascii="Times New Roman" w:hAnsi="Times New Roman"/>
          <w:color w:val="000000"/>
          <w:sz w:val="22"/>
        </w:rPr>
        <w:t xml:space="preserve">, 326 U.S. 310, 316 (1945); </w:t>
      </w:r>
      <w:r>
        <w:rPr>
          <w:rFonts w:ascii="Times New Roman" w:hAnsi="Times New Roman"/>
          <w:i/>
          <w:color w:val="000000"/>
          <w:sz w:val="22"/>
        </w:rPr>
        <w:t>Burger King Corp. v. Rudzewicz</w:t>
      </w:r>
      <w:r>
        <w:rPr>
          <w:rFonts w:ascii="Times New Roman" w:hAnsi="Times New Roman"/>
          <w:color w:val="000000"/>
          <w:sz w:val="22"/>
        </w:rPr>
        <w:t>, 471 U.S. 462, 471–72 (1985). The court must determine whether the defendant has sufficient minimum contacts with the forum state such that the maintenance of the suit does not offend traditional notions of fair play and substantial justice.</w:t>
      </w:r>
    </w:p>
    <w:p>
      <w:pPr>
        <w:spacing w:line="276" w:lineRule="auto" w:before="0" w:after="120"/>
        <w:jc w:val="both"/>
      </w:pPr>
      <w:r>
        <w:rPr>
          <w:rFonts w:ascii="Times New Roman" w:hAnsi="Times New Roman"/>
          <w:b/>
          <w:color w:val="000000"/>
          <w:sz w:val="22"/>
        </w:rPr>
        <w:t>Rule 12(b)(3) — Improper Venue.</w:t>
      </w:r>
      <w:r>
        <w:rPr>
          <w:rFonts w:ascii="Times New Roman" w:hAnsi="Times New Roman"/>
          <w:color w:val="000000"/>
          <w:sz w:val="22"/>
        </w:rPr>
        <w:t xml:space="preserve"> A motion under Rule 12(b)(3) challenges venue as improper under 28 U.S.C. § 1391 or as inconsistent with a contractual forum selection clause. When a party moves to dismiss on the basis of a forum selection clause, the court must determine whether the clause is mandatory or permissive, whether the dispute falls within the scope of the clause, and whether enforcement would be unreasonable or unjust. The moving party bears the burden of establishing that venue is improper. Where the parties have agreed to a mandatory forum selection clause, the clause is entitled to substantial deference and should be enforced absent a strong showing that enforcement would be unreasonable or unjust.</w:t>
      </w:r>
    </w:p>
    <w:p>
      <w:pPr>
        <w:spacing w:line="276" w:lineRule="auto" w:before="0" w:after="120"/>
        <w:jc w:val="both"/>
      </w:pPr>
      <w:r>
        <w:rPr>
          <w:rFonts w:ascii="Times New Roman" w:hAnsi="Times New Roman"/>
          <w:b/>
          <w:color w:val="000000"/>
          <w:sz w:val="22"/>
        </w:rPr>
        <w:t>Rule 12(b)(6) — Failure to State a Claim.</w:t>
      </w:r>
      <w:r>
        <w:rPr>
          <w:rFonts w:ascii="Times New Roman" w:hAnsi="Times New Roman"/>
          <w:color w:val="000000"/>
          <w:sz w:val="22"/>
        </w:rPr>
        <w:t xml:space="preserve"> Under Rule 12(b)(6), a complaint must be dismissed if it fails to state a claim upon which relief can be granted. To survive a motion to dismiss, a complaint must contain "enough facts to state a claim to relief that is plausible on its face." </w:t>
      </w:r>
      <w:r>
        <w:rPr>
          <w:rFonts w:ascii="Times New Roman" w:hAnsi="Times New Roman"/>
          <w:i/>
          <w:color w:val="000000"/>
          <w:sz w:val="22"/>
        </w:rPr>
        <w:t>Bell Atlantic Corp. v. Twombly</w:t>
      </w:r>
      <w:r>
        <w:rPr>
          <w:rFonts w:ascii="Times New Roman" w:hAnsi="Times New Roman"/>
          <w:color w:val="000000"/>
          <w:sz w:val="22"/>
        </w:rPr>
        <w:t xml:space="preserve">, 550 U.S. 544, 570 (2007). A claim has facial plausibility "when the plaintiff pleads factual content that allows the court to draw the reasonable inference that the defendant is liable for the misconduct alleged." </w:t>
      </w:r>
      <w:r>
        <w:rPr>
          <w:rFonts w:ascii="Times New Roman" w:hAnsi="Times New Roman"/>
          <w:i/>
          <w:color w:val="000000"/>
          <w:sz w:val="22"/>
        </w:rPr>
        <w:t>Ashcroft v. Iqbal</w:t>
      </w:r>
      <w:r>
        <w:rPr>
          <w:rFonts w:ascii="Times New Roman" w:hAnsi="Times New Roman"/>
          <w:color w:val="000000"/>
          <w:sz w:val="22"/>
        </w:rPr>
        <w:t xml:space="preserve">, 556 U.S. 662, 678 (2009). The court must accept all well-pleaded factual allegations as true and draw all reasonable inferences in the plaintiff's favor. However, the court need not accept "legal conclusions" couched as factual allegations. </w:t>
      </w:r>
      <w:r>
        <w:rPr>
          <w:rFonts w:ascii="Times New Roman" w:hAnsi="Times New Roman"/>
          <w:i/>
          <w:color w:val="000000"/>
          <w:sz w:val="22"/>
        </w:rPr>
        <w:t>Id.</w:t>
      </w:r>
      <w:r>
        <w:rPr>
          <w:rFonts w:ascii="Times New Roman" w:hAnsi="Times New Roman"/>
          <w:color w:val="000000"/>
          <w:sz w:val="22"/>
        </w:rPr>
        <w:t xml:space="preserve"> at 678. "Threadbare recitals of the elements of a cause of action, supported by mere conclusory statements, do not suffice." </w:t>
      </w:r>
      <w:r>
        <w:rPr>
          <w:rFonts w:ascii="Times New Roman" w:hAnsi="Times New Roman"/>
          <w:i/>
          <w:color w:val="000000"/>
          <w:sz w:val="22"/>
        </w:rPr>
        <w:t>Id.</w:t>
      </w:r>
      <w:r>
        <w:rPr>
          <w:rFonts w:ascii="Times New Roman" w:hAnsi="Times New Roman"/>
          <w:color w:val="000000"/>
          <w:sz w:val="22"/>
        </w:rPr>
        <w:t xml:space="preserve"> In conducting this analysis, the court may consider the complaint, documents incorporated by reference, and matters subject to judicial notice, including the MSA, which is integral to the Complaint.</w:t>
      </w:r>
    </w:p>
    <w:p>
      <w:r>
        <w:br w:type="page"/>
      </w:r>
    </w:p>
    <w:p>
      <w:pPr>
        <w:keepNext/>
        <w:spacing w:line="276" w:lineRule="auto" w:before="360" w:after="120"/>
        <w:jc w:val="left"/>
      </w:pPr>
      <w:r>
        <w:rPr>
          <w:rFonts w:ascii="Times New Roman" w:hAnsi="Times New Roman"/>
          <w:b/>
          <w:color w:val="000000"/>
          <w:sz w:val="22"/>
          <w:u w:val="single"/>
        </w:rPr>
        <w:t>IV. ARGUMENT</w:t>
      </w:r>
    </w:p>
    <w:p>
      <w:pPr>
        <w:keepNext/>
        <w:spacing w:line="276" w:lineRule="auto" w:before="200" w:after="80"/>
        <w:ind w:left="0"/>
      </w:pPr>
      <w:r>
        <w:rPr>
          <w:rFonts w:ascii="Times New Roman" w:hAnsi="Times New Roman"/>
          <w:b/>
          <w:color w:val="000000"/>
          <w:sz w:val="22"/>
        </w:rPr>
        <w:t>A. The Complaint Should Be Dismissed Under Rule 12(b)(1) for Lack of Subject Matter Jurisdiction</w:t>
      </w:r>
    </w:p>
    <w:p>
      <w:pPr>
        <w:spacing w:line="276" w:lineRule="auto" w:before="0" w:after="120"/>
        <w:jc w:val="both"/>
      </w:pPr>
      <w:r>
        <w:rPr>
          <w:rFonts w:ascii="Times New Roman" w:hAnsi="Times New Roman"/>
          <w:color w:val="000000"/>
          <w:sz w:val="22"/>
        </w:rPr>
        <w:t>DataCore briefly notes that Pinnacle's damages allegations raise questions about the amount in controversy required for diversity jurisdiction under 28 U.S.C. § 1332. Although Pinnacle asserts total damages of approximately $4,466,000 (including $2,335,000 in "actual damages," $931,000 in "reliance damages," $1,200,000 in "consequential damages," and unspecified punitive damages), these figures are speculative and inflated.</w:t>
      </w:r>
    </w:p>
    <w:p>
      <w:pPr>
        <w:spacing w:line="276" w:lineRule="auto" w:before="0" w:after="120"/>
        <w:jc w:val="both"/>
      </w:pPr>
      <w:r>
        <w:rPr>
          <w:rFonts w:ascii="Times New Roman" w:hAnsi="Times New Roman"/>
          <w:color w:val="000000"/>
          <w:sz w:val="22"/>
        </w:rPr>
        <w:t>In particular, the $1,200,000 consequential damages figure is entirely unsupported by the Complaint's factual allegations. Pinnacle vaguely attributes this sum to "replacement system costs" and "lost business," purportedly quantified by its auditor, Greenleaf Accounting Group, but the Complaint provides no factual basis for these figures beyond conclusory assertions. Similarly, Pinnacle's suggestion that its lending relationship with Harmon Ridge Capital was adversely affected by the TalentBridge implementation issues is speculative and lacks any factual predicate in the Complaint.</w:t>
      </w:r>
    </w:p>
    <w:p>
      <w:pPr>
        <w:spacing w:line="276" w:lineRule="auto" w:before="0" w:after="120"/>
        <w:jc w:val="both"/>
      </w:pPr>
      <w:r>
        <w:rPr>
          <w:rFonts w:ascii="Times New Roman" w:hAnsi="Times New Roman"/>
          <w:color w:val="000000"/>
          <w:sz w:val="22"/>
        </w:rPr>
        <w:t>DataCore acknowledges that the legal standard for challenging the amount in controversy at the pleading stage is a demanding one, and that the amount in controversy likely exceeds the $75,000 threshold required by 28 U.S.C. § 1332(a). Accordingly, DataCore does not formally move to dismiss on this ground at this time.¹</w:t>
      </w:r>
    </w:p>
    <w:p>
      <w:pPr>
        <w:spacing w:line="276" w:lineRule="auto" w:before="0" w:after="120"/>
        <w:jc w:val="both"/>
      </w:pPr>
      <w:r>
        <w:rPr>
          <w:rFonts w:ascii="Times New Roman" w:hAnsi="Times New Roman"/>
          <w:color w:val="000000"/>
          <w:sz w:val="22"/>
        </w:rPr>
        <w:t>Nevertheless, the inflated and speculative nature of Pinnacle's damages allegations is relevant context for this Court's consideration of the adequacy of the pleadings under Rule 12(b)(6), as discussed in Section IV.D below.</w:t>
      </w:r>
    </w:p>
    <w:p>
      <w:pPr>
        <w:spacing w:line="276" w:lineRule="auto" w:before="0" w:after="120"/>
        <w:jc w:val="both"/>
      </w:pPr>
      <w:r>
        <w:rPr>
          <w:rFonts w:ascii="Times New Roman" w:hAnsi="Times New Roman"/>
          <w:color w:val="000000"/>
          <w:sz w:val="22"/>
        </w:rPr>
        <w:t>&gt; ¹ DataCore reserves the right to challenge the amount in controversy at a later stage of these proceedings should discovery reveal that Pinnacle's damages cannot be substantiated at the levels alleged in the Complaint.</w:t>
      </w:r>
    </w:p>
    <w:p>
      <w:pPr>
        <w:keepNext/>
        <w:spacing w:line="276" w:lineRule="auto" w:before="200" w:after="80"/>
        <w:ind w:left="0"/>
      </w:pPr>
      <w:r>
        <w:rPr>
          <w:rFonts w:ascii="Times New Roman" w:hAnsi="Times New Roman"/>
          <w:b/>
          <w:color w:val="000000"/>
          <w:sz w:val="22"/>
        </w:rPr>
        <w:t>B. The Complaint Should Be Dismissed Under Rule 12(b)(2) for Lack of Personal Jurisdiction</w:t>
      </w:r>
    </w:p>
    <w:p>
      <w:pPr>
        <w:spacing w:line="276" w:lineRule="auto" w:before="0" w:after="120"/>
        <w:jc w:val="both"/>
      </w:pPr>
      <w:r>
        <w:rPr>
          <w:rFonts w:ascii="Times New Roman" w:hAnsi="Times New Roman"/>
          <w:color w:val="000000"/>
          <w:sz w:val="22"/>
        </w:rPr>
        <w:t>This Court lacks personal jurisdiction over DataCore. The Complaint should be dismissed under Federal Rule of Civil Procedure 12(b)(2) because DataCore has insufficient contacts with the State of Georgia to support the exercise of jurisdiction.²</w:t>
      </w:r>
    </w:p>
    <w:p>
      <w:pPr>
        <w:spacing w:line="276" w:lineRule="auto" w:before="0" w:after="120"/>
        <w:jc w:val="both"/>
      </w:pPr>
      <w:r>
        <w:rPr>
          <w:rFonts w:ascii="Times New Roman" w:hAnsi="Times New Roman"/>
          <w:color w:val="000000"/>
          <w:sz w:val="22"/>
        </w:rPr>
        <w:t>&gt; ² DataCore does not consent to personal jurisdiction in Georgia by filing this Motion or by appearing through local counsel Shannon Pryor of Braxton Cole LLP. DataCore's appearance in this action is solely for the purpose of challenging jurisdiction, venue, and the sufficiency of the pleadings.</w:t>
      </w:r>
    </w:p>
    <w:p>
      <w:pPr>
        <w:spacing w:line="276" w:lineRule="auto" w:before="0" w:after="120"/>
        <w:jc w:val="both"/>
      </w:pPr>
      <w:r>
        <w:rPr>
          <w:rFonts w:ascii="Times New Roman" w:hAnsi="Times New Roman"/>
          <w:color w:val="000000"/>
          <w:sz w:val="22"/>
        </w:rPr>
        <w:t xml:space="preserve">Under the Due Process Clause of the Fourteenth Amendment, a court may exercise personal jurisdiction over an out-of-state defendant only where the defendant has sufficient minimum contacts with the forum state. </w:t>
      </w:r>
      <w:r>
        <w:rPr>
          <w:rFonts w:ascii="Times New Roman" w:hAnsi="Times New Roman"/>
          <w:i/>
          <w:color w:val="000000"/>
          <w:sz w:val="22"/>
        </w:rPr>
        <w:t>International Shoe Co. v. Washington</w:t>
      </w:r>
      <w:r>
        <w:rPr>
          <w:rFonts w:ascii="Times New Roman" w:hAnsi="Times New Roman"/>
          <w:color w:val="000000"/>
          <w:sz w:val="22"/>
        </w:rPr>
        <w:t xml:space="preserve">, 326 U.S. 310, 316 (1945). For purposes of general jurisdiction, the Supreme Court has held that a corporation is subject to suit in a forum only where its contacts are "so continuous and systematic as to render [it] essentially at home in the forum State." </w:t>
      </w:r>
      <w:r>
        <w:rPr>
          <w:rFonts w:ascii="Times New Roman" w:hAnsi="Times New Roman"/>
          <w:i/>
          <w:color w:val="000000"/>
          <w:sz w:val="22"/>
        </w:rPr>
        <w:t>Daimler AG v. Bauman</w:t>
      </w:r>
      <w:r>
        <w:rPr>
          <w:rFonts w:ascii="Times New Roman" w:hAnsi="Times New Roman"/>
          <w:color w:val="000000"/>
          <w:sz w:val="22"/>
        </w:rPr>
        <w:t xml:space="preserve">, 571 U.S. 117, 127 (2014) (quoting </w:t>
      </w:r>
      <w:r>
        <w:rPr>
          <w:rFonts w:ascii="Times New Roman" w:hAnsi="Times New Roman"/>
          <w:i/>
          <w:color w:val="000000"/>
          <w:sz w:val="22"/>
        </w:rPr>
        <w:t>Goodyear Dunlop Tires Operations, S.A. v. Brown</w:t>
      </w:r>
      <w:r>
        <w:rPr>
          <w:rFonts w:ascii="Times New Roman" w:hAnsi="Times New Roman"/>
          <w:color w:val="000000"/>
          <w:sz w:val="22"/>
        </w:rPr>
        <w:t>, 564 U.S. 915, 919 (2011)).</w:t>
      </w:r>
    </w:p>
    <w:p>
      <w:pPr>
        <w:spacing w:line="276" w:lineRule="auto" w:before="0" w:after="120"/>
        <w:jc w:val="both"/>
      </w:pPr>
      <w:r>
        <w:rPr>
          <w:rFonts w:ascii="Times New Roman" w:hAnsi="Times New Roman"/>
          <w:color w:val="000000"/>
          <w:sz w:val="22"/>
        </w:rPr>
        <w:t xml:space="preserve">The Supreme Court in </w:t>
      </w:r>
      <w:r>
        <w:rPr>
          <w:rFonts w:ascii="Times New Roman" w:hAnsi="Times New Roman"/>
          <w:i/>
          <w:color w:val="000000"/>
          <w:sz w:val="22"/>
        </w:rPr>
        <w:t>Daimler</w:t>
      </w:r>
      <w:r>
        <w:rPr>
          <w:rFonts w:ascii="Times New Roman" w:hAnsi="Times New Roman"/>
          <w:color w:val="000000"/>
          <w:sz w:val="22"/>
        </w:rPr>
        <w:t xml:space="preserve"> made clear that, for a corporation, the paradigmatic bases for general jurisdiction are the state of incorporation and the state where the corporation maintains its principal place of business. </w:t>
      </w:r>
      <w:r>
        <w:rPr>
          <w:rFonts w:ascii="Times New Roman" w:hAnsi="Times New Roman"/>
          <w:i/>
          <w:color w:val="000000"/>
          <w:sz w:val="22"/>
        </w:rPr>
        <w:t>Id.</w:t>
      </w:r>
      <w:r>
        <w:rPr>
          <w:rFonts w:ascii="Times New Roman" w:hAnsi="Times New Roman"/>
          <w:color w:val="000000"/>
          <w:sz w:val="22"/>
        </w:rPr>
        <w:t xml:space="preserve"> at 137. Only in an "exceptional case" will a corporation's contacts with a forum other than its place of incorporation or principal place of business be so substantial as to render it "at home" there. </w:t>
      </w:r>
      <w:r>
        <w:rPr>
          <w:rFonts w:ascii="Times New Roman" w:hAnsi="Times New Roman"/>
          <w:i/>
          <w:color w:val="000000"/>
          <w:sz w:val="22"/>
        </w:rPr>
        <w:t>Id.</w:t>
      </w:r>
      <w:r>
        <w:rPr>
          <w:rFonts w:ascii="Times New Roman" w:hAnsi="Times New Roman"/>
          <w:color w:val="000000"/>
          <w:sz w:val="22"/>
        </w:rPr>
        <w:t xml:space="preserve"> at 139 n.19. The Court emphasized that the general jurisdiction inquiry is not merely whether a defendant conducts business in the forum state but whether the defendant's "affiliations with the State are so 'continuous and systematic' as to render [it] essentially at home." </w:t>
      </w:r>
      <w:r>
        <w:rPr>
          <w:rFonts w:ascii="Times New Roman" w:hAnsi="Times New Roman"/>
          <w:i/>
          <w:color w:val="000000"/>
          <w:sz w:val="22"/>
        </w:rPr>
        <w:t>Id.</w:t>
      </w:r>
      <w:r>
        <w:rPr>
          <w:rFonts w:ascii="Times New Roman" w:hAnsi="Times New Roman"/>
          <w:color w:val="000000"/>
          <w:sz w:val="22"/>
        </w:rPr>
        <w:t xml:space="preserve"> at 138–39.</w:t>
      </w:r>
    </w:p>
    <w:p>
      <w:pPr>
        <w:spacing w:line="276" w:lineRule="auto" w:before="0" w:after="120"/>
        <w:jc w:val="both"/>
      </w:pPr>
      <w:r>
        <w:rPr>
          <w:rFonts w:ascii="Times New Roman" w:hAnsi="Times New Roman"/>
          <w:color w:val="000000"/>
          <w:sz w:val="22"/>
        </w:rPr>
        <w:t xml:space="preserve">Applying these principles, it is clear that this Court cannot exercise jurisdiction over DataCore. DataCore is incorporated in the State of Delaware. Its principal place of business is at 750 Innovation Drive, Suite 300, Austin, Texas 78759. DataCore's corporate headquarters, executive leadership, engineering teams, and primary business operations are all located in Austin, Texas. The Declaration of Thomas Whitford, submitted herewith, authenticates DataCore's corporate records confirming its Delaware incorporation and Texas principal place of business. </w:t>
      </w:r>
      <w:r>
        <w:rPr>
          <w:rFonts w:ascii="Times New Roman" w:hAnsi="Times New Roman"/>
          <w:i/>
          <w:color w:val="000000"/>
          <w:sz w:val="22"/>
        </w:rPr>
        <w:t>See</w:t>
      </w:r>
      <w:r>
        <w:rPr>
          <w:rFonts w:ascii="Times New Roman" w:hAnsi="Times New Roman"/>
          <w:color w:val="000000"/>
          <w:sz w:val="22"/>
        </w:rPr>
        <w:t xml:space="preserve"> Declaration of Thomas Whitford, ¶¶ 3–5.</w:t>
      </w:r>
    </w:p>
    <w:p>
      <w:pPr>
        <w:spacing w:line="276" w:lineRule="auto" w:before="0" w:after="120"/>
        <w:jc w:val="both"/>
      </w:pPr>
      <w:r>
        <w:rPr>
          <w:rFonts w:ascii="Times New Roman" w:hAnsi="Times New Roman"/>
          <w:color w:val="000000"/>
          <w:sz w:val="22"/>
        </w:rPr>
        <w:t xml:space="preserve">DataCore is "at home" in Delaware and Texas. It is not "at home" in Georgia. The Complaint does not allege — nor could it establish — that DataCore's contacts with Georgia are so "continuous and systematic" as to render it essentially at home in the forum State within the meaning of </w:t>
      </w:r>
      <w:r>
        <w:rPr>
          <w:rFonts w:ascii="Times New Roman" w:hAnsi="Times New Roman"/>
          <w:i/>
          <w:color w:val="000000"/>
          <w:sz w:val="22"/>
        </w:rPr>
        <w:t>Daimler</w:t>
      </w:r>
      <w:r>
        <w:rPr>
          <w:rFonts w:ascii="Times New Roman" w:hAnsi="Times New Roman"/>
          <w:color w:val="000000"/>
          <w:sz w:val="22"/>
        </w:rPr>
        <w:t xml:space="preserve">. The mere fact that DataCore may have engaged in some commercial activity touching the State of Georgia — such as entering into a contract with a Georgia-based customer — is insufficient to establish general jurisdiction. </w:t>
      </w:r>
      <w:r>
        <w:rPr>
          <w:rFonts w:ascii="Times New Roman" w:hAnsi="Times New Roman"/>
          <w:i/>
          <w:color w:val="000000"/>
          <w:sz w:val="22"/>
        </w:rPr>
        <w:t>See Daimler</w:t>
      </w:r>
      <w:r>
        <w:rPr>
          <w:rFonts w:ascii="Times New Roman" w:hAnsi="Times New Roman"/>
          <w:color w:val="000000"/>
          <w:sz w:val="22"/>
        </w:rPr>
        <w:t xml:space="preserve">, 571 U.S. at 138 (rejecting the proposition that a corporation is subject to general jurisdiction in every state where it conducts business). A corporation's "engage[ment] in a substantial, continuous, and systematic course of business" in a forum does not, without more, make it amenable to general jurisdiction there. </w:t>
      </w:r>
      <w:r>
        <w:rPr>
          <w:rFonts w:ascii="Times New Roman" w:hAnsi="Times New Roman"/>
          <w:i/>
          <w:color w:val="000000"/>
          <w:sz w:val="22"/>
        </w:rPr>
        <w:t>Id.</w:t>
      </w:r>
      <w:r>
        <w:rPr>
          <w:rFonts w:ascii="Times New Roman" w:hAnsi="Times New Roman"/>
          <w:color w:val="000000"/>
          <w:sz w:val="22"/>
        </w:rPr>
        <w:t xml:space="preserve"> at 138 n.18 (citing </w:t>
      </w:r>
      <w:r>
        <w:rPr>
          <w:rFonts w:ascii="Times New Roman" w:hAnsi="Times New Roman"/>
          <w:i/>
          <w:color w:val="000000"/>
          <w:sz w:val="22"/>
        </w:rPr>
        <w:t>Perkins v. Benguet Consol. Mining Co.</w:t>
      </w:r>
      <w:r>
        <w:rPr>
          <w:rFonts w:ascii="Times New Roman" w:hAnsi="Times New Roman"/>
          <w:color w:val="000000"/>
          <w:sz w:val="22"/>
        </w:rPr>
        <w:t>, 342 U.S. 437 (1952), as the exceptional case).</w:t>
      </w:r>
    </w:p>
    <w:p>
      <w:pPr>
        <w:spacing w:line="276" w:lineRule="auto" w:before="0" w:after="120"/>
        <w:jc w:val="both"/>
      </w:pPr>
      <w:r>
        <w:rPr>
          <w:rFonts w:ascii="Times New Roman" w:hAnsi="Times New Roman"/>
          <w:color w:val="000000"/>
          <w:sz w:val="22"/>
        </w:rPr>
        <w:t xml:space="preserve">Pinnacle cannot carry its burden of establishing that DataCore is essentially at home in Georgia. DataCore's state of incorporation (Delaware) and its principal place of business (Texas) are undisputed. The Complaint alleges no facts suggesting that DataCore's contacts with Georgia approach the level required for general jurisdiction under </w:t>
      </w:r>
      <w:r>
        <w:rPr>
          <w:rFonts w:ascii="Times New Roman" w:hAnsi="Times New Roman"/>
          <w:i/>
          <w:color w:val="000000"/>
          <w:sz w:val="22"/>
        </w:rPr>
        <w:t>Daimler</w:t>
      </w:r>
      <w:r>
        <w:rPr>
          <w:rFonts w:ascii="Times New Roman" w:hAnsi="Times New Roman"/>
          <w:color w:val="000000"/>
          <w:sz w:val="22"/>
        </w:rPr>
        <w:t>. Accordingly, this Court lacks personal jurisdiction over DataCore, and the Complaint should be dismissed under Rule 12(b)(2).</w:t>
      </w:r>
    </w:p>
    <w:p>
      <w:pPr>
        <w:keepNext/>
        <w:spacing w:line="276" w:lineRule="auto" w:before="200" w:after="80"/>
        <w:ind w:left="0"/>
      </w:pPr>
      <w:r>
        <w:rPr>
          <w:rFonts w:ascii="Times New Roman" w:hAnsi="Times New Roman"/>
          <w:b/>
          <w:color w:val="000000"/>
          <w:sz w:val="22"/>
        </w:rPr>
        <w:t>C. The Complaint Should Be Dismissed Under Rule 12(b)(3) for Improper Venue Based on the Forum Selection Clause</w:t>
      </w:r>
    </w:p>
    <w:p>
      <w:pPr>
        <w:spacing w:line="276" w:lineRule="auto" w:before="0" w:after="120"/>
        <w:jc w:val="both"/>
      </w:pPr>
      <w:r>
        <w:rPr>
          <w:rFonts w:ascii="Times New Roman" w:hAnsi="Times New Roman"/>
          <w:color w:val="000000"/>
          <w:sz w:val="22"/>
        </w:rPr>
        <w:t>Even if this Court were to find personal jurisdiction, venue in the Northern District of Georgia is improper because the MSA contains a mandatory forum selection clause designating Travis County, Texas, as the exclusive forum for the resolution of disputes. Section 14.2 of the MSA provides:</w:t>
      </w:r>
    </w:p>
    <w:p>
      <w:pPr>
        <w:spacing w:line="276" w:lineRule="auto" w:before="0" w:after="120"/>
        <w:jc w:val="both"/>
      </w:pPr>
      <w:r>
        <w:rPr>
          <w:rFonts w:ascii="Times New Roman" w:hAnsi="Times New Roman"/>
          <w:color w:val="000000"/>
          <w:sz w:val="22"/>
        </w:rPr>
        <w:t>&gt; "Any dispute arising out of or relating to this Agreement shall be resolved exclusively in the state or federal courts located in Travis County, Texas."</w:t>
      </w:r>
    </w:p>
    <w:p>
      <w:pPr>
        <w:spacing w:line="276" w:lineRule="auto" w:before="0" w:after="120"/>
        <w:jc w:val="both"/>
      </w:pPr>
      <w:r>
        <w:rPr>
          <w:rFonts w:ascii="Times New Roman" w:hAnsi="Times New Roman"/>
          <w:color w:val="000000"/>
          <w:sz w:val="22"/>
        </w:rPr>
        <w:t>This clause is unambiguously mandatory. It employs the word "exclusively" and the mandatory "shall," leaving no doubt that the parties intended to restrict dispute resolution to the courts of Travis County, Texas. A forum selection clause employing "exclusively" or "shall" — as opposed to permissive language such as "may" — is a mandatory venue provision. The Northern District of Georgia is not located in Travis County, Texas. Pinnacle's decision to file this action in Atlanta, Georgia, is directly contrary to the forum the parties selected.</w:t>
      </w:r>
    </w:p>
    <w:p>
      <w:pPr>
        <w:spacing w:line="276" w:lineRule="auto" w:before="0" w:after="120"/>
        <w:jc w:val="both"/>
      </w:pPr>
      <w:r>
        <w:rPr>
          <w:rFonts w:ascii="Times New Roman" w:hAnsi="Times New Roman"/>
          <w:color w:val="000000"/>
          <w:sz w:val="22"/>
        </w:rPr>
        <w:t xml:space="preserve">Forum selection clauses are presumptively valid and enforceable. The Supreme Court has long recognized that "forum-selection clauses are prima facie valid and should be enforced unless enforcement is shown by the resisting party to be 'unreasonable' under the circumstances." </w:t>
      </w:r>
      <w:r>
        <w:rPr>
          <w:rFonts w:ascii="Times New Roman" w:hAnsi="Times New Roman"/>
          <w:i/>
          <w:color w:val="000000"/>
          <w:sz w:val="22"/>
        </w:rPr>
        <w:t>M/S Bremen v. Zapata Off-Shore Co.</w:t>
      </w:r>
      <w:r>
        <w:rPr>
          <w:rFonts w:ascii="Times New Roman" w:hAnsi="Times New Roman"/>
          <w:color w:val="000000"/>
          <w:sz w:val="22"/>
        </w:rPr>
        <w:t xml:space="preserve">, 407 U.S. 1, 10 (1972). In </w:t>
      </w:r>
      <w:r>
        <w:rPr>
          <w:rFonts w:ascii="Times New Roman" w:hAnsi="Times New Roman"/>
          <w:i/>
          <w:color w:val="000000"/>
          <w:sz w:val="22"/>
        </w:rPr>
        <w:t>Bremen</w:t>
      </w:r>
      <w:r>
        <w:rPr>
          <w:rFonts w:ascii="Times New Roman" w:hAnsi="Times New Roman"/>
          <w:color w:val="000000"/>
          <w:sz w:val="22"/>
        </w:rPr>
        <w:t xml:space="preserve">, the Court held that contractual forum selection clauses should be enforced absent a showing that (1) the clause was procured by fraud, undue influence, or overweening bargaining power; (2) the forum selected would be so gravely difficult and inconvenient that the resisting party would, for all practical purposes, be deprived of its day in court; or (3) enforcement would contravene a strong public policy of the forum state. </w:t>
      </w:r>
      <w:r>
        <w:rPr>
          <w:rFonts w:ascii="Times New Roman" w:hAnsi="Times New Roman"/>
          <w:i/>
          <w:color w:val="000000"/>
          <w:sz w:val="22"/>
        </w:rPr>
        <w:t>Id.</w:t>
      </w:r>
      <w:r>
        <w:rPr>
          <w:rFonts w:ascii="Times New Roman" w:hAnsi="Times New Roman"/>
          <w:color w:val="000000"/>
          <w:sz w:val="22"/>
        </w:rPr>
        <w:t xml:space="preserve"> at 12–15; </w:t>
      </w:r>
      <w:r>
        <w:rPr>
          <w:rFonts w:ascii="Times New Roman" w:hAnsi="Times New Roman"/>
          <w:i/>
          <w:color w:val="000000"/>
          <w:sz w:val="22"/>
        </w:rPr>
        <w:t>see also Scherk v. Alberto-Culver Co.</w:t>
      </w:r>
      <w:r>
        <w:rPr>
          <w:rFonts w:ascii="Times New Roman" w:hAnsi="Times New Roman"/>
          <w:color w:val="000000"/>
          <w:sz w:val="22"/>
        </w:rPr>
        <w:t xml:space="preserve">, 417 U.S. 506, 519 (1974); </w:t>
      </w:r>
      <w:r>
        <w:rPr>
          <w:rFonts w:ascii="Times New Roman" w:hAnsi="Times New Roman"/>
          <w:i/>
          <w:color w:val="000000"/>
          <w:sz w:val="22"/>
        </w:rPr>
        <w:t>Stewart Org., Inc. v. Ricoh Corp.</w:t>
      </w:r>
      <w:r>
        <w:rPr>
          <w:rFonts w:ascii="Times New Roman" w:hAnsi="Times New Roman"/>
          <w:color w:val="000000"/>
          <w:sz w:val="22"/>
        </w:rPr>
        <w:t>, 487 U.S. 22, 29 (1988).</w:t>
      </w:r>
    </w:p>
    <w:p>
      <w:pPr>
        <w:spacing w:line="276" w:lineRule="auto" w:before="0" w:after="120"/>
        <w:jc w:val="both"/>
      </w:pPr>
      <w:r>
        <w:rPr>
          <w:rFonts w:ascii="Times New Roman" w:hAnsi="Times New Roman"/>
          <w:color w:val="000000"/>
          <w:sz w:val="22"/>
        </w:rPr>
        <w:t>Pinnacle cannot meet this demanding standard. There is no allegation that the forum selection clause was procured by fraud, duress, or overreaching. Both parties are sophisticated commercial entities that negotiated the MSA at arm's length. Pinnacle had every opportunity to reject or negotiate the Travis County forum selection provision, and it chose not to do so. There is no allegation that litigation in Travis County, Texas — a major metropolitan area with a robust federal and state court system — would be so inconvenient as to deprive Pinnacle of its day in court. And there is no strong public policy of the State of Georgia that would be contravened by enforcing the parties' freely negotiated choice of forum.³</w:t>
      </w:r>
    </w:p>
    <w:p>
      <w:pPr>
        <w:spacing w:line="276" w:lineRule="auto" w:before="0" w:after="120"/>
        <w:jc w:val="both"/>
      </w:pPr>
      <w:r>
        <w:rPr>
          <w:rFonts w:ascii="Times New Roman" w:hAnsi="Times New Roman"/>
          <w:color w:val="000000"/>
          <w:sz w:val="22"/>
        </w:rPr>
        <w:t>&gt; ³ Even if the forum selection clause were not enforced, the Northern District of Georgia would be an inconvenient forum for this dispute because DataCore's headquarters, key witnesses, and relevant documents are located in Austin, Texas. The balance of convenience strongly favors litigation in Travis County.</w:t>
      </w:r>
    </w:p>
    <w:p>
      <w:pPr>
        <w:spacing w:line="276" w:lineRule="auto" w:before="0" w:after="120"/>
        <w:jc w:val="both"/>
      </w:pPr>
      <w:r>
        <w:rPr>
          <w:rFonts w:ascii="Times New Roman" w:hAnsi="Times New Roman"/>
          <w:color w:val="000000"/>
          <w:sz w:val="22"/>
        </w:rPr>
        <w:t>Importantly, the scope of the forum selection clause encompasses all four counts asserted in the Complaint. The clause applies to "[a]ny dispute arising out of or relating to this Agreement." The "arising out of or relating to" formulation is deliberately broad and is widely recognized as the most expansive language available in a forum selection clause. It extends not only to claims for breach of the Agreement itself but to all disputes that relate to, or have their genesis in, the parties' contractual relationship.</w:t>
      </w:r>
    </w:p>
    <w:p>
      <w:pPr>
        <w:spacing w:line="276" w:lineRule="auto" w:before="0" w:after="120"/>
        <w:jc w:val="both"/>
      </w:pPr>
      <w:r>
        <w:rPr>
          <w:rFonts w:ascii="Times New Roman" w:hAnsi="Times New Roman"/>
          <w:color w:val="000000"/>
          <w:sz w:val="22"/>
        </w:rPr>
        <w:t>All four of Pinnacle's claims fall squarely within this scope. Count I (Breach of Contract) directly arises under the MSA. Counts II and III (Fraudulent Inducement and Negligent Misrepresentation) concern representations allegedly made during the sales process that led to the execution of the MSA — they are inextricably intertwined with the Agreement. Count IV (Georgia Uniform Deceptive Trade Practices Act) likewise alleges that DataCore engaged in deceptive conduct in connection with the sale of TalentBridge, the very product governed by the MSA. These tort and statutory claims do not exist independent of the parties' contractual relationship; they arise from and relate to the same transaction that the MSA governs.⁴</w:t>
      </w:r>
    </w:p>
    <w:p>
      <w:pPr>
        <w:spacing w:line="276" w:lineRule="auto" w:before="0" w:after="120"/>
        <w:jc w:val="both"/>
      </w:pPr>
      <w:r>
        <w:rPr>
          <w:rFonts w:ascii="Times New Roman" w:hAnsi="Times New Roman"/>
          <w:color w:val="000000"/>
          <w:sz w:val="22"/>
        </w:rPr>
        <w:t>&gt; ⁴ The MSA's arbitration clause (Section 14.5) does not apply to this dispute because the amounts at issue plainly exceed $50,000. Section 14.5 provides for binding arbitration only for disputes involving amounts under that threshold; disputes exceeding $50,000 are to be resolved through court-based litigation. This confirms that the present dispute falls squarely within the MSA's framework for court-based resolution — but in the forum designated by Section 14.2, Travis County, Texas.</w:t>
      </w:r>
    </w:p>
    <w:p>
      <w:pPr>
        <w:spacing w:line="276" w:lineRule="auto" w:before="0" w:after="120"/>
        <w:jc w:val="both"/>
      </w:pPr>
      <w:r>
        <w:rPr>
          <w:rFonts w:ascii="Times New Roman" w:hAnsi="Times New Roman"/>
          <w:color w:val="000000"/>
          <w:sz w:val="22"/>
        </w:rPr>
        <w:t>Because the forum selection clause is mandatory, enforceable, and encompasses all of Pinnacle's claims, this action should be dismissed under Rule 12(b)(3) for improper venue.</w:t>
      </w:r>
    </w:p>
    <w:p>
      <w:pPr>
        <w:keepNext/>
        <w:spacing w:line="276" w:lineRule="auto" w:before="200" w:after="80"/>
        <w:ind w:left="0"/>
      </w:pPr>
      <w:r>
        <w:rPr>
          <w:rFonts w:ascii="Times New Roman" w:hAnsi="Times New Roman"/>
          <w:b/>
          <w:color w:val="000000"/>
          <w:sz w:val="22"/>
        </w:rPr>
        <w:t>D. The Complaint Should Be Dismissed Under Rule 12(b)(6) for Failure to State a Claim</w:t>
      </w:r>
    </w:p>
    <w:p>
      <w:pPr>
        <w:spacing w:line="276" w:lineRule="auto" w:before="0" w:after="120"/>
        <w:jc w:val="both"/>
      </w:pPr>
      <w:r>
        <w:rPr>
          <w:rFonts w:ascii="Times New Roman" w:hAnsi="Times New Roman"/>
          <w:color w:val="000000"/>
          <w:sz w:val="22"/>
        </w:rPr>
        <w:t>Even if this Court were to find that it possesses jurisdiction and that venue is proper, all four counts of the Complaint fail to state a claim upon which relief can be granted and should be dismissed under Federal Rule of Civil Procedure 12(b)(6). As a threshold matter, the MSA's choice-of-law provision in Section 14.3 designates Texas law as governing all disputes arising under the Agreement. Accordingly, DataCore applies Texas substantive law to each of the four counts in this analysis. The choice-of-law provision is valid, enforceable, and applies broadly to all claims that arise from or relate to the parties' contractual relationship, including the tort and statutory claims alleged in Counts II through IV, each of which is inextricably linked to the MSA and the TalentBridge transaction it governs.</w:t>
      </w:r>
    </w:p>
    <w:p>
      <w:pPr>
        <w:spacing w:line="276" w:lineRule="auto" w:before="160" w:after="80"/>
        <w:ind w:left="0"/>
        <w:jc w:val="both"/>
      </w:pPr>
      <w:r>
        <w:rPr>
          <w:rFonts w:ascii="Times New Roman" w:hAnsi="Times New Roman"/>
          <w:b/>
          <w:color w:val="000000"/>
          <w:sz w:val="22"/>
        </w:rPr>
        <w:t xml:space="preserve">1. Count I — Breach of Contract Fails to State a Claim.  </w:t>
      </w:r>
      <w:r>
        <w:rPr>
          <w:rFonts w:ascii="Times New Roman" w:hAnsi="Times New Roman"/>
          <w:color w:val="000000"/>
          <w:sz w:val="22"/>
        </w:rPr>
        <w:t>Pinnacle's breach of contract claim is deficient for three independent reasons: it is time-barred, it is barred by the MSA's limitation of liability and consequential damages waiver, and it has been waived by Pinnacle's conduct.</w:t>
      </w:r>
    </w:p>
    <w:p>
      <w:pPr>
        <w:spacing w:line="276" w:lineRule="auto" w:before="0" w:after="120"/>
        <w:jc w:val="both"/>
      </w:pPr>
      <w:r>
        <w:rPr>
          <w:rFonts w:ascii="Times New Roman" w:hAnsi="Times New Roman"/>
          <w:color w:val="000000"/>
          <w:sz w:val="22"/>
        </w:rPr>
        <w:t>##### a. The Breach Claim Is Time-Barred Under Section 9.4</w:t>
      </w:r>
    </w:p>
    <w:p>
      <w:pPr>
        <w:spacing w:line="276" w:lineRule="auto" w:before="0" w:after="120"/>
        <w:jc w:val="both"/>
      </w:pPr>
      <w:r>
        <w:rPr>
          <w:rFonts w:ascii="Times New Roman" w:hAnsi="Times New Roman"/>
          <w:color w:val="000000"/>
          <w:sz w:val="22"/>
        </w:rPr>
        <w:t>The breach of contract claim is time-barred under Section 9.4 of the MSA. Section 9.4 provides:</w:t>
      </w:r>
    </w:p>
    <w:p>
      <w:pPr>
        <w:spacing w:line="276" w:lineRule="auto" w:before="0" w:after="120"/>
        <w:jc w:val="both"/>
      </w:pPr>
      <w:r>
        <w:rPr>
          <w:rFonts w:ascii="Times New Roman" w:hAnsi="Times New Roman"/>
          <w:color w:val="000000"/>
          <w:sz w:val="22"/>
        </w:rPr>
        <w:t>&gt; "Any claim arising under this Agreement must be brought within one (1) year from the date the claiming party knew or should have known of the facts giving rise to such claim."</w:t>
      </w:r>
    </w:p>
    <w:p>
      <w:pPr>
        <w:spacing w:line="276" w:lineRule="auto" w:before="0" w:after="120"/>
        <w:jc w:val="both"/>
      </w:pPr>
      <w:r>
        <w:rPr>
          <w:rFonts w:ascii="Times New Roman" w:hAnsi="Times New Roman"/>
          <w:color w:val="000000"/>
          <w:sz w:val="22"/>
        </w:rPr>
        <w:t>This one-year contractual limitations period is well-recognized and routinely enforced under Texas law. Parties to a contract are free to agree upon a limitations period shorter than the applicable statutory period, and courts consistently uphold such provisions as valid exercises of contractual freedom between sophisticated commercial parties.</w:t>
      </w:r>
    </w:p>
    <w:p>
      <w:pPr>
        <w:spacing w:line="276" w:lineRule="auto" w:before="0" w:after="120"/>
        <w:jc w:val="both"/>
      </w:pPr>
      <w:r>
        <w:rPr>
          <w:rFonts w:ascii="Times New Roman" w:hAnsi="Times New Roman"/>
          <w:color w:val="000000"/>
          <w:sz w:val="22"/>
        </w:rPr>
        <w:t xml:space="preserve">Applying Section 9.4 to the facts alleged in the Complaint, Pinnacle's breach of contract claim is unambiguously untimely. The Complaint itself establishes that Pinnacle first discovered the alleged deficiencies in the TalentBridge platform no later than </w:t>
      </w:r>
      <w:r>
        <w:rPr>
          <w:rFonts w:ascii="Times New Roman" w:hAnsi="Times New Roman"/>
          <w:b/>
          <w:color w:val="000000"/>
          <w:sz w:val="22"/>
        </w:rPr>
        <w:t>August 2022</w:t>
      </w:r>
      <w:r>
        <w:rPr>
          <w:rFonts w:ascii="Times New Roman" w:hAnsi="Times New Roman"/>
          <w:color w:val="000000"/>
          <w:sz w:val="22"/>
        </w:rPr>
        <w:t xml:space="preserve">, when Pinnacle identified issues with the ADP payroll integration. This is the date on which Pinnacle "knew or should have known of the facts giving rise to" its breach claim. The one-year limitations period therefore expired no later than </w:t>
      </w:r>
      <w:r>
        <w:rPr>
          <w:rFonts w:ascii="Times New Roman" w:hAnsi="Times New Roman"/>
          <w:b/>
          <w:color w:val="000000"/>
          <w:sz w:val="22"/>
        </w:rPr>
        <w:t>August 2023</w:t>
      </w:r>
      <w:r>
        <w:rPr>
          <w:rFonts w:ascii="Times New Roman" w:hAnsi="Times New Roman"/>
          <w:color w:val="000000"/>
          <w:sz w:val="22"/>
        </w:rPr>
        <w:t>.</w:t>
      </w:r>
    </w:p>
    <w:p>
      <w:pPr>
        <w:spacing w:line="276" w:lineRule="auto" w:before="0" w:after="120"/>
        <w:jc w:val="both"/>
      </w:pPr>
      <w:r>
        <w:rPr>
          <w:rFonts w:ascii="Times New Roman" w:hAnsi="Times New Roman"/>
          <w:color w:val="000000"/>
          <w:sz w:val="22"/>
        </w:rPr>
        <w:t xml:space="preserve">Pinnacle did not file its Complaint until </w:t>
      </w:r>
      <w:r>
        <w:rPr>
          <w:rFonts w:ascii="Times New Roman" w:hAnsi="Times New Roman"/>
          <w:b/>
          <w:color w:val="000000"/>
          <w:sz w:val="22"/>
        </w:rPr>
        <w:t>March 22, 2024</w:t>
      </w:r>
      <w:r>
        <w:rPr>
          <w:rFonts w:ascii="Times New Roman" w:hAnsi="Times New Roman"/>
          <w:color w:val="000000"/>
          <w:sz w:val="22"/>
        </w:rPr>
        <w:t xml:space="preserve"> — approximately twenty months after it first knew of the alleged breach, and nearly eight months after the contractual deadline had passed. The breach claim is therefore time-barred on its face.</w:t>
      </w:r>
    </w:p>
    <w:p>
      <w:pPr>
        <w:spacing w:line="276" w:lineRule="auto" w:before="0" w:after="120"/>
        <w:jc w:val="both"/>
      </w:pPr>
      <w:r>
        <w:rPr>
          <w:rFonts w:ascii="Times New Roman" w:hAnsi="Times New Roman"/>
          <w:color w:val="000000"/>
          <w:sz w:val="22"/>
        </w:rPr>
        <w:t>The Complaint makes no effort to explain or excuse this delay. Pinnacle does not allege that the limitations period was tolled, that DataCore concealed the alleged breach, or that any other equitable exception applies. To the contrary, the Complaint's own factual allegations establish the untimeliness of the claim: Pinnacle acknowledges that it discovered the ADP integration issue in August 2022, that it continued to use the platform and pay fees for over sixteen months thereafter, and that it did not file suit until March 2024. These are the Complaint's own allegations, and they conclusively demonstrate that the one-year limitations period expired long before this lawsuit was filed.</w:t>
      </w:r>
    </w:p>
    <w:p>
      <w:pPr>
        <w:spacing w:line="276" w:lineRule="auto" w:before="0" w:after="120"/>
        <w:jc w:val="both"/>
      </w:pPr>
      <w:r>
        <w:rPr>
          <w:rFonts w:ascii="Times New Roman" w:hAnsi="Times New Roman"/>
          <w:color w:val="000000"/>
          <w:sz w:val="22"/>
        </w:rPr>
        <w:t>The contractual limitations period in Section 9.4 is enforceable, and the breach claim falls outside that period. Count I should be dismissed as time-barred.</w:t>
      </w:r>
    </w:p>
    <w:p>
      <w:pPr>
        <w:spacing w:line="276" w:lineRule="auto" w:before="0" w:after="120"/>
        <w:jc w:val="both"/>
      </w:pPr>
      <w:r>
        <w:rPr>
          <w:rFonts w:ascii="Times New Roman" w:hAnsi="Times New Roman"/>
          <w:color w:val="000000"/>
          <w:sz w:val="22"/>
        </w:rPr>
        <w:t>##### b. The Limitation of Liability and Consequential Damages Waiver Bar Pinnacle's Damages Claims</w:t>
      </w:r>
    </w:p>
    <w:p>
      <w:pPr>
        <w:spacing w:line="276" w:lineRule="auto" w:before="0" w:after="120"/>
        <w:jc w:val="both"/>
      </w:pPr>
      <w:r>
        <w:rPr>
          <w:rFonts w:ascii="Times New Roman" w:hAnsi="Times New Roman"/>
          <w:color w:val="000000"/>
          <w:sz w:val="22"/>
        </w:rPr>
        <w:t>Even if the breach claim were timely — and it is not — Pinnacle's damages claims are barred by the MSA's limitation of liability and consequential damages waiver. Section 11.1 of the MSA provides:</w:t>
      </w:r>
    </w:p>
    <w:p>
      <w:pPr>
        <w:spacing w:line="276" w:lineRule="auto" w:before="0" w:after="120"/>
        <w:jc w:val="both"/>
      </w:pPr>
      <w:r>
        <w:rPr>
          <w:rFonts w:ascii="Times New Roman" w:hAnsi="Times New Roman"/>
          <w:color w:val="000000"/>
          <w:sz w:val="22"/>
        </w:rPr>
        <w:t>&gt; DataCore's total aggregate liability under this Agreement shall not exceed the fees paid by Customer during the twelve (12) months immediately preceding the event giving rise to the claim.</w:t>
      </w:r>
    </w:p>
    <w:p>
      <w:pPr>
        <w:spacing w:line="276" w:lineRule="auto" w:before="0" w:after="120"/>
        <w:jc w:val="both"/>
      </w:pPr>
      <w:r>
        <w:rPr>
          <w:rFonts w:ascii="Times New Roman" w:hAnsi="Times New Roman"/>
          <w:color w:val="000000"/>
          <w:sz w:val="22"/>
        </w:rPr>
        <w:t>Under this provision, DataCore's maximum liability is capped at $432,000 — the annual license fee paid by Pinnacle during the twelve-month period preceding the alleged breach. This is the ceiling on any recovery Pinnacle could obtain under the MSA, regardless of the nature or extent of the damages alleged.</w:t>
      </w:r>
    </w:p>
    <w:p>
      <w:pPr>
        <w:spacing w:line="276" w:lineRule="auto" w:before="0" w:after="120"/>
        <w:jc w:val="both"/>
      </w:pPr>
      <w:r>
        <w:rPr>
          <w:rFonts w:ascii="Times New Roman" w:hAnsi="Times New Roman"/>
          <w:color w:val="000000"/>
          <w:sz w:val="22"/>
        </w:rPr>
        <w:t>Section 11.2 of the MSA further provides that both parties expressly waive all claims for consequential, incidental, special, and punitive damages arising under or in connection with the Agreement. This waiver is mutual, bargained-for, and conspicuously set forth in the MSA.</w:t>
      </w:r>
    </w:p>
    <w:p>
      <w:pPr>
        <w:spacing w:line="276" w:lineRule="auto" w:before="0" w:after="120"/>
        <w:jc w:val="both"/>
      </w:pPr>
      <w:r>
        <w:rPr>
          <w:rFonts w:ascii="Times New Roman" w:hAnsi="Times New Roman"/>
          <w:color w:val="000000"/>
          <w:sz w:val="22"/>
        </w:rPr>
        <w:t>Pinnacle's damages claims far exceed these contractual limits. Pinnacle seeks $2,335,000 in "actual damages" (representing the entire contract value, including amounts never paid), $931,000 in "reliance damages" (fees already paid), $1,200,000 in "consequential damages" (allegedly representing replacement system costs and lost business), punitive damages, and attorneys' fees. The vast majority of these claimed damages — including the $1,200,000 in consequential damages, the punitive damages, and the damages in excess of $432,000 — are either expressly waived under Section 11.2 or exceed the cap established by Section 11.1.</w:t>
      </w:r>
    </w:p>
    <w:p>
      <w:pPr>
        <w:spacing w:line="276" w:lineRule="auto" w:before="0" w:after="120"/>
        <w:jc w:val="both"/>
      </w:pPr>
      <w:r>
        <w:rPr>
          <w:rFonts w:ascii="Times New Roman" w:hAnsi="Times New Roman"/>
          <w:color w:val="000000"/>
          <w:sz w:val="22"/>
        </w:rPr>
        <w:t>Pinnacle cannot state a plausible claim for breach of contract where the only damages it seeks are consequential damages and amounts far in excess of the contractual liability cap. The limitation of liability and consequential damages waiver are integral terms of the MSA that define the scope of the parties' potential exposure. These provisions are enforceable under Texas law, and sophisticated commercial parties such as Pinnacle are bound by the limitations they agreed to, even if those limitations substantially reduce the recovery available. Because Pinnacle's claimed damages are either waived or capped, and because the Complaint does not identify any cognizable damages within the scope of what the MSA permits, the breach claim fails to state a claim upon which relief can be granted.</w:t>
      </w:r>
    </w:p>
    <w:p>
      <w:pPr>
        <w:spacing w:line="276" w:lineRule="auto" w:before="0" w:after="120"/>
        <w:jc w:val="both"/>
      </w:pPr>
      <w:r>
        <w:rPr>
          <w:rFonts w:ascii="Times New Roman" w:hAnsi="Times New Roman"/>
          <w:color w:val="000000"/>
          <w:sz w:val="22"/>
        </w:rPr>
        <w:t>Sections 11.1 and 11.2 independently require dismissal of Count I.</w:t>
      </w:r>
    </w:p>
    <w:p>
      <w:pPr>
        <w:spacing w:line="276" w:lineRule="auto" w:before="0" w:after="120"/>
        <w:jc w:val="both"/>
      </w:pPr>
      <w:r>
        <w:rPr>
          <w:rFonts w:ascii="Times New Roman" w:hAnsi="Times New Roman"/>
          <w:color w:val="000000"/>
          <w:sz w:val="22"/>
        </w:rPr>
        <w:t>##### c. Pinnacle Waived Its Breach Claims by Continuing to Perform</w:t>
      </w:r>
    </w:p>
    <w:p>
      <w:pPr>
        <w:spacing w:line="276" w:lineRule="auto" w:before="0" w:after="120"/>
        <w:jc w:val="both"/>
      </w:pPr>
      <w:r>
        <w:rPr>
          <w:rFonts w:ascii="Times New Roman" w:hAnsi="Times New Roman"/>
          <w:color w:val="000000"/>
          <w:sz w:val="22"/>
        </w:rPr>
        <w:t>The Complaint's own factual allegations establish that Pinnacle waived its right to assert a breach of contract claim. It is well established under Texas law that a party who continues to perform under a contract after learning of an alleged breach, without reservation of rights, waives its right to claim that breach. Waiver is the intentional relinquishment of a known right, and it may be established by conduct that is inconsistent with an intent to assert that right.</w:t>
      </w:r>
    </w:p>
    <w:p>
      <w:pPr>
        <w:spacing w:line="276" w:lineRule="auto" w:before="0" w:after="120"/>
        <w:jc w:val="both"/>
      </w:pPr>
      <w:r>
        <w:rPr>
          <w:rFonts w:ascii="Times New Roman" w:hAnsi="Times New Roman"/>
          <w:color w:val="000000"/>
          <w:sz w:val="22"/>
        </w:rPr>
        <w:t>Here, the Complaint alleges that Pinnacle first discovered the ADP integration issue in August 2022 and the latency performance issue in November 2022. Yet Pinnacle continued to use the TalentBridge platform and continued to pay the $36,000 monthly license fee without interruption from August 2022 through December 31, 2023 — a period of approximately sixteen months after the first alleged breach was discovered. During this sixteen-month period, Pinnacle made approximately $576,000 in continued license payments (16 × $36,000) for a service it now characterizes as fundamentally defective.</w:t>
      </w:r>
    </w:p>
    <w:p>
      <w:pPr>
        <w:spacing w:line="276" w:lineRule="auto" w:before="0" w:after="120"/>
        <w:jc w:val="both"/>
      </w:pPr>
      <w:r>
        <w:rPr>
          <w:rFonts w:ascii="Times New Roman" w:hAnsi="Times New Roman"/>
          <w:color w:val="000000"/>
          <w:sz w:val="22"/>
        </w:rPr>
        <w:t>This course of conduct is flatly inconsistent with an intent to claim breach. A party that pays for a service month after month after month — for well over a year after discovering the alleged deficiency — has elected to accept the service notwithstanding the alleged defect. Pinnacle's continued payments and continued use of TalentBridge constitute a clear and unequivocal waiver of any right to claim that DataCore's performance was in material breach of the MSA.</w:t>
      </w:r>
    </w:p>
    <w:p>
      <w:pPr>
        <w:spacing w:line="276" w:lineRule="auto" w:before="0" w:after="120"/>
        <w:jc w:val="both"/>
      </w:pPr>
      <w:r>
        <w:rPr>
          <w:rFonts w:ascii="Times New Roman" w:hAnsi="Times New Roman"/>
          <w:color w:val="000000"/>
          <w:sz w:val="22"/>
        </w:rPr>
        <w:t>The waiver is apparent on the face of the Complaint. Pinnacle's own allegations establish the relevant facts: it knew of the alleged deficiencies, it continued to perform, and it continued to pay. No further factual development is necessary to resolve this issue. The Complaint's own allegations affirmatively demonstrate that Pinnacle relinquished its right to assert a breach claim through its continued course of dealing.</w:t>
      </w:r>
    </w:p>
    <w:p>
      <w:pPr>
        <w:spacing w:line="276" w:lineRule="auto" w:before="0" w:after="120"/>
        <w:jc w:val="both"/>
      </w:pPr>
      <w:r>
        <w:rPr>
          <w:rFonts w:ascii="Times New Roman" w:hAnsi="Times New Roman"/>
          <w:color w:val="000000"/>
          <w:sz w:val="22"/>
        </w:rPr>
        <w:t>Accordingly, Count I should be dismissed on the independent ground of waiver.</w:t>
      </w:r>
    </w:p>
    <w:p>
      <w:pPr>
        <w:spacing w:line="276" w:lineRule="auto" w:before="160" w:after="80"/>
        <w:ind w:left="0"/>
        <w:jc w:val="both"/>
      </w:pPr>
      <w:r>
        <w:rPr>
          <w:rFonts w:ascii="Times New Roman" w:hAnsi="Times New Roman"/>
          <w:b/>
          <w:color w:val="000000"/>
          <w:sz w:val="22"/>
        </w:rPr>
        <w:t xml:space="preserve">2. Count II — Fraudulent Inducement Fails to State a Claim.  </w:t>
      </w:r>
      <w:r>
        <w:rPr>
          <w:rFonts w:ascii="Times New Roman" w:hAnsi="Times New Roman"/>
          <w:color w:val="000000"/>
          <w:sz w:val="22"/>
        </w:rPr>
        <w:t>Pinnacle's fraudulent inducement claim fails to state a plausible claim for relief and should be dismissed for multiple independent reasons.</w:t>
      </w:r>
    </w:p>
    <w:p>
      <w:pPr>
        <w:spacing w:line="276" w:lineRule="auto" w:before="0" w:after="120"/>
        <w:jc w:val="both"/>
      </w:pPr>
      <w:r>
        <w:rPr>
          <w:rFonts w:ascii="Times New Roman" w:hAnsi="Times New Roman"/>
          <w:color w:val="000000"/>
          <w:sz w:val="22"/>
        </w:rPr>
        <w:t>##### a. The Fraud Claim Does Not Meet the Plausibility Standard</w:t>
      </w:r>
    </w:p>
    <w:p>
      <w:pPr>
        <w:spacing w:line="276" w:lineRule="auto" w:before="0" w:after="120"/>
        <w:jc w:val="both"/>
      </w:pPr>
      <w:r>
        <w:rPr>
          <w:rFonts w:ascii="Times New Roman" w:hAnsi="Times New Roman"/>
          <w:color w:val="000000"/>
          <w:sz w:val="22"/>
        </w:rPr>
        <w:t xml:space="preserve">Under the </w:t>
      </w:r>
      <w:r>
        <w:rPr>
          <w:rFonts w:ascii="Times New Roman" w:hAnsi="Times New Roman"/>
          <w:i/>
          <w:color w:val="000000"/>
          <w:sz w:val="22"/>
        </w:rPr>
        <w:t>Twombly/Iqbal</w:t>
      </w:r>
      <w:r>
        <w:rPr>
          <w:rFonts w:ascii="Times New Roman" w:hAnsi="Times New Roman"/>
          <w:color w:val="000000"/>
          <w:sz w:val="22"/>
        </w:rPr>
        <w:t xml:space="preserve"> framework, a claim for fraudulent inducement must allege facts that, accepted as true, plausibly establish each element of fraud. Under Texas law, the elements of fraudulent inducement are: (1) a material misrepresentation; (2) that was either known to be false when made or was made recklessly without knowledge of its truth; (3) that was made with the intent to induce the plaintiff's reliance; (4) that the plaintiff actually and justifiably relied upon the representation; and (5) that the plaintiff suffered damages as a result.</w:t>
      </w:r>
    </w:p>
    <w:p>
      <w:pPr>
        <w:spacing w:line="276" w:lineRule="auto" w:before="0" w:after="120"/>
        <w:jc w:val="both"/>
      </w:pPr>
      <w:r>
        <w:rPr>
          <w:rFonts w:ascii="Times New Roman" w:hAnsi="Times New Roman"/>
          <w:color w:val="000000"/>
          <w:sz w:val="22"/>
        </w:rPr>
        <w:t xml:space="preserve">Pinnacle's allegations fall far short of establishing a plausible claim of fraud. Stripped of their conclusory labels, Pinnacle's allegations amount to nothing more than post hoc dissatisfaction with the performance of a complex enterprise software platform, repackaged as a fraud claim. The Complaint alleges that DataCore made representations during the sales process concerning the TalentBridge platform's payroll integration capabilities and concurrent record-processing capacity. But the Complaint does not plausibly allege that DataCore </w:t>
      </w:r>
      <w:r>
        <w:rPr>
          <w:rFonts w:ascii="Times New Roman" w:hAnsi="Times New Roman"/>
          <w:i/>
          <w:color w:val="000000"/>
          <w:sz w:val="22"/>
        </w:rPr>
        <w:t>knew</w:t>
      </w:r>
      <w:r>
        <w:rPr>
          <w:rFonts w:ascii="Times New Roman" w:hAnsi="Times New Roman"/>
          <w:color w:val="000000"/>
          <w:sz w:val="22"/>
        </w:rPr>
        <w:t xml:space="preserve"> these representations were false at the time they were made — the core scienter requirement for any fraud claim.</w:t>
      </w:r>
    </w:p>
    <w:p>
      <w:pPr>
        <w:spacing w:line="276" w:lineRule="auto" w:before="0" w:after="120"/>
        <w:jc w:val="both"/>
      </w:pPr>
      <w:r>
        <w:rPr>
          <w:rFonts w:ascii="Times New Roman" w:hAnsi="Times New Roman"/>
          <w:color w:val="000000"/>
          <w:sz w:val="22"/>
        </w:rPr>
        <w:t>The representations at issue were forward-looking statements about system capabilities in the context of pre-sale discussions. Such statements are the ordinary fare of enterprise software marketing and do not give rise to actionable fraud. A product demonstration in a controlled environment — such as the demonstrations conducted by Derek Baines on January 18, 2022, and February 7, 2022 — is understood by all sophisticated commercial parties to be illustrative, not a guarantee of identical performance in every possible operating environment. Similarly, general descriptions of system capabilities in sales communications and marketing materials constitute non-actionable puffery and expressions of opinion, not representations of specific facts upon which a fraud claim can be founded.</w:t>
      </w:r>
    </w:p>
    <w:p>
      <w:pPr>
        <w:spacing w:line="276" w:lineRule="auto" w:before="0" w:after="120"/>
        <w:jc w:val="both"/>
      </w:pPr>
      <w:r>
        <w:rPr>
          <w:rFonts w:ascii="Times New Roman" w:hAnsi="Times New Roman"/>
          <w:color w:val="000000"/>
          <w:sz w:val="22"/>
        </w:rPr>
        <w:t>Moreover, the Complaint does not plausibly allege scienter. The fact that the TalentBridge platform may have experienced performance shortfalls after implementation does not retroactively establish that DataCore knew its pre-sale representations were false when made. Post-implementation technical challenges are common in complex enterprise software deployments and may arise from a myriad of factors — including the specific configuration of the customer's existing systems, data volumes, network architecture, and user behavior — that are unrelated to any pre-sale misrepresentation. The Complaint does not allege any facts suggesting that DataCore possessed knowledge, at the time of the pre-sale discussions, that the TalentBridge platform could not perform as described. The inference Pinnacle asks this Court to draw — that because the system underperformed post-implementation, DataCore must have known it would underperform when it made pre-sale statements — is not a reasonable inference; it is speculation.⁵</w:t>
      </w:r>
    </w:p>
    <w:p>
      <w:pPr>
        <w:spacing w:line="276" w:lineRule="auto" w:before="0" w:after="120"/>
        <w:jc w:val="both"/>
      </w:pPr>
      <w:r>
        <w:rPr>
          <w:rFonts w:ascii="Times New Roman" w:hAnsi="Times New Roman"/>
          <w:color w:val="000000"/>
          <w:sz w:val="22"/>
        </w:rPr>
        <w:t>&gt; ⁵ Moreover, Pinnacle's fraud allegations lack the specificity required under Federal Rule of Civil Procedure 9(b), as they fail to identify the particular statements alleged to be false with the requisite precision.</w:t>
      </w:r>
    </w:p>
    <w:p>
      <w:pPr>
        <w:spacing w:line="276" w:lineRule="auto" w:before="0" w:after="120"/>
        <w:jc w:val="both"/>
      </w:pPr>
      <w:r>
        <w:rPr>
          <w:rFonts w:ascii="Times New Roman" w:hAnsi="Times New Roman"/>
          <w:color w:val="000000"/>
          <w:sz w:val="22"/>
        </w:rPr>
        <w:t xml:space="preserve">The fraudulent inducement claim does not meet the plausibility threshold of </w:t>
      </w:r>
      <w:r>
        <w:rPr>
          <w:rFonts w:ascii="Times New Roman" w:hAnsi="Times New Roman"/>
          <w:i/>
          <w:color w:val="000000"/>
          <w:sz w:val="22"/>
        </w:rPr>
        <w:t>Twombly</w:t>
      </w:r>
      <w:r>
        <w:rPr>
          <w:rFonts w:ascii="Times New Roman" w:hAnsi="Times New Roman"/>
          <w:color w:val="000000"/>
          <w:sz w:val="22"/>
        </w:rPr>
        <w:t xml:space="preserve"> and </w:t>
      </w:r>
      <w:r>
        <w:rPr>
          <w:rFonts w:ascii="Times New Roman" w:hAnsi="Times New Roman"/>
          <w:i/>
          <w:color w:val="000000"/>
          <w:sz w:val="22"/>
        </w:rPr>
        <w:t>Iqbal</w:t>
      </w:r>
      <w:r>
        <w:rPr>
          <w:rFonts w:ascii="Times New Roman" w:hAnsi="Times New Roman"/>
          <w:color w:val="000000"/>
          <w:sz w:val="22"/>
        </w:rPr>
        <w:t xml:space="preserve"> and should be dismissed.</w:t>
      </w:r>
    </w:p>
    <w:p>
      <w:pPr>
        <w:spacing w:line="276" w:lineRule="auto" w:before="0" w:after="120"/>
        <w:jc w:val="both"/>
      </w:pPr>
      <w:r>
        <w:rPr>
          <w:rFonts w:ascii="Times New Roman" w:hAnsi="Times New Roman"/>
          <w:color w:val="000000"/>
          <w:sz w:val="22"/>
        </w:rPr>
        <w:t>##### b. The Integration Clause Bars Reliance on Pre-Contractual Representations</w:t>
      </w:r>
    </w:p>
    <w:p>
      <w:pPr>
        <w:spacing w:line="276" w:lineRule="auto" w:before="0" w:after="120"/>
        <w:jc w:val="both"/>
      </w:pPr>
      <w:r>
        <w:rPr>
          <w:rFonts w:ascii="Times New Roman" w:hAnsi="Times New Roman"/>
          <w:color w:val="000000"/>
          <w:sz w:val="22"/>
        </w:rPr>
        <w:t>The fraudulent inducement claim independently fails because the MSA's integration clause forecloses Pinnacle's reliance on pre-contractual representations. Section 14.7 of the MSA provides:</w:t>
      </w:r>
    </w:p>
    <w:p>
      <w:pPr>
        <w:spacing w:line="276" w:lineRule="auto" w:before="0" w:after="120"/>
        <w:jc w:val="both"/>
      </w:pPr>
      <w:r>
        <w:rPr>
          <w:rFonts w:ascii="Times New Roman" w:hAnsi="Times New Roman"/>
          <w:color w:val="000000"/>
          <w:sz w:val="22"/>
        </w:rPr>
        <w:t>&gt; This Agreement constitutes the entire agreement between the parties and supersedes all prior and contemporaneous agreements, representations, warranties, and understandings, whether written or oral, relating to the subject matter hereof.</w:t>
      </w:r>
    </w:p>
    <w:p>
      <w:pPr>
        <w:spacing w:line="276" w:lineRule="auto" w:before="0" w:after="120"/>
        <w:jc w:val="both"/>
      </w:pPr>
      <w:r>
        <w:rPr>
          <w:rFonts w:ascii="Times New Roman" w:hAnsi="Times New Roman"/>
          <w:color w:val="000000"/>
          <w:sz w:val="22"/>
        </w:rPr>
        <w:t>This language is clear and comprehensive. It expressly provides that all prior representations — including the January 10, 2022 email from Victor Sousa, the product demonstrations conducted by Derek Baines, and the February 14, 2022 "Statement of Work Capabilities" document — were superseded by the MSA. The integration clause demonstrates that both parties understood and agreed that the MSA, and only the MSA, embodied the terms of their agreement.</w:t>
      </w:r>
    </w:p>
    <w:p>
      <w:pPr>
        <w:spacing w:line="276" w:lineRule="auto" w:before="0" w:after="120"/>
        <w:jc w:val="both"/>
      </w:pPr>
      <w:r>
        <w:rPr>
          <w:rFonts w:ascii="Times New Roman" w:hAnsi="Times New Roman"/>
          <w:color w:val="000000"/>
          <w:sz w:val="22"/>
        </w:rPr>
        <w:t>Pinnacle is a sophisticated commercial entity that negotiated the MSA with the assistance of experienced counsel. It cannot now claim that it justifiably relied on extra-contractual representations when it signed an agreement expressly providing that all such representations were superseded. The integration clause eliminates the "reliance" element of Pinnacle's fraud claim. A party that agrees to an integration clause acknowledges that it is entering into the agreement based on the written terms of that agreement, not on any prior oral or written communications.</w:t>
      </w:r>
    </w:p>
    <w:p>
      <w:pPr>
        <w:spacing w:line="276" w:lineRule="auto" w:before="0" w:after="120"/>
        <w:jc w:val="both"/>
      </w:pPr>
      <w:r>
        <w:rPr>
          <w:rFonts w:ascii="Times New Roman" w:hAnsi="Times New Roman"/>
          <w:color w:val="000000"/>
          <w:sz w:val="22"/>
        </w:rPr>
        <w:t>The integration clause in Section 14.7 is enforceable, and Pinnacle's fraudulent inducement claim fails because Pinnacle cannot establish justifiable reliance on representations that were expressly superseded. This provides an independent basis for dismissal of Count II.</w:t>
      </w:r>
    </w:p>
    <w:p>
      <w:pPr>
        <w:spacing w:line="276" w:lineRule="auto" w:before="0" w:after="120"/>
        <w:jc w:val="both"/>
      </w:pPr>
      <w:r>
        <w:rPr>
          <w:rFonts w:ascii="Times New Roman" w:hAnsi="Times New Roman"/>
          <w:color w:val="000000"/>
          <w:sz w:val="22"/>
        </w:rPr>
        <w:t>##### c. The Choice-of-Law Provision Requires Application of Texas Law</w:t>
      </w:r>
    </w:p>
    <w:p>
      <w:pPr>
        <w:spacing w:line="276" w:lineRule="auto" w:before="0" w:after="120"/>
        <w:jc w:val="both"/>
      </w:pPr>
      <w:r>
        <w:rPr>
          <w:rFonts w:ascii="Times New Roman" w:hAnsi="Times New Roman"/>
          <w:color w:val="000000"/>
          <w:sz w:val="22"/>
        </w:rPr>
        <w:t>As noted above, the MSA's choice-of-law provision in Section 14.3 designates Texas law to govern disputes arising under the Agreement. The fraudulent inducement claim arises from representations made during the negotiation and execution of the MSA — it is inextricably linked to the Agreement and falls within the scope of the choice-of-law provision.</w:t>
      </w:r>
    </w:p>
    <w:p>
      <w:pPr>
        <w:spacing w:line="276" w:lineRule="auto" w:before="0" w:after="120"/>
        <w:jc w:val="both"/>
      </w:pPr>
      <w:r>
        <w:rPr>
          <w:rFonts w:ascii="Times New Roman" w:hAnsi="Times New Roman"/>
          <w:color w:val="000000"/>
          <w:sz w:val="22"/>
        </w:rPr>
        <w:t>Under Texas law, fraudulent inducement requires proof of: (1) a material misrepresentation; (2) knowledge of falsity or recklessness; (3) intent to induce reliance; (4) actual and justifiable reliance; and (5) resulting damages. As discussed above, Pinnacle's Complaint fails to plausibly allege both the scienter element and the reliance element of this claim under Texas law.</w:t>
      </w:r>
    </w:p>
    <w:p>
      <w:pPr>
        <w:spacing w:line="276" w:lineRule="auto" w:before="0" w:after="120"/>
        <w:jc w:val="both"/>
      </w:pPr>
      <w:r>
        <w:rPr>
          <w:rFonts w:ascii="Times New Roman" w:hAnsi="Times New Roman"/>
          <w:color w:val="000000"/>
          <w:sz w:val="22"/>
        </w:rPr>
        <w:t>Pinnacle cannot establish scienter because the Complaint contains no factual allegations supporting the inference that DataCore knew its pre-sale representations were false. Pinnacle cannot establish reliance because the integration clause forecloses reliance on the very pre-contractual statements at issue. Application of Texas law to the fraudulent inducement claim confirms that Count II must be dismissed.</w:t>
      </w:r>
    </w:p>
    <w:p>
      <w:pPr>
        <w:spacing w:line="276" w:lineRule="auto" w:before="160" w:after="80"/>
        <w:ind w:left="0"/>
        <w:jc w:val="both"/>
      </w:pPr>
      <w:r>
        <w:rPr>
          <w:rFonts w:ascii="Times New Roman" w:hAnsi="Times New Roman"/>
          <w:b/>
          <w:color w:val="000000"/>
          <w:sz w:val="22"/>
        </w:rPr>
        <w:t xml:space="preserve">3. Count III — Negligent Misrepresentation Fails to State a Claim.  </w:t>
      </w:r>
      <w:r>
        <w:rPr>
          <w:rFonts w:ascii="Times New Roman" w:hAnsi="Times New Roman"/>
          <w:color w:val="000000"/>
          <w:sz w:val="22"/>
        </w:rPr>
        <w:t>Pinnacle's negligent misrepresentation claim (Count III) fails for the same reasons that the fraudulent inducement claim fails, and for the additional reason that it is barred by the economic loss rule.</w:t>
      </w:r>
    </w:p>
    <w:p>
      <w:pPr>
        <w:spacing w:line="276" w:lineRule="auto" w:before="0" w:after="120"/>
        <w:jc w:val="both"/>
      </w:pPr>
      <w:r>
        <w:rPr>
          <w:rFonts w:ascii="Times New Roman" w:hAnsi="Times New Roman"/>
          <w:color w:val="000000"/>
          <w:sz w:val="22"/>
        </w:rPr>
        <w:t>As an initial matter, the integration clause in Section 14.7 bars the negligent misrepresentation claim to the same extent it bars the fraudulent inducement claim. Pinnacle's negligent misrepresentation claim is predicated on the same pre-contractual representations — the Sousa email, the Baines demonstrations, and the "Statement of Work Capabilities" document — that were expressly superseded by the MSA. Pinnacle cannot establish the "reliance" element of a negligent misrepresentation claim where it agreed, through the integration clause, that all prior representations were superseded.</w:t>
      </w:r>
    </w:p>
    <w:p>
      <w:pPr>
        <w:spacing w:line="276" w:lineRule="auto" w:before="0" w:after="120"/>
        <w:jc w:val="both"/>
      </w:pPr>
      <w:r>
        <w:rPr>
          <w:rFonts w:ascii="Times New Roman" w:hAnsi="Times New Roman"/>
          <w:color w:val="000000"/>
          <w:sz w:val="22"/>
        </w:rPr>
        <w:t>Additionally, the negligent misrepresentation claim is barred by the economic loss rule. Under Texas law, the economic loss rule prevents a party from recovering in tort for purely economic losses that are the subject of a contract between the parties. The rule recognizes that where parties have allocated risk through a negotiated agreement, tort law should not be used to circumvent the contractual allocation. The negligent misrepresentation claim here seeks precisely the same economic damages that arise from the alleged failure of the contractual relationship — namely, the costs of implementation, the license fees paid, and the alleged costs of procuring a replacement system. These are paradigmatic economic losses flowing from the alleged breach of the MSA.</w:t>
      </w:r>
    </w:p>
    <w:p>
      <w:pPr>
        <w:spacing w:line="276" w:lineRule="auto" w:before="0" w:after="120"/>
        <w:jc w:val="both"/>
      </w:pPr>
      <w:r>
        <w:rPr>
          <w:rFonts w:ascii="Times New Roman" w:hAnsi="Times New Roman"/>
          <w:color w:val="000000"/>
          <w:sz w:val="22"/>
        </w:rPr>
        <w:t>Pinnacle's negligent misrepresentation claim is, in substance, a repackaging of its breach of contract claim. It arises from the same underlying facts, involves the same alleged conduct, and seeks the same categories of damages. Allowing this claim to proceed in tort would undermine the contractual framework the parties established — including the limitation of liability, the consequential damages waiver, and the contractual limitations period — by permitting Pinnacle to achieve through a negligence theory what it cannot achieve through its contract claim.</w:t>
      </w:r>
    </w:p>
    <w:p>
      <w:pPr>
        <w:spacing w:line="276" w:lineRule="auto" w:before="0" w:after="120"/>
        <w:jc w:val="both"/>
      </w:pPr>
      <w:r>
        <w:rPr>
          <w:rFonts w:ascii="Times New Roman" w:hAnsi="Times New Roman"/>
          <w:color w:val="000000"/>
          <w:sz w:val="22"/>
        </w:rPr>
        <w:t>Under Texas law, where a contract governs the relationship between the parties and the plaintiff seeks only economic damages arising from the contractual relationship, the economic loss rule bars recovery in negligence. Count III should be dismissed.</w:t>
      </w:r>
    </w:p>
    <w:p>
      <w:pPr>
        <w:spacing w:line="276" w:lineRule="auto" w:before="160" w:after="80"/>
        <w:ind w:left="0"/>
        <w:jc w:val="both"/>
      </w:pPr>
      <w:r>
        <w:rPr>
          <w:rFonts w:ascii="Times New Roman" w:hAnsi="Times New Roman"/>
          <w:b/>
          <w:color w:val="000000"/>
          <w:sz w:val="22"/>
        </w:rPr>
        <w:t xml:space="preserve">4. Count IV — Georgia Uniform Deceptive Trade Practices Act Claim Fails to State a Claim.  </w:t>
      </w:r>
      <w:r>
        <w:rPr>
          <w:rFonts w:ascii="Times New Roman" w:hAnsi="Times New Roman"/>
          <w:color w:val="000000"/>
          <w:sz w:val="22"/>
        </w:rPr>
        <w:t xml:space="preserve">Pinnacle's final claim, under the Georgia Uniform Deceptive Trade Practices Act ("GUDTPA"), O.C.G.A. § 10-1-370 </w:t>
      </w:r>
      <w:r>
        <w:rPr>
          <w:rFonts w:ascii="Times New Roman" w:hAnsi="Times New Roman"/>
          <w:i/>
          <w:color w:val="000000"/>
          <w:sz w:val="22"/>
        </w:rPr>
        <w:t>et seq.</w:t>
      </w:r>
      <w:r>
        <w:rPr>
          <w:rFonts w:ascii="Times New Roman" w:hAnsi="Times New Roman"/>
          <w:color w:val="000000"/>
          <w:sz w:val="22"/>
        </w:rPr>
        <w:t>, should be dismissed for three independent reasons.⁶</w:t>
      </w:r>
    </w:p>
    <w:p>
      <w:pPr>
        <w:spacing w:line="276" w:lineRule="auto" w:before="0" w:after="120"/>
        <w:jc w:val="both"/>
      </w:pPr>
      <w:r>
        <w:rPr>
          <w:rFonts w:ascii="Times New Roman" w:hAnsi="Times New Roman"/>
          <w:color w:val="000000"/>
          <w:sz w:val="22"/>
        </w:rPr>
        <w:t>&gt; ⁶ DataCore does not challenge Pinnacle's standing to bring these claims.</w:t>
      </w:r>
    </w:p>
    <w:p>
      <w:pPr>
        <w:spacing w:line="276" w:lineRule="auto" w:before="0" w:after="120"/>
        <w:jc w:val="both"/>
      </w:pPr>
      <w:r>
        <w:rPr>
          <w:rFonts w:ascii="Times New Roman" w:hAnsi="Times New Roman"/>
          <w:b/>
          <w:color w:val="000000"/>
          <w:sz w:val="22"/>
        </w:rPr>
        <w:t>First</w:t>
      </w:r>
      <w:r>
        <w:rPr>
          <w:rFonts w:ascii="Times New Roman" w:hAnsi="Times New Roman"/>
          <w:color w:val="000000"/>
          <w:sz w:val="22"/>
        </w:rPr>
        <w:t>, the GUDTPA claim is duplicative of the contract claim and is barred by the economic loss rule. The GUDTPA claim alleges that DataCore engaged in "deceptive" conduct during the sales process by misrepresenting the capabilities of the TalentBridge platform. However, the only alleged "deceptive" acts identified in the Complaint are the same pre-sale representations underlying the breach of contract claim (Count I) and the fraud claim (Count II). The GUDTPA claim does not identify any independent deceptive conduct — it simply recharacterizes the same alleged misstatements as violations of a consumer protection statute.</w:t>
      </w:r>
    </w:p>
    <w:p>
      <w:pPr>
        <w:spacing w:line="276" w:lineRule="auto" w:before="0" w:after="120"/>
        <w:jc w:val="both"/>
      </w:pPr>
      <w:r>
        <w:rPr>
          <w:rFonts w:ascii="Times New Roman" w:hAnsi="Times New Roman"/>
          <w:color w:val="000000"/>
          <w:sz w:val="22"/>
        </w:rPr>
        <w:t>The economic loss rule bars this claim because Pinnacle seeks only economic damages — contract-based losses arising from the alleged failure of the commercial relationship. Georgia law does not recognize an independent tort or statutory claim for economic losses where a contract governs the parties' relationship and the damages sought flow solely from the alleged breach of that contract. The GUDTPA claim is merely a contractual dispute dressed in statutory clothing, and the economic loss rule precludes its assertion in these circumstances.</w:t>
      </w:r>
    </w:p>
    <w:p>
      <w:pPr>
        <w:spacing w:line="276" w:lineRule="auto" w:before="0" w:after="120"/>
        <w:jc w:val="both"/>
      </w:pPr>
      <w:r>
        <w:rPr>
          <w:rFonts w:ascii="Times New Roman" w:hAnsi="Times New Roman"/>
          <w:b/>
          <w:color w:val="000000"/>
          <w:sz w:val="22"/>
        </w:rPr>
        <w:t>Second</w:t>
      </w:r>
      <w:r>
        <w:rPr>
          <w:rFonts w:ascii="Times New Roman" w:hAnsi="Times New Roman"/>
          <w:color w:val="000000"/>
          <w:sz w:val="22"/>
        </w:rPr>
        <w:t>, the choice-of-law provision in the MSA requires application of Texas law, and the GUDTPA is a Georgia statute that has no application when the parties have selected Texas law for their disputes. Section 14.3 of the MSA provides that Texas law governs disputes arising under the Agreement. Because the GUDTPA claim arises from the same conduct and the same transaction governed by the MSA, it falls within the scope of the choice-of-law provision. Under Texas law, there is no equivalent claim available to Pinnacle on these facts, and the Georgia statutory scheme does not apply.</w:t>
      </w:r>
    </w:p>
    <w:p>
      <w:pPr>
        <w:spacing w:line="276" w:lineRule="auto" w:before="0" w:after="120"/>
        <w:jc w:val="both"/>
      </w:pPr>
      <w:r>
        <w:rPr>
          <w:rFonts w:ascii="Times New Roman" w:hAnsi="Times New Roman"/>
          <w:color w:val="000000"/>
          <w:sz w:val="22"/>
        </w:rPr>
        <w:t>The parties made a deliberate choice to apply Texas law to their disputes, and Pinnacle should not be permitted to circumvent that choice by invoking a Georgia statute to gain an advantage it would not have under the governing law. Pinnacle — a sophisticated commercial entity — agreed to the Texas choice-of-law provision, and it is bound by that agreement.</w:t>
      </w:r>
    </w:p>
    <w:p>
      <w:pPr>
        <w:spacing w:line="276" w:lineRule="auto" w:before="0" w:after="120"/>
        <w:jc w:val="both"/>
      </w:pPr>
      <w:r>
        <w:rPr>
          <w:rFonts w:ascii="Times New Roman" w:hAnsi="Times New Roman"/>
          <w:b/>
          <w:color w:val="000000"/>
          <w:sz w:val="22"/>
        </w:rPr>
        <w:t>Third</w:t>
      </w:r>
      <w:r>
        <w:rPr>
          <w:rFonts w:ascii="Times New Roman" w:hAnsi="Times New Roman"/>
          <w:color w:val="000000"/>
          <w:sz w:val="22"/>
        </w:rPr>
        <w:t>, the Complaint fails to plead the GUDTPA claim with the specificity necessary to state a claim. The Complaint's GUDTPA allegations consist of generalized assertions that DataCore's sales representations were "deceptive" within the meaning of the statute. These allegations are conclusory and do not identify specific deceptive acts, specific misstatements of fact, or specific conduct that independently constitutes a "deceptive trade practice" under the GUDTPA — separate and apart from the conduct already alleged in the contract and fraud counts. A GUDTPA claim must allege specific acts of deception; it cannot survive on conclusory labels affixed to contract and fraud allegations.</w:t>
      </w:r>
    </w:p>
    <w:p>
      <w:pPr>
        <w:spacing w:line="276" w:lineRule="auto" w:before="0" w:after="120"/>
        <w:jc w:val="both"/>
      </w:pPr>
      <w:r>
        <w:rPr>
          <w:rFonts w:ascii="Times New Roman" w:hAnsi="Times New Roman"/>
          <w:color w:val="000000"/>
          <w:sz w:val="22"/>
        </w:rPr>
        <w:t>For each of these independent reasons, Count IV should be dismissed.</w:t>
      </w:r>
    </w:p>
    <w:p>
      <w:pPr>
        <w:keepNext/>
        <w:spacing w:line="276" w:lineRule="auto" w:before="200" w:after="80"/>
        <w:ind w:left="0"/>
      </w:pPr>
      <w:r>
        <w:rPr>
          <w:rFonts w:ascii="Times New Roman" w:hAnsi="Times New Roman"/>
          <w:b/>
          <w:color w:val="000000"/>
          <w:sz w:val="22"/>
        </w:rPr>
        <w:t>E. Cross-Cutting Arguments: The Choice-of-Law Clause Governs All Claims</w:t>
      </w:r>
    </w:p>
    <w:p>
      <w:pPr>
        <w:spacing w:line="276" w:lineRule="auto" w:before="0" w:after="120"/>
        <w:jc w:val="both"/>
      </w:pPr>
      <w:r>
        <w:rPr>
          <w:rFonts w:ascii="Times New Roman" w:hAnsi="Times New Roman"/>
          <w:color w:val="000000"/>
          <w:sz w:val="22"/>
        </w:rPr>
        <w:t>DataCore consolidates and reiterates its choice-of-law position, which applies across all four counts of the Complaint. The MSA's choice-of-law clause in Section 14.3 provides that Texas law governs disputes "arising under this Agreement." This language is applicable to each of the four counts asserted in the Complaint.</w:t>
      </w:r>
    </w:p>
    <w:p>
      <w:pPr>
        <w:spacing w:line="276" w:lineRule="auto" w:before="0" w:after="120"/>
        <w:jc w:val="both"/>
      </w:pPr>
      <w:r>
        <w:rPr>
          <w:rFonts w:ascii="Times New Roman" w:hAnsi="Times New Roman"/>
          <w:color w:val="000000"/>
          <w:sz w:val="22"/>
        </w:rPr>
        <w:t>The breach of contract claim (Count I) directly arises under the MSA and is indisputably governed by Texas law. The fraudulent inducement claim (Count II) and the negligent misrepresentation claim (Count III) concern representations made during the negotiation of the MSA and are therefore inextricably linked to the Agreement. Even though these claims are denominated as tort claims, they arise from and relate to the very transaction the MSA governs — the sale and licensing of the TalentBridge platform. The GUDTPA claim (Count IV) likewise arises from the same sales conduct that led to the execution of the MSA.</w:t>
      </w:r>
    </w:p>
    <w:p>
      <w:pPr>
        <w:spacing w:line="276" w:lineRule="auto" w:before="0" w:after="120"/>
        <w:jc w:val="both"/>
      </w:pPr>
      <w:r>
        <w:rPr>
          <w:rFonts w:ascii="Times New Roman" w:hAnsi="Times New Roman"/>
          <w:color w:val="000000"/>
          <w:sz w:val="22"/>
        </w:rPr>
        <w:t>The "arising under this Agreement" formulation in Section 14.3 must be read in the context of the parties' comprehensive contractual framework. The parties chose to subject their entire commercial relationship to a single governing body of law — Texas law. This choice extends to all claims that have their genesis in the MSA transaction, including tort claims and statutory claims that relate to the negotiation, execution, and performance of the Agreement. Pre-contractual representations made "in connection with" the negotiation of the Agreement fall within the scope of this provision because such representations are the factual predicate for the very agreement the clause governs.</w:t>
      </w:r>
    </w:p>
    <w:p>
      <w:pPr>
        <w:spacing w:line="276" w:lineRule="auto" w:before="0" w:after="120"/>
        <w:jc w:val="both"/>
      </w:pPr>
      <w:r>
        <w:rPr>
          <w:rFonts w:ascii="Times New Roman" w:hAnsi="Times New Roman"/>
          <w:color w:val="000000"/>
          <w:sz w:val="22"/>
        </w:rPr>
        <w:t>DataCore respectfully submits that Texas law applies to all four counts and that this Court should analyze each claim under Texas substantive law, as provided in the MSA.</w:t>
      </w:r>
    </w:p>
    <w:p>
      <w:r>
        <w:br w:type="page"/>
      </w:r>
    </w:p>
    <w:p>
      <w:pPr>
        <w:keepNext/>
        <w:spacing w:line="276" w:lineRule="auto" w:before="360" w:after="120"/>
        <w:jc w:val="left"/>
      </w:pPr>
      <w:r>
        <w:rPr>
          <w:rFonts w:ascii="Times New Roman" w:hAnsi="Times New Roman"/>
          <w:b/>
          <w:color w:val="000000"/>
          <w:sz w:val="22"/>
          <w:u w:val="single"/>
        </w:rPr>
        <w:t>V. CONCLUSION</w:t>
      </w:r>
    </w:p>
    <w:p>
      <w:pPr>
        <w:spacing w:line="276" w:lineRule="auto" w:before="0" w:after="120"/>
        <w:jc w:val="both"/>
      </w:pPr>
      <w:r>
        <w:rPr>
          <w:rFonts w:ascii="Times New Roman" w:hAnsi="Times New Roman"/>
          <w:color w:val="000000"/>
          <w:sz w:val="22"/>
        </w:rPr>
        <w:t>For the foregoing reasons, DataCore Systems, Inc. respectfully requests that this Court grant its Motion to Dismiss and dismiss Pinnacle Staffing Solutions, Inc.'s Complaint in its entirety with prejudice. Specifically:</w:t>
      </w:r>
    </w:p>
    <w:p>
      <w:pPr>
        <w:spacing w:line="276" w:lineRule="auto" w:before="20" w:after="20"/>
        <w:ind w:left="432" w:hanging="432"/>
        <w:jc w:val="both"/>
      </w:pPr>
      <w:r>
        <w:rPr>
          <w:rFonts w:ascii="Times New Roman" w:hAnsi="Times New Roman"/>
          <w:color w:val="000000"/>
          <w:sz w:val="22"/>
        </w:rPr>
        <w:t>1.  This Court lacks personal jurisdiction over DataCore, and the Complaint should be dismissed under Rule 12(b)(2);</w:t>
      </w:r>
    </w:p>
    <w:p>
      <w:pPr>
        <w:spacing w:line="276" w:lineRule="auto" w:before="20" w:after="20"/>
        <w:ind w:left="432" w:hanging="432"/>
        <w:jc w:val="both"/>
      </w:pPr>
      <w:r>
        <w:rPr>
          <w:rFonts w:ascii="Times New Roman" w:hAnsi="Times New Roman"/>
          <w:color w:val="000000"/>
          <w:sz w:val="22"/>
        </w:rPr>
        <w:t>2.  Venue in the Northern District of Georgia is improper under the MSA's mandatory forum selection clause, and the Complaint should be dismissed under Rule 12(b)(3);</w:t>
      </w:r>
    </w:p>
    <w:p>
      <w:pPr>
        <w:spacing w:line="276" w:lineRule="auto" w:before="20" w:after="20"/>
        <w:ind w:left="432" w:hanging="432"/>
        <w:jc w:val="both"/>
      </w:pPr>
      <w:r>
        <w:rPr>
          <w:rFonts w:ascii="Times New Roman" w:hAnsi="Times New Roman"/>
          <w:color w:val="000000"/>
          <w:sz w:val="22"/>
        </w:rPr>
        <w:t>3.  Count I (Breach of Contract) is time-barred under MSA Section 9.4, barred by the limitation of liability (Section 11.1) and consequential damages waiver (Section 11.2), and waived by Pinnacle's continued performance;</w:t>
      </w:r>
    </w:p>
    <w:p>
      <w:pPr>
        <w:spacing w:line="276" w:lineRule="auto" w:before="20" w:after="20"/>
        <w:ind w:left="432" w:hanging="432"/>
        <w:jc w:val="both"/>
      </w:pPr>
      <w:r>
        <w:rPr>
          <w:rFonts w:ascii="Times New Roman" w:hAnsi="Times New Roman"/>
          <w:color w:val="000000"/>
          <w:sz w:val="22"/>
        </w:rPr>
        <w:t>4.  Count II (Fraudulent Inducement) fails to state a plausible claim for fraud and is barred by the integration clause (Section 14.7);</w:t>
      </w:r>
    </w:p>
    <w:p>
      <w:pPr>
        <w:spacing w:line="276" w:lineRule="auto" w:before="20" w:after="20"/>
        <w:ind w:left="432" w:hanging="432"/>
        <w:jc w:val="both"/>
      </w:pPr>
      <w:r>
        <w:rPr>
          <w:rFonts w:ascii="Times New Roman" w:hAnsi="Times New Roman"/>
          <w:color w:val="000000"/>
          <w:sz w:val="22"/>
        </w:rPr>
        <w:t>5.  Count III (Negligent Misrepresentation) is barred by the integration clause and the economic loss rule; and</w:t>
      </w:r>
    </w:p>
    <w:p>
      <w:pPr>
        <w:spacing w:line="276" w:lineRule="auto" w:before="20" w:after="20"/>
        <w:ind w:left="432" w:hanging="432"/>
        <w:jc w:val="both"/>
      </w:pPr>
      <w:r>
        <w:rPr>
          <w:rFonts w:ascii="Times New Roman" w:hAnsi="Times New Roman"/>
          <w:color w:val="000000"/>
          <w:sz w:val="22"/>
        </w:rPr>
        <w:t>6.  Count IV (Violation of the GUDTPA) is duplicative, barred by the economic loss rule, and inapplicable under the MSA's choice-of-law provision.</w:t>
      </w:r>
    </w:p>
    <w:p>
      <w:pPr>
        <w:spacing w:line="276" w:lineRule="auto" w:before="0" w:after="120"/>
        <w:jc w:val="both"/>
      </w:pPr>
      <w:r>
        <w:rPr>
          <w:rFonts w:ascii="Times New Roman" w:hAnsi="Times New Roman"/>
          <w:color w:val="000000"/>
          <w:sz w:val="22"/>
        </w:rPr>
        <w:t>In the alternative, should this Court decline to dismiss the Complaint, DataCore respectfully requests that this Court transfer this action to the United States District Court for the Western District of Texas, Austin Division, pursuant to the mandatory forum selection clause in MSA Section 14.2.</w:t>
      </w:r>
    </w:p>
    <w:p>
      <w:r>
        <w:br w:type="page"/>
      </w:r>
    </w:p>
    <w:p>
      <w:pPr>
        <w:spacing w:line="240" w:lineRule="auto" w:before="20" w:after="20"/>
        <w:jc w:val="both"/>
      </w:pPr>
      <w:r>
        <w:rPr>
          <w:rFonts w:ascii="Times New Roman" w:hAnsi="Times New Roman"/>
          <w:color w:val="000000"/>
          <w:sz w:val="22"/>
        </w:rPr>
        <w:t>Respectfully submitted,</w:t>
      </w:r>
    </w:p>
    <w:p>
      <w:pPr>
        <w:spacing w:line="240" w:lineRule="auto" w:before="20" w:after="20"/>
        <w:jc w:val="both"/>
      </w:pPr>
      <w:r>
        <w:rPr>
          <w:rFonts w:ascii="Times New Roman" w:hAnsi="Times New Roman"/>
          <w:b/>
          <w:color w:val="000000"/>
          <w:sz w:val="22"/>
        </w:rPr>
        <w:t>BRAXTON COLE LLP</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both"/>
      </w:pPr>
      <w:r>
        <w:rPr>
          <w:rFonts w:ascii="Times New Roman" w:hAnsi="Times New Roman"/>
          <w:color w:val="000000"/>
          <w:sz w:val="22"/>
        </w:rPr>
        <w:t>Thomas Whitford Georgia Bar No. 774219 2100 Ross Avenue, Suite 4500 Dallas, Texas 75201 Telephone: (214) 555-8200 Facsimile: (214) 555-8201</w:t>
      </w:r>
    </w:p>
    <w:p>
      <w:pPr>
        <w:spacing w:line="240" w:lineRule="auto" w:before="20" w:after="20"/>
        <w:jc w:val="left"/>
      </w:pPr>
      <w:r>
        <w:rPr>
          <w:rFonts w:ascii="Times New Roman" w:hAnsi="Times New Roman"/>
          <w:color w:val="000000"/>
          <w:sz w:val="22"/>
        </w:rPr>
        <w:t>Email: twhitford@braxtoncole.com</w:t>
      </w:r>
    </w:p>
    <w:p>
      <w:pPr>
        <w:spacing w:line="240" w:lineRule="auto" w:before="20" w:after="20"/>
        <w:jc w:val="both"/>
      </w:pPr>
      <w:r>
        <w:rPr>
          <w:rFonts w:ascii="Times New Roman" w:hAnsi="Times New Roman"/>
          <w:color w:val="000000"/>
          <w:sz w:val="22"/>
        </w:rPr>
        <w:t>Shannon Pryor (</w:t>
      </w:r>
      <w:r>
        <w:rPr>
          <w:rFonts w:ascii="Times New Roman" w:hAnsi="Times New Roman"/>
          <w:i/>
          <w:color w:val="000000"/>
          <w:sz w:val="22"/>
        </w:rPr>
        <w:t>Local Counsel</w:t>
      </w:r>
      <w:r>
        <w:rPr>
          <w:rFonts w:ascii="Times New Roman" w:hAnsi="Times New Roman"/>
          <w:color w:val="000000"/>
          <w:sz w:val="22"/>
        </w:rPr>
        <w:t>) Georgia Bar No. 598436 1180 Peachtree Street NE, Suite 2200 Atlanta, Georgia 30309 Telephone: (404) 555-6100 Facsimile: (404) 555-6101</w:t>
      </w:r>
    </w:p>
    <w:p>
      <w:pPr>
        <w:spacing w:line="240" w:lineRule="auto" w:before="20" w:after="20"/>
        <w:jc w:val="left"/>
      </w:pPr>
      <w:r>
        <w:rPr>
          <w:rFonts w:ascii="Times New Roman" w:hAnsi="Times New Roman"/>
          <w:color w:val="000000"/>
          <w:sz w:val="22"/>
        </w:rPr>
        <w:t>Email: spryor@braxtoncole.com</w:t>
      </w:r>
    </w:p>
    <w:p>
      <w:pPr>
        <w:spacing w:line="240" w:lineRule="auto" w:before="20" w:after="20"/>
        <w:jc w:val="both"/>
      </w:pPr>
      <w:r>
        <w:rPr>
          <w:rFonts w:ascii="Times New Roman" w:hAnsi="Times New Roman"/>
          <w:i/>
          <w:color w:val="000000"/>
          <w:sz w:val="22"/>
        </w:rPr>
        <w:t>Attorneys for Defendant DataCore Systems, Inc.</w:t>
      </w:r>
    </w:p>
    <w:p>
      <w:pPr>
        <w:spacing w:line="240" w:lineRule="auto" w:before="20" w:after="20"/>
        <w:jc w:val="both"/>
      </w:pPr>
      <w:r>
        <w:rPr>
          <w:rFonts w:ascii="Times New Roman" w:hAnsi="Times New Roman"/>
          <w:color w:val="000000"/>
          <w:sz w:val="22"/>
        </w:rPr>
        <w:t>Dated: May 20, 2024</w:t>
      </w:r>
    </w:p>
    <w:p>
      <w:r>
        <w:br w:type="page"/>
      </w:r>
    </w:p>
    <w:p>
      <w:pPr>
        <w:spacing w:line="276" w:lineRule="auto" w:before="0" w:after="120"/>
        <w:jc w:val="center"/>
      </w:pPr>
      <w:r>
        <w:rPr>
          <w:rFonts w:ascii="Times New Roman" w:hAnsi="Times New Roman"/>
          <w:b/>
          <w:color w:val="000000"/>
          <w:sz w:val="22"/>
        </w:rPr>
        <w:t>CERTIFICATE OF SERVICE</w:t>
      </w:r>
    </w:p>
    <w:p>
      <w:pPr>
        <w:spacing w:line="276" w:lineRule="auto" w:before="0" w:after="120"/>
        <w:jc w:val="both"/>
      </w:pPr>
      <w:r>
        <w:rPr>
          <w:rFonts w:ascii="Times New Roman" w:hAnsi="Times New Roman"/>
          <w:color w:val="000000"/>
          <w:sz w:val="22"/>
        </w:rPr>
        <w:t xml:space="preserve">I hereby certify that on this 20th day of May, 2024, I caused the foregoing </w:t>
      </w:r>
      <w:r>
        <w:rPr>
          <w:rFonts w:ascii="Times New Roman" w:hAnsi="Times New Roman"/>
          <w:b/>
          <w:color w:val="000000"/>
          <w:sz w:val="22"/>
        </w:rPr>
        <w:t>Defendant DataCore Systems, Inc.'s Memorandum of Law in Support of Its Motion to Dismiss Pursuant to Federal Rules of Civil Procedure 12(b)(1), 12(b)(2), 12(b)(3), and 12(b)(6)</w:t>
      </w:r>
      <w:r>
        <w:rPr>
          <w:rFonts w:ascii="Times New Roman" w:hAnsi="Times New Roman"/>
          <w:color w:val="000000"/>
          <w:sz w:val="22"/>
        </w:rPr>
        <w:t xml:space="preserve"> to be electronically filed with the Clerk of Court using the CM/ECF system, which will automatically send electronic notification of such filing to all counsel of record, including:</w:t>
      </w:r>
    </w:p>
    <w:p>
      <w:pPr>
        <w:spacing w:line="276" w:lineRule="auto" w:before="0" w:after="120"/>
        <w:ind w:left="432"/>
        <w:jc w:val="both"/>
      </w:pPr>
      <w:r>
        <w:rPr>
          <w:rFonts w:ascii="Times New Roman" w:hAnsi="Times New Roman"/>
          <w:color w:val="000000"/>
          <w:sz w:val="22"/>
        </w:rPr>
        <w:t>Katherine "Kate" Ashford Ashford, Clement &amp; Yates LLP 191 Peachtree Street NE, Suite 3600 Atlanta, Georgia 30303 Telephone: (404) 555-9200</w:t>
      </w:r>
    </w:p>
    <w:p>
      <w:pPr>
        <w:spacing w:line="240" w:lineRule="auto" w:before="20" w:after="20"/>
        <w:ind w:left="432"/>
        <w:jc w:val="left"/>
      </w:pPr>
      <w:r>
        <w:rPr>
          <w:rFonts w:ascii="Times New Roman" w:hAnsi="Times New Roman"/>
          <w:color w:val="000000"/>
          <w:sz w:val="22"/>
        </w:rPr>
        <w:t>Email: kashford@ashfordclemenyates.com</w:t>
      </w:r>
    </w:p>
    <w:p>
      <w:pPr>
        <w:spacing w:line="276" w:lineRule="auto" w:before="0" w:after="120"/>
        <w:ind w:left="432"/>
        <w:jc w:val="both"/>
      </w:pPr>
      <w:r>
        <w:rPr>
          <w:rFonts w:ascii="Times New Roman" w:hAnsi="Times New Roman"/>
          <w:i/>
          <w:color w:val="000000"/>
          <w:sz w:val="22"/>
        </w:rPr>
        <w:t>Counsel for Plaintiff Pinnacle Staffing Solutions, Inc.</w:t>
      </w:r>
    </w:p>
    <w:p>
      <w:pPr>
        <w:spacing w:line="276" w:lineRule="auto" w:before="240" w:after="20"/>
        <w:jc w:val="both"/>
      </w:pPr>
      <w:r>
        <w:rPr>
          <w:rFonts w:ascii="Times New Roman" w:hAnsi="Times New Roman"/>
          <w:color w:val="000000"/>
          <w:sz w:val="22"/>
        </w:rPr>
        <w:t>________________________________________</w:t>
      </w:r>
    </w:p>
    <w:p>
      <w:pPr>
        <w:spacing w:line="240" w:lineRule="auto" w:before="20" w:after="20"/>
        <w:jc w:val="both"/>
      </w:pPr>
      <w:r>
        <w:rPr>
          <w:rFonts w:ascii="Times New Roman" w:hAnsi="Times New Roman"/>
          <w:color w:val="000000"/>
          <w:sz w:val="22"/>
        </w:rPr>
        <w:t>Shannon Pryor Georgia Bar No. 598436 Braxton Cole LLP</w:t>
      </w:r>
    </w:p>
    <w:sectPr w:rsidR="00FC693F" w:rsidRPr="0006063C" w:rsidSect="00034616">
      <w:footerReference w:type="default" r:id="rId9"/>
      <w:head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rPr>
        <w:rFonts w:ascii="Times New Roman" w:hAnsi="Times New Roman"/>
        <w:color w:val="808080"/>
        <w:sz w:val="16"/>
      </w:rPr>
      <w:t>DEFENDANT DATACORE SYSTEMS, INC.'S MEMORANDUM OF LAW IN SUPPORT OF ITS MOTION TO DISMISS</w:t>
    </w:r>
  </w:p>
  <w:p>
    <w:pPr>
      <w:pStyle w:val="Footer"/>
      <w:jc w:val="center"/>
    </w:pPr>
    <w:r>
      <w:rPr>
        <w:rFonts w:ascii="Times New Roman" w:hAnsi="Times New Roman"/>
        <w:color w:val="808080"/>
        <w:sz w:val="18"/>
      </w:rPr>
      <w:fldChar w:fldCharType="begin"/>
    </w:r>
    <w:r>
      <w:instrText xml:space="preserve"> PAGE </w:instrText>
    </w:r>
    <w:r>
      <w:fldChar w:fldCharType="separate"/>
    </w:r>
    <w:r>
      <w:rPr>
        <w:rFonts w:ascii="Times New Roman" w:hAnsi="Times New Roman"/>
        <w:color w:val="808080"/>
        <w:sz w:val="18"/>
      </w:rPr>
      <w:t>1</w:t>
    </w:r>
    <w:r>
      <w:fldChar w:fldCharType="end"/>
    </w:r>
    <w:r>
      <w:rPr>
        <w:rFonts w:ascii="Times New Roman" w:hAnsi="Times New Roman"/>
        <w:color w:val="808080"/>
        <w:sz w:val="18"/>
      </w:rPr>
      <w:t xml:space="preserve"> of </w:t>
    </w:r>
    <w:r>
      <w:fldChar w:fldCharType="begin"/>
    </w:r>
    <w:r>
      <w:instrText xml:space="preserve"> NUMPAGES </w:instrText>
    </w:r>
    <w:r>
      <w:fldChar w:fldCharType="separate"/>
    </w:r>
    <w:r>
      <w:rPr>
        <w:rFonts w:ascii="Times New Roman" w:hAnsi="Times New Roman"/>
        <w:color w:val="808080"/>
        <w:sz w:val="18"/>
      </w:rP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color w:val="808080"/>
        <w:sz w:val="18"/>
      </w:rPr>
      <w:t>Case No. 1:24-cv-01287-RWS — Defendant's Memorandum in Support of Motion to Dismiss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20" w:before="0"/>
      <w:jc w:val="both"/>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