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line="276" w:lineRule="auto" w:before="120" w:after="240"/>
        <w:jc w:val="center"/>
      </w:pPr>
      <w:r>
        <w:rPr>
          <w:rFonts w:ascii="Times New Roman" w:hAnsi="Times New Roman"/>
          <w:b/>
          <w:color w:val="000000"/>
          <w:sz w:val="28"/>
          <w:u w:val="single"/>
        </w:rPr>
        <w:t>MASTER SERVICES AGREEMENT</w:t>
      </w:r>
    </w:p>
    <w:p>
      <w:pPr>
        <w:spacing w:line="276" w:lineRule="auto" w:before="0" w:after="120"/>
        <w:jc w:val="center"/>
      </w:pPr>
      <w:r>
        <w:rPr>
          <w:rFonts w:ascii="Times New Roman" w:hAnsi="Times New Roman"/>
          <w:b/>
          <w:color w:val="000000"/>
          <w:sz w:val="22"/>
        </w:rPr>
        <w:t>Agreement Number: MSA-2022-03287</w:t>
      </w:r>
    </w:p>
    <w:p>
      <w:pPr>
        <w:spacing w:line="276" w:lineRule="auto" w:before="0" w:after="120"/>
        <w:jc w:val="center"/>
      </w:pPr>
      <w:r>
        <w:rPr>
          <w:rFonts w:ascii="Times New Roman" w:hAnsi="Times New Roman"/>
          <w:b/>
          <w:color w:val="000000"/>
          <w:sz w:val="22"/>
        </w:rPr>
        <w:t>Effective Date: March 15, 2022</w:t>
      </w:r>
    </w:p>
    <w:p>
      <w:pPr>
        <w:spacing w:line="276" w:lineRule="auto" w:before="0" w:after="120"/>
        <w:jc w:val="both"/>
      </w:pPr>
      <w:r>
        <w:rPr>
          <w:rFonts w:ascii="Times New Roman" w:hAnsi="Times New Roman"/>
          <w:color w:val="000000"/>
          <w:sz w:val="22"/>
        </w:rPr>
        <w:t>&amp;nbsp;</w:t>
      </w:r>
    </w:p>
    <w:p>
      <w:pPr>
        <w:spacing w:line="276" w:lineRule="auto" w:before="0" w:after="120"/>
        <w:jc w:val="center"/>
      </w:pPr>
      <w:r>
        <w:rPr>
          <w:rFonts w:ascii="Times New Roman" w:hAnsi="Times New Roman"/>
          <w:b/>
          <w:color w:val="000000"/>
          <w:sz w:val="22"/>
        </w:rPr>
        <w:t>Between</w:t>
      </w:r>
    </w:p>
    <w:p>
      <w:pPr>
        <w:spacing w:line="276" w:lineRule="auto" w:before="0" w:after="120"/>
        <w:jc w:val="center"/>
      </w:pPr>
      <w:r>
        <w:rPr>
          <w:rFonts w:ascii="Times New Roman" w:hAnsi="Times New Roman"/>
          <w:b/>
          <w:color w:val="000000"/>
          <w:sz w:val="22"/>
        </w:rPr>
        <w:t>DATACORE SYSTEMS, INC.</w:t>
      </w:r>
      <w:r>
        <w:rPr>
          <w:rFonts w:ascii="Times New Roman" w:hAnsi="Times New Roman"/>
          <w:color w:val="000000"/>
          <w:sz w:val="22"/>
        </w:rPr>
        <w:t xml:space="preserve"> a Delaware corporation 750 Innovation Drive, Suite 300 Austin, Texas 78759</w:t>
      </w:r>
    </w:p>
    <w:p>
      <w:pPr>
        <w:spacing w:line="276" w:lineRule="auto" w:before="0" w:after="120"/>
        <w:jc w:val="center"/>
      </w:pPr>
      <w:r>
        <w:rPr>
          <w:rFonts w:ascii="Times New Roman" w:hAnsi="Times New Roman"/>
          <w:b/>
          <w:color w:val="000000"/>
          <w:sz w:val="22"/>
        </w:rPr>
        <w:t>and</w:t>
      </w:r>
    </w:p>
    <w:p>
      <w:pPr>
        <w:spacing w:line="276" w:lineRule="auto" w:before="0" w:after="120"/>
        <w:jc w:val="center"/>
      </w:pPr>
      <w:r>
        <w:rPr>
          <w:rFonts w:ascii="Times New Roman" w:hAnsi="Times New Roman"/>
          <w:b/>
          <w:color w:val="000000"/>
          <w:sz w:val="22"/>
        </w:rPr>
        <w:t>PINNACLE STAFFING SOLUTIONS, INC.</w:t>
      </w:r>
      <w:r>
        <w:rPr>
          <w:rFonts w:ascii="Times New Roman" w:hAnsi="Times New Roman"/>
          <w:color w:val="000000"/>
          <w:sz w:val="22"/>
        </w:rPr>
        <w:t xml:space="preserve"> a Georgia corporation 3200 Peachtree Road NE, Suite 1400 Atlanta, Georgia 30305</w:t>
      </w:r>
    </w:p>
    <w:p>
      <w:r>
        <w:br w:type="page"/>
      </w:r>
    </w:p>
    <w:p>
      <w:pPr>
        <w:jc w:val="left"/>
      </w:pPr>
      <w:r>
        <w:fldChar w:fldCharType="begin"/>
      </w:r>
      <w:r>
        <w:instrText xml:space="preserve"> TOC \o "1-2" \h \z \u </w:instrText>
      </w:r>
      <w:r>
        <w:fldChar w:fldCharType="separate"/>
      </w:r>
      <w:r>
        <w:rPr>
          <w:rFonts w:ascii="Times New Roman" w:hAnsi="Times New Roman"/>
          <w:color w:val="808080"/>
          <w:sz w:val="20"/>
        </w:rPr>
        <w:t>Right-click to update Table of Contents</w:t>
      </w:r>
      <w:r>
        <w:fldChar w:fldCharType="end"/>
      </w:r>
    </w:p>
    <w:p>
      <w:r>
        <w:br w:type="page"/>
      </w:r>
    </w:p>
    <w:p>
      <w:pPr>
        <w:keepNext/>
        <w:spacing w:line="276" w:lineRule="auto" w:before="360" w:after="120"/>
        <w:jc w:val="left"/>
      </w:pPr>
      <w:r>
        <w:rPr>
          <w:rFonts w:ascii="Times New Roman" w:hAnsi="Times New Roman"/>
          <w:b/>
          <w:color w:val="000000"/>
          <w:sz w:val="22"/>
          <w:u w:val="single"/>
        </w:rPr>
        <w:t>RECITALS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DataCore Systems, Inc., a Delaware corporation ("Provider"), is in the business of developing, licensing, and providing cloud-based human resources technology solutions, including its proprietary applicant tracking and workforce management platform known as "TalentBridge"; and</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Pinnacle Staffing Solutions, Inc., a Georgia corporation ("Customer"), is in the business of providing temporary and permanent staffing services throughout the southeastern United States and desires to license and use the TalentBridge platform to manage its applicant tracking, workforce management, and related human resources functions across its operations; and</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the parties desire to set forth the terms and conditions under which Provider will make the TalentBridge platform available to Customer on a software-as-a-service ("SaaS") subscription basis, and Provider will perform certain implementation, configuration, and support services in connection therewith; and</w:t>
      </w:r>
    </w:p>
    <w:p>
      <w:pPr>
        <w:spacing w:line="276" w:lineRule="auto" w:before="0" w:after="120"/>
        <w:jc w:val="both"/>
      </w:pPr>
      <w:r>
        <w:rPr>
          <w:rFonts w:ascii="Times New Roman" w:hAnsi="Times New Roman"/>
          <w:b/>
          <w:color w:val="000000"/>
          <w:sz w:val="22"/>
        </w:rPr>
        <w:t>NOW, THEREFORE</w:t>
      </w:r>
      <w:r>
        <w:rPr>
          <w:rFonts w:ascii="Times New Roman" w:hAnsi="Times New Roman"/>
          <w:color w:val="000000"/>
          <w:sz w:val="22"/>
        </w:rPr>
        <w:t>, in consideration of the mutual covenants and agreements set forth herein, and for other good and valuable consideration, the receipt and sufficiency of which are hereby acknowledged, the parties agree as follows.</w:t>
      </w:r>
    </w:p>
    <w:p>
      <w:r>
        <w:br w:type="page"/>
      </w:r>
    </w:p>
    <w:p>
      <w:pPr>
        <w:keepNext/>
        <w:spacing w:line="276" w:lineRule="auto" w:before="360" w:after="120"/>
        <w:jc w:val="left"/>
      </w:pPr>
      <w:r>
        <w:rPr>
          <w:rFonts w:ascii="Times New Roman" w:hAnsi="Times New Roman"/>
          <w:b/>
          <w:color w:val="000000"/>
          <w:sz w:val="22"/>
          <w:u w:val="single"/>
        </w:rPr>
        <w:t>ARTICLE 1 — DEFINITIONS</w:t>
      </w:r>
    </w:p>
    <w:p>
      <w:pPr>
        <w:spacing w:line="276" w:lineRule="auto" w:before="0" w:after="120"/>
        <w:jc w:val="both"/>
      </w:pPr>
      <w:r>
        <w:rPr>
          <w:rFonts w:ascii="Times New Roman" w:hAnsi="Times New Roman"/>
          <w:color w:val="000000"/>
          <w:sz w:val="22"/>
        </w:rPr>
        <w:t>As used in this Agreement, the following capitalized terms shall have the meanings set forth below:</w:t>
      </w:r>
    </w:p>
    <w:p>
      <w:pPr>
        <w:spacing w:line="276" w:lineRule="auto" w:before="0" w:after="120"/>
        <w:jc w:val="both"/>
      </w:pPr>
      <w:r>
        <w:rPr>
          <w:rFonts w:ascii="Times New Roman" w:hAnsi="Times New Roman"/>
          <w:b/>
          <w:color w:val="000000"/>
          <w:sz w:val="22"/>
        </w:rPr>
        <w:t>1.1</w:t>
      </w:r>
      <w:r>
        <w:rPr>
          <w:rFonts w:ascii="Times New Roman" w:hAnsi="Times New Roman"/>
          <w:color w:val="000000"/>
          <w:sz w:val="22"/>
        </w:rPr>
        <w:t xml:space="preserve"> "</w:t>
      </w:r>
      <w:r>
        <w:rPr>
          <w:rFonts w:ascii="Times New Roman" w:hAnsi="Times New Roman"/>
          <w:b/>
          <w:color w:val="000000"/>
          <w:sz w:val="22"/>
        </w:rPr>
        <w:t>Agreement</w:t>
      </w:r>
      <w:r>
        <w:rPr>
          <w:rFonts w:ascii="Times New Roman" w:hAnsi="Times New Roman"/>
          <w:color w:val="000000"/>
          <w:sz w:val="22"/>
        </w:rPr>
        <w:t>" means this Master Services Agreement, including all Exhibits and Schedules attached hereto and incorporated herein by reference, as the same may be amended from time to time in accordance with Section 14.7.</w:t>
      </w:r>
    </w:p>
    <w:p>
      <w:pPr>
        <w:spacing w:line="276" w:lineRule="auto" w:before="0" w:after="120"/>
        <w:jc w:val="both"/>
      </w:pPr>
      <w:r>
        <w:rPr>
          <w:rFonts w:ascii="Times New Roman" w:hAnsi="Times New Roman"/>
          <w:b/>
          <w:color w:val="000000"/>
          <w:sz w:val="22"/>
        </w:rPr>
        <w:t>1.2</w:t>
      </w:r>
      <w:r>
        <w:rPr>
          <w:rFonts w:ascii="Times New Roman" w:hAnsi="Times New Roman"/>
          <w:color w:val="000000"/>
          <w:sz w:val="22"/>
        </w:rPr>
        <w:t xml:space="preserve"> "</w:t>
      </w:r>
      <w:r>
        <w:rPr>
          <w:rFonts w:ascii="Times New Roman" w:hAnsi="Times New Roman"/>
          <w:b/>
          <w:color w:val="000000"/>
          <w:sz w:val="22"/>
        </w:rPr>
        <w:t>Authorized Users</w:t>
      </w:r>
      <w:r>
        <w:rPr>
          <w:rFonts w:ascii="Times New Roman" w:hAnsi="Times New Roman"/>
          <w:color w:val="000000"/>
          <w:sz w:val="22"/>
        </w:rPr>
        <w:t>" means the employees, contractors, and agents of Customer who are authorized by Customer to access and use the Platform in accordance with the terms of this Agreement and who have been assigned unique user credentials by Customer. The maximum number of Authorized Users permitted under this Agreement is specified in Exhibit A.</w:t>
      </w:r>
    </w:p>
    <w:p>
      <w:pPr>
        <w:spacing w:line="276" w:lineRule="auto" w:before="0" w:after="120"/>
        <w:jc w:val="both"/>
      </w:pPr>
      <w:r>
        <w:rPr>
          <w:rFonts w:ascii="Times New Roman" w:hAnsi="Times New Roman"/>
          <w:b/>
          <w:color w:val="000000"/>
          <w:sz w:val="22"/>
        </w:rPr>
        <w:t>1.3</w:t>
      </w:r>
      <w:r>
        <w:rPr>
          <w:rFonts w:ascii="Times New Roman" w:hAnsi="Times New Roman"/>
          <w:color w:val="000000"/>
          <w:sz w:val="22"/>
        </w:rPr>
        <w:t xml:space="preserve"> "</w:t>
      </w:r>
      <w:r>
        <w:rPr>
          <w:rFonts w:ascii="Times New Roman" w:hAnsi="Times New Roman"/>
          <w:b/>
          <w:color w:val="000000"/>
          <w:sz w:val="22"/>
        </w:rPr>
        <w:t>Confidential Information</w:t>
      </w:r>
      <w:r>
        <w:rPr>
          <w:rFonts w:ascii="Times New Roman" w:hAnsi="Times New Roman"/>
          <w:color w:val="000000"/>
          <w:sz w:val="22"/>
        </w:rPr>
        <w:t>" means any and all non-public information disclosed by one party (the "Disclosing Party") to the other party (the "Receiving Party"), whether disclosed orally, in writing, or by inspection, that is designated as confidential or that reasonably should be understood to be confidential given the nature of the information and the circumstances of disclosure. Confidential Information includes, without limitation, business plans, financial information, technical data, product plans, software, source code, object code, algorithms, trade secrets, customer lists, pricing information, marketing strategies, and any other proprietary information. Without limiting the foregoing, all Customer Data shall be deemed Confidential Information of Customer, and the Platform and all related technology, including the source code, architecture, and design of the Platform, shall be deemed Confidential Information of Provider.</w:t>
      </w:r>
    </w:p>
    <w:p>
      <w:pPr>
        <w:spacing w:line="276" w:lineRule="auto" w:before="0" w:after="120"/>
        <w:jc w:val="both"/>
      </w:pPr>
      <w:r>
        <w:rPr>
          <w:rFonts w:ascii="Times New Roman" w:hAnsi="Times New Roman"/>
          <w:b/>
          <w:color w:val="000000"/>
          <w:sz w:val="22"/>
        </w:rPr>
        <w:t>1.4</w:t>
      </w:r>
      <w:r>
        <w:rPr>
          <w:rFonts w:ascii="Times New Roman" w:hAnsi="Times New Roman"/>
          <w:color w:val="000000"/>
          <w:sz w:val="22"/>
        </w:rPr>
        <w:t xml:space="preserve"> "</w:t>
      </w:r>
      <w:r>
        <w:rPr>
          <w:rFonts w:ascii="Times New Roman" w:hAnsi="Times New Roman"/>
          <w:b/>
          <w:color w:val="000000"/>
          <w:sz w:val="22"/>
        </w:rPr>
        <w:t>Customer Data</w:t>
      </w:r>
      <w:r>
        <w:rPr>
          <w:rFonts w:ascii="Times New Roman" w:hAnsi="Times New Roman"/>
          <w:color w:val="000000"/>
          <w:sz w:val="22"/>
        </w:rPr>
        <w:t>" means all data, content, files, records, and information that is uploaded, entered, transmitted, or otherwise made available by Customer or its Authorized Users to or through the Platform, including without limitation applicant information, employee records, workforce data, and any personal data of Customer's employees, contractors, applicants, or clients.</w:t>
      </w:r>
    </w:p>
    <w:p>
      <w:pPr>
        <w:spacing w:line="276" w:lineRule="auto" w:before="0" w:after="120"/>
        <w:jc w:val="both"/>
      </w:pPr>
      <w:r>
        <w:rPr>
          <w:rFonts w:ascii="Times New Roman" w:hAnsi="Times New Roman"/>
          <w:b/>
          <w:color w:val="000000"/>
          <w:sz w:val="22"/>
        </w:rPr>
        <w:t>1.5</w:t>
      </w:r>
      <w:r>
        <w:rPr>
          <w:rFonts w:ascii="Times New Roman" w:hAnsi="Times New Roman"/>
          <w:color w:val="000000"/>
          <w:sz w:val="22"/>
        </w:rPr>
        <w:t xml:space="preserve"> "</w:t>
      </w:r>
      <w:r>
        <w:rPr>
          <w:rFonts w:ascii="Times New Roman" w:hAnsi="Times New Roman"/>
          <w:b/>
          <w:color w:val="000000"/>
          <w:sz w:val="22"/>
        </w:rPr>
        <w:t>Documentation</w:t>
      </w:r>
      <w:r>
        <w:rPr>
          <w:rFonts w:ascii="Times New Roman" w:hAnsi="Times New Roman"/>
          <w:color w:val="000000"/>
          <w:sz w:val="22"/>
        </w:rPr>
        <w:t>" means Provider's standard user manuals, help files, online knowledge base, technical specifications, and other technical documentation for the Platform, as updated by Provider from time to time and made available to Customer through the Platform or Provider's website.</w:t>
      </w:r>
    </w:p>
    <w:p>
      <w:pPr>
        <w:spacing w:line="276" w:lineRule="auto" w:before="0" w:after="120"/>
        <w:jc w:val="both"/>
      </w:pPr>
      <w:r>
        <w:rPr>
          <w:rFonts w:ascii="Times New Roman" w:hAnsi="Times New Roman"/>
          <w:b/>
          <w:color w:val="000000"/>
          <w:sz w:val="22"/>
        </w:rPr>
        <w:t>1.6</w:t>
      </w:r>
      <w:r>
        <w:rPr>
          <w:rFonts w:ascii="Times New Roman" w:hAnsi="Times New Roman"/>
          <w:color w:val="000000"/>
          <w:sz w:val="22"/>
        </w:rPr>
        <w:t xml:space="preserve"> "</w:t>
      </w:r>
      <w:r>
        <w:rPr>
          <w:rFonts w:ascii="Times New Roman" w:hAnsi="Times New Roman"/>
          <w:b/>
          <w:color w:val="000000"/>
          <w:sz w:val="22"/>
        </w:rPr>
        <w:t>Effective Date</w:t>
      </w:r>
      <w:r>
        <w:rPr>
          <w:rFonts w:ascii="Times New Roman" w:hAnsi="Times New Roman"/>
          <w:color w:val="000000"/>
          <w:sz w:val="22"/>
        </w:rPr>
        <w:t>" means March 15, 2022.</w:t>
      </w:r>
    </w:p>
    <w:p>
      <w:pPr>
        <w:spacing w:line="276" w:lineRule="auto" w:before="0" w:after="120"/>
        <w:jc w:val="both"/>
      </w:pPr>
      <w:r>
        <w:rPr>
          <w:rFonts w:ascii="Times New Roman" w:hAnsi="Times New Roman"/>
          <w:b/>
          <w:color w:val="000000"/>
          <w:sz w:val="22"/>
        </w:rPr>
        <w:t>1.7</w:t>
      </w:r>
      <w:r>
        <w:rPr>
          <w:rFonts w:ascii="Times New Roman" w:hAnsi="Times New Roman"/>
          <w:color w:val="000000"/>
          <w:sz w:val="22"/>
        </w:rPr>
        <w:t xml:space="preserve"> "</w:t>
      </w:r>
      <w:r>
        <w:rPr>
          <w:rFonts w:ascii="Times New Roman" w:hAnsi="Times New Roman"/>
          <w:b/>
          <w:color w:val="000000"/>
          <w:sz w:val="22"/>
        </w:rPr>
        <w:t>Fees</w:t>
      </w:r>
      <w:r>
        <w:rPr>
          <w:rFonts w:ascii="Times New Roman" w:hAnsi="Times New Roman"/>
          <w:color w:val="000000"/>
          <w:sz w:val="22"/>
        </w:rPr>
        <w:t>" means, collectively, the Subscription Fees, the Implementation Fee, and any other fees set forth in Exhibit A or otherwise agreed upon by the parties in writing pursuant to this Agreement.</w:t>
      </w:r>
    </w:p>
    <w:p>
      <w:pPr>
        <w:spacing w:line="276" w:lineRule="auto" w:before="0" w:after="120"/>
        <w:jc w:val="both"/>
      </w:pPr>
      <w:r>
        <w:rPr>
          <w:rFonts w:ascii="Times New Roman" w:hAnsi="Times New Roman"/>
          <w:b/>
          <w:color w:val="000000"/>
          <w:sz w:val="22"/>
        </w:rPr>
        <w:t>1.8</w:t>
      </w:r>
      <w:r>
        <w:rPr>
          <w:rFonts w:ascii="Times New Roman" w:hAnsi="Times New Roman"/>
          <w:color w:val="000000"/>
          <w:sz w:val="22"/>
        </w:rPr>
        <w:t xml:space="preserve"> "</w:t>
      </w:r>
      <w:r>
        <w:rPr>
          <w:rFonts w:ascii="Times New Roman" w:hAnsi="Times New Roman"/>
          <w:b/>
          <w:color w:val="000000"/>
          <w:sz w:val="22"/>
        </w:rPr>
        <w:t>Implementation Services</w:t>
      </w:r>
      <w:r>
        <w:rPr>
          <w:rFonts w:ascii="Times New Roman" w:hAnsi="Times New Roman"/>
          <w:color w:val="000000"/>
          <w:sz w:val="22"/>
        </w:rPr>
        <w:t>" means the configuration, setup, data migration, integration, and training services to be performed by Provider as more particularly described in Exhibit B.</w:t>
      </w:r>
    </w:p>
    <w:p>
      <w:pPr>
        <w:spacing w:line="276" w:lineRule="auto" w:before="0" w:after="120"/>
        <w:jc w:val="both"/>
      </w:pPr>
      <w:r>
        <w:rPr>
          <w:rFonts w:ascii="Times New Roman" w:hAnsi="Times New Roman"/>
          <w:b/>
          <w:color w:val="000000"/>
          <w:sz w:val="22"/>
        </w:rPr>
        <w:t>1.9</w:t>
      </w:r>
      <w:r>
        <w:rPr>
          <w:rFonts w:ascii="Times New Roman" w:hAnsi="Times New Roman"/>
          <w:color w:val="000000"/>
          <w:sz w:val="22"/>
        </w:rPr>
        <w:t xml:space="preserve"> "</w:t>
      </w:r>
      <w:r>
        <w:rPr>
          <w:rFonts w:ascii="Times New Roman" w:hAnsi="Times New Roman"/>
          <w:b/>
          <w:color w:val="000000"/>
          <w:sz w:val="22"/>
        </w:rPr>
        <w:t>Platform</w:t>
      </w:r>
      <w:r>
        <w:rPr>
          <w:rFonts w:ascii="Times New Roman" w:hAnsi="Times New Roman"/>
          <w:color w:val="000000"/>
          <w:sz w:val="22"/>
        </w:rPr>
        <w:t>" or "</w:t>
      </w:r>
      <w:r>
        <w:rPr>
          <w:rFonts w:ascii="Times New Roman" w:hAnsi="Times New Roman"/>
          <w:b/>
          <w:color w:val="000000"/>
          <w:sz w:val="22"/>
        </w:rPr>
        <w:t>TalentBridge Platform</w:t>
      </w:r>
      <w:r>
        <w:rPr>
          <w:rFonts w:ascii="Times New Roman" w:hAnsi="Times New Roman"/>
          <w:color w:val="000000"/>
          <w:sz w:val="22"/>
        </w:rPr>
        <w:t>" means Provider's proprietary cloud-based applicant tracking and workforce management software-as-a-service platform, including all modules, features, and functionality made available to Customer under this Agreement, together with all Updates provided by Provider during the Subscription Term.</w:t>
      </w:r>
    </w:p>
    <w:p>
      <w:pPr>
        <w:spacing w:line="276" w:lineRule="auto" w:before="0" w:after="120"/>
        <w:jc w:val="both"/>
      </w:pPr>
      <w:r>
        <w:rPr>
          <w:rFonts w:ascii="Times New Roman" w:hAnsi="Times New Roman"/>
          <w:b/>
          <w:color w:val="000000"/>
          <w:sz w:val="22"/>
        </w:rPr>
        <w:t>1.10</w:t>
      </w:r>
      <w:r>
        <w:rPr>
          <w:rFonts w:ascii="Times New Roman" w:hAnsi="Times New Roman"/>
          <w:color w:val="000000"/>
          <w:sz w:val="22"/>
        </w:rPr>
        <w:t xml:space="preserve"> "</w:t>
      </w:r>
      <w:r>
        <w:rPr>
          <w:rFonts w:ascii="Times New Roman" w:hAnsi="Times New Roman"/>
          <w:b/>
          <w:color w:val="000000"/>
          <w:sz w:val="22"/>
        </w:rPr>
        <w:t>Service Level Agreement</w:t>
      </w:r>
      <w:r>
        <w:rPr>
          <w:rFonts w:ascii="Times New Roman" w:hAnsi="Times New Roman"/>
          <w:color w:val="000000"/>
          <w:sz w:val="22"/>
        </w:rPr>
        <w:t>" or "</w:t>
      </w:r>
      <w:r>
        <w:rPr>
          <w:rFonts w:ascii="Times New Roman" w:hAnsi="Times New Roman"/>
          <w:b/>
          <w:color w:val="000000"/>
          <w:sz w:val="22"/>
        </w:rPr>
        <w:t>SLA</w:t>
      </w:r>
      <w:r>
        <w:rPr>
          <w:rFonts w:ascii="Times New Roman" w:hAnsi="Times New Roman"/>
          <w:color w:val="000000"/>
          <w:sz w:val="22"/>
        </w:rPr>
        <w:t>" means the service level commitments and related terms set forth in Exhibit C attached hereto.</w:t>
      </w:r>
    </w:p>
    <w:p>
      <w:pPr>
        <w:spacing w:line="276" w:lineRule="auto" w:before="0" w:after="120"/>
        <w:jc w:val="both"/>
      </w:pPr>
      <w:r>
        <w:rPr>
          <w:rFonts w:ascii="Times New Roman" w:hAnsi="Times New Roman"/>
          <w:b/>
          <w:color w:val="000000"/>
          <w:sz w:val="22"/>
        </w:rPr>
        <w:t>1.11</w:t>
      </w:r>
      <w:r>
        <w:rPr>
          <w:rFonts w:ascii="Times New Roman" w:hAnsi="Times New Roman"/>
          <w:color w:val="000000"/>
          <w:sz w:val="22"/>
        </w:rPr>
        <w:t xml:space="preserve"> "</w:t>
      </w:r>
      <w:r>
        <w:rPr>
          <w:rFonts w:ascii="Times New Roman" w:hAnsi="Times New Roman"/>
          <w:b/>
          <w:color w:val="000000"/>
          <w:sz w:val="22"/>
        </w:rPr>
        <w:t>Subscription Fee</w:t>
      </w:r>
      <w:r>
        <w:rPr>
          <w:rFonts w:ascii="Times New Roman" w:hAnsi="Times New Roman"/>
          <w:color w:val="000000"/>
          <w:sz w:val="22"/>
        </w:rPr>
        <w:t>" means the recurring fee payable by Customer for access to and use of the Platform during the Subscription Term, as set forth in Exhibit A.</w:t>
      </w:r>
    </w:p>
    <w:p>
      <w:pPr>
        <w:spacing w:line="276" w:lineRule="auto" w:before="0" w:after="120"/>
        <w:jc w:val="both"/>
      </w:pPr>
      <w:r>
        <w:rPr>
          <w:rFonts w:ascii="Times New Roman" w:hAnsi="Times New Roman"/>
          <w:b/>
          <w:color w:val="000000"/>
          <w:sz w:val="22"/>
        </w:rPr>
        <w:t>1.12</w:t>
      </w:r>
      <w:r>
        <w:rPr>
          <w:rFonts w:ascii="Times New Roman" w:hAnsi="Times New Roman"/>
          <w:color w:val="000000"/>
          <w:sz w:val="22"/>
        </w:rPr>
        <w:t xml:space="preserve"> "</w:t>
      </w:r>
      <w:r>
        <w:rPr>
          <w:rFonts w:ascii="Times New Roman" w:hAnsi="Times New Roman"/>
          <w:b/>
          <w:color w:val="000000"/>
          <w:sz w:val="22"/>
        </w:rPr>
        <w:t>Subscription Term</w:t>
      </w:r>
      <w:r>
        <w:rPr>
          <w:rFonts w:ascii="Times New Roman" w:hAnsi="Times New Roman"/>
          <w:color w:val="000000"/>
          <w:sz w:val="22"/>
        </w:rPr>
        <w:t>" has the meaning set forth in Section 8.1.</w:t>
      </w:r>
    </w:p>
    <w:p>
      <w:pPr>
        <w:spacing w:line="276" w:lineRule="auto" w:before="0" w:after="120"/>
        <w:jc w:val="both"/>
      </w:pPr>
      <w:r>
        <w:rPr>
          <w:rFonts w:ascii="Times New Roman" w:hAnsi="Times New Roman"/>
          <w:b/>
          <w:color w:val="000000"/>
          <w:sz w:val="22"/>
        </w:rPr>
        <w:t>1.13</w:t>
      </w:r>
      <w:r>
        <w:rPr>
          <w:rFonts w:ascii="Times New Roman" w:hAnsi="Times New Roman"/>
          <w:color w:val="000000"/>
          <w:sz w:val="22"/>
        </w:rPr>
        <w:t xml:space="preserve"> "</w:t>
      </w:r>
      <w:r>
        <w:rPr>
          <w:rFonts w:ascii="Times New Roman" w:hAnsi="Times New Roman"/>
          <w:b/>
          <w:color w:val="000000"/>
          <w:sz w:val="22"/>
        </w:rPr>
        <w:t>Updates</w:t>
      </w:r>
      <w:r>
        <w:rPr>
          <w:rFonts w:ascii="Times New Roman" w:hAnsi="Times New Roman"/>
          <w:color w:val="000000"/>
          <w:sz w:val="22"/>
        </w:rPr>
        <w:t>" means patches, bug fixes, error corrections, enhancements, improvements, and new releases or versions of the Platform that Provider makes generally available to its subscribers at no additional charge during the Subscription Term. Updates do not include new products or modules that Provider markets as separate offerings requiring separate subscription fees.</w:t>
      </w:r>
    </w:p>
    <w:p>
      <w:r>
        <w:br w:type="page"/>
      </w:r>
    </w:p>
    <w:p>
      <w:pPr>
        <w:keepNext/>
        <w:spacing w:line="276" w:lineRule="auto" w:before="360" w:after="120"/>
        <w:jc w:val="left"/>
      </w:pPr>
      <w:r>
        <w:rPr>
          <w:rFonts w:ascii="Times New Roman" w:hAnsi="Times New Roman"/>
          <w:b/>
          <w:color w:val="000000"/>
          <w:sz w:val="22"/>
          <w:u w:val="single"/>
        </w:rPr>
        <w:t>ARTICLE 2 — LICENSE GRANT AND ACCESS</w:t>
      </w:r>
    </w:p>
    <w:p>
      <w:pPr>
        <w:keepNext/>
        <w:spacing w:line="276" w:lineRule="auto" w:before="200" w:after="80"/>
        <w:ind w:left="0"/>
      </w:pPr>
      <w:r>
        <w:rPr>
          <w:rFonts w:ascii="Times New Roman" w:hAnsi="Times New Roman"/>
          <w:b/>
          <w:color w:val="000000"/>
          <w:sz w:val="22"/>
        </w:rPr>
        <w:t>Section 2.1 — License Grant</w:t>
      </w:r>
    </w:p>
    <w:p>
      <w:pPr>
        <w:spacing w:line="276" w:lineRule="auto" w:before="0" w:after="120"/>
        <w:jc w:val="both"/>
      </w:pPr>
      <w:r>
        <w:rPr>
          <w:rFonts w:ascii="Times New Roman" w:hAnsi="Times New Roman"/>
          <w:color w:val="000000"/>
          <w:sz w:val="22"/>
        </w:rPr>
        <w:t>Subject to the terms and conditions of this Agreement and Customer's payment of all applicable Fees, Provider hereby grants to Customer a non-exclusive, non-transferable, non-sublicensable right to access and use the TalentBridge Platform during the Subscription Term, solely for Customer's internal business operations related to applicant tracking, workforce management, and human resources functions. This license is limited to Customer's Authorized Users and shall not exceed the maximum user count specified in Exhibit A. Each Authorized User shall be assigned a unique set of login credentials, and Customer shall ensure that login credentials are not shared among multiple individuals. Customer shall be responsible for all activities that occur under its Authorized Users' accounts and for maintaining the confidentiality of all login credentials.</w:t>
      </w:r>
    </w:p>
    <w:p>
      <w:pPr>
        <w:keepNext/>
        <w:spacing w:line="276" w:lineRule="auto" w:before="200" w:after="80"/>
        <w:ind w:left="0"/>
      </w:pPr>
      <w:r>
        <w:rPr>
          <w:rFonts w:ascii="Times New Roman" w:hAnsi="Times New Roman"/>
          <w:b/>
          <w:color w:val="000000"/>
          <w:sz w:val="22"/>
        </w:rPr>
        <w:t>Section 2.2 — Access and Availability</w:t>
      </w:r>
    </w:p>
    <w:p>
      <w:pPr>
        <w:spacing w:line="276" w:lineRule="auto" w:before="0" w:after="120"/>
        <w:jc w:val="both"/>
      </w:pPr>
      <w:r>
        <w:rPr>
          <w:rFonts w:ascii="Times New Roman" w:hAnsi="Times New Roman"/>
          <w:color w:val="000000"/>
          <w:sz w:val="22"/>
        </w:rPr>
        <w:t>Provider shall use commercially reasonable efforts to make the Platform available to Customer and its Authorized Users twenty-four (24) hours per day, seven (7) days per week, with a target availability of ninety-nine and one-half percent (99.5%) of the time during each calendar month, measured in accordance with the SLA. Scheduled maintenance windows shall be excluded from the availability calculation. The specific availability metrics, measurement methodology, and remedies for failure to meet availability targets are set forth in the SLA attached hereto as Exhibit C.</w:t>
      </w:r>
    </w:p>
    <w:p>
      <w:pPr>
        <w:keepNext/>
        <w:spacing w:line="276" w:lineRule="auto" w:before="200" w:after="80"/>
        <w:ind w:left="0"/>
      </w:pPr>
      <w:r>
        <w:rPr>
          <w:rFonts w:ascii="Times New Roman" w:hAnsi="Times New Roman"/>
          <w:b/>
          <w:color w:val="000000"/>
          <w:sz w:val="22"/>
        </w:rPr>
        <w:t>Section 2.3 — Restrictions on Use</w:t>
      </w:r>
    </w:p>
    <w:p>
      <w:pPr>
        <w:spacing w:line="276" w:lineRule="auto" w:before="0" w:after="120"/>
        <w:jc w:val="both"/>
      </w:pPr>
      <w:r>
        <w:rPr>
          <w:rFonts w:ascii="Times New Roman" w:hAnsi="Times New Roman"/>
          <w:color w:val="000000"/>
          <w:sz w:val="22"/>
        </w:rPr>
        <w:t>Customer shall not, and shall not permit any Authorized User or third party to: (a) sublicense, sell, resell, rent, lease, lend, distribute, or otherwise transfer or make available the Platform or any portion thereof to any third party, except as expressly permitted by this Agreement; (b) reverse engineer, decompile, disassemble, or otherwise attempt to derive the source code, underlying algorithms, or structure of the Platform; (c) access or use the Platform for the purpose of building, developing, or marketing a product or service that competes with the Platform; (d) exceed the maximum number of Authorized Users specified in Exhibit A without Provider's prior written consent and payment of applicable additional user fees; (e) use the Platform in violation of any applicable law, rule, or regulation; or (f) use the Platform to store, transmit, or process any content that is unlawful, harmful, threatening, abusive, defamatory, or otherwise objectionable.</w:t>
      </w:r>
    </w:p>
    <w:p>
      <w:pPr>
        <w:keepNext/>
        <w:spacing w:line="276" w:lineRule="auto" w:before="200" w:after="80"/>
        <w:ind w:left="0"/>
      </w:pPr>
      <w:r>
        <w:rPr>
          <w:rFonts w:ascii="Times New Roman" w:hAnsi="Times New Roman"/>
          <w:b/>
          <w:color w:val="000000"/>
          <w:sz w:val="22"/>
        </w:rPr>
        <w:t>Section 2.4 — Provider Responsibilities</w:t>
      </w:r>
    </w:p>
    <w:p>
      <w:pPr>
        <w:spacing w:line="276" w:lineRule="auto" w:before="0" w:after="120"/>
        <w:jc w:val="both"/>
      </w:pPr>
      <w:r>
        <w:rPr>
          <w:rFonts w:ascii="Times New Roman" w:hAnsi="Times New Roman"/>
          <w:color w:val="000000"/>
          <w:sz w:val="22"/>
        </w:rPr>
        <w:t>Provider shall: (a) provide the Platform in material conformity with the Documentation throughout the Subscription Term; (b) perform the Implementation Services as described in Exhibit B in a professional and workmanlike manner; (c) implement and maintain commercially reasonable administrative, technical, and physical security measures designed to protect Customer Data against unauthorized access, loss, alteration, or disclosure, in accordance with Article 12; and (d) make Updates generally available to Customer as part of the Subscription Fee as they become available to Provider's subscriber base. Provider shall provide Customer with reasonable advance notice of any material changes to the Platform's functionality or user interface.</w:t>
      </w:r>
    </w:p>
    <w:p>
      <w:r>
        <w:br w:type="page"/>
      </w:r>
    </w:p>
    <w:p>
      <w:pPr>
        <w:keepNext/>
        <w:spacing w:line="276" w:lineRule="auto" w:before="360" w:after="120"/>
        <w:jc w:val="left"/>
      </w:pPr>
      <w:r>
        <w:rPr>
          <w:rFonts w:ascii="Times New Roman" w:hAnsi="Times New Roman"/>
          <w:b/>
          <w:color w:val="000000"/>
          <w:sz w:val="22"/>
          <w:u w:val="single"/>
        </w:rPr>
        <w:t>ARTICLE 3 — IMPLEMENTATION SERVICES</w:t>
      </w:r>
    </w:p>
    <w:p>
      <w:pPr>
        <w:keepNext/>
        <w:spacing w:line="276" w:lineRule="auto" w:before="200" w:after="80"/>
        <w:ind w:left="0"/>
      </w:pPr>
      <w:r>
        <w:rPr>
          <w:rFonts w:ascii="Times New Roman" w:hAnsi="Times New Roman"/>
          <w:b/>
          <w:color w:val="000000"/>
          <w:sz w:val="22"/>
        </w:rPr>
        <w:t>Section 3.1 — Scope of Implementation</w:t>
      </w:r>
    </w:p>
    <w:p>
      <w:pPr>
        <w:spacing w:line="276" w:lineRule="auto" w:before="0" w:after="120"/>
        <w:jc w:val="both"/>
      </w:pPr>
      <w:r>
        <w:rPr>
          <w:rFonts w:ascii="Times New Roman" w:hAnsi="Times New Roman"/>
          <w:color w:val="000000"/>
          <w:sz w:val="22"/>
        </w:rPr>
        <w:t>Provider shall perform the Implementation Services described in Exhibit B attached hereto, which shall include initial configuration and customization of the Platform to accommodate Customer's operational requirements, data migration from Customer's existing applicant tracking and human resources systems, configuration of standard integrations with Customer's designated third-party applications as specified in Exhibit B, and end-user and administrator training as further detailed in Exhibit B.</w:t>
      </w:r>
    </w:p>
    <w:p>
      <w:pPr>
        <w:keepNext/>
        <w:spacing w:line="276" w:lineRule="auto" w:before="200" w:after="80"/>
        <w:ind w:left="0"/>
      </w:pPr>
      <w:r>
        <w:rPr>
          <w:rFonts w:ascii="Times New Roman" w:hAnsi="Times New Roman"/>
          <w:b/>
          <w:color w:val="000000"/>
          <w:sz w:val="22"/>
        </w:rPr>
        <w:t>Section 3.2 — Implementation Timeline</w:t>
      </w:r>
    </w:p>
    <w:p>
      <w:pPr>
        <w:spacing w:line="276" w:lineRule="auto" w:before="0" w:after="120"/>
        <w:jc w:val="both"/>
      </w:pPr>
      <w:r>
        <w:rPr>
          <w:rFonts w:ascii="Times New Roman" w:hAnsi="Times New Roman"/>
          <w:color w:val="000000"/>
          <w:sz w:val="22"/>
        </w:rPr>
        <w:t>Provider shall use commercially reasonable efforts to complete the Implementation Services within ninety (90) days following the Effective Date. The target completion date for the Implementation Services is June 15, 2022. Customer acknowledges and agrees that timely completion of the Implementation Services is dependent upon Customer's reasonable cooperation, including without limitation: (a) provision of timely access to Customer's existing systems, data, and network environments; (b) designation of a dedicated project manager to serve as the primary point of contact for all implementation-related matters; (c) availability of Customer personnel for training sessions and user acceptance testing; and (d) timely review and approval of implementation milestones. Any delay in the Implementation Services attributable to Customer's failure to fulfill the foregoing responsibilities shall extend the implementation timeline by a commensurate period.</w:t>
      </w:r>
    </w:p>
    <w:p>
      <w:pPr>
        <w:keepNext/>
        <w:spacing w:line="276" w:lineRule="auto" w:before="200" w:after="80"/>
        <w:ind w:left="0"/>
      </w:pPr>
      <w:r>
        <w:rPr>
          <w:rFonts w:ascii="Times New Roman" w:hAnsi="Times New Roman"/>
          <w:b/>
          <w:color w:val="000000"/>
          <w:sz w:val="22"/>
        </w:rPr>
        <w:t>Section 3.3 — Implementation Acceptance</w:t>
      </w:r>
    </w:p>
    <w:p>
      <w:pPr>
        <w:spacing w:line="276" w:lineRule="auto" w:before="0" w:after="120"/>
        <w:jc w:val="both"/>
      </w:pPr>
      <w:r>
        <w:rPr>
          <w:rFonts w:ascii="Times New Roman" w:hAnsi="Times New Roman"/>
          <w:color w:val="000000"/>
          <w:sz w:val="22"/>
        </w:rPr>
        <w:t>Upon completion of the Implementation Services, Provider shall deliver written notice to Customer that the implementation is ready for acceptance testing. Customer shall have fifteen (15) business days following receipt of such notice (the "Acceptance Period") to test the implementation and verify that the Implementation Services have been performed in material conformity with the specifications set forth in Exhibit B. If Customer identifies any material deficiencies during the Acceptance Period, Customer shall deliver written notice to Provider specifying such deficiencies in reasonable detail, and Provider shall use commercially reasonable efforts to remedy such deficiencies within thirty (30) days following receipt of Customer's notice. If Customer does not deliver written notice of material deficiency to Provider within the Acceptance Period, the Implementation Services shall be deemed accepted by Customer as of the expiration of the Acceptance Period.</w:t>
      </w:r>
    </w:p>
    <w:p>
      <w:pPr>
        <w:keepNext/>
        <w:spacing w:line="276" w:lineRule="auto" w:before="200" w:after="80"/>
        <w:ind w:left="0"/>
      </w:pPr>
      <w:r>
        <w:rPr>
          <w:rFonts w:ascii="Times New Roman" w:hAnsi="Times New Roman"/>
          <w:b/>
          <w:color w:val="000000"/>
          <w:sz w:val="22"/>
        </w:rPr>
        <w:t>Section 3.4 — Customer Cooperation</w:t>
      </w:r>
    </w:p>
    <w:p>
      <w:pPr>
        <w:spacing w:line="276" w:lineRule="auto" w:before="0" w:after="120"/>
        <w:jc w:val="both"/>
      </w:pPr>
      <w:r>
        <w:rPr>
          <w:rFonts w:ascii="Times New Roman" w:hAnsi="Times New Roman"/>
          <w:color w:val="000000"/>
          <w:sz w:val="22"/>
        </w:rPr>
        <w:t>Customer shall designate a project manager who shall have sufficient authority and availability to make decisions and provide approvals on Customer's behalf in connection with the Implementation Services. Customer shall provide all reasonably requested information, access, and cooperation necessary for Provider to perform the Implementation Services. Customer acknowledges that Provider's ability to perform the Implementation Services in a timely and efficient manner is dependent upon Customer's fulfillment of its cooperation obligations under this Section 3.4, and that any failure by Customer to cooperate may result in delays to the implementation timeline and additional costs that shall be borne by Customer.</w:t>
      </w:r>
    </w:p>
    <w:p>
      <w:r>
        <w:br w:type="page"/>
      </w:r>
    </w:p>
    <w:p>
      <w:pPr>
        <w:keepNext/>
        <w:spacing w:line="276" w:lineRule="auto" w:before="360" w:after="120"/>
        <w:jc w:val="left"/>
      </w:pPr>
      <w:r>
        <w:rPr>
          <w:rFonts w:ascii="Times New Roman" w:hAnsi="Times New Roman"/>
          <w:b/>
          <w:color w:val="000000"/>
          <w:sz w:val="22"/>
          <w:u w:val="single"/>
        </w:rPr>
        <w:t>ARTICLE 4 — THIRD-PARTY INTEGRATIONS</w:t>
      </w:r>
    </w:p>
    <w:p>
      <w:pPr>
        <w:keepNext/>
        <w:spacing w:line="276" w:lineRule="auto" w:before="200" w:after="80"/>
        <w:ind w:left="0"/>
      </w:pPr>
      <w:r>
        <w:rPr>
          <w:rFonts w:ascii="Times New Roman" w:hAnsi="Times New Roman"/>
          <w:b/>
          <w:color w:val="000000"/>
          <w:sz w:val="22"/>
        </w:rPr>
        <w:t>Section 4.1 — Standard Integrations</w:t>
      </w:r>
    </w:p>
    <w:p>
      <w:pPr>
        <w:spacing w:line="276" w:lineRule="auto" w:before="0" w:after="120"/>
        <w:jc w:val="both"/>
      </w:pPr>
      <w:r>
        <w:rPr>
          <w:rFonts w:ascii="Times New Roman" w:hAnsi="Times New Roman"/>
          <w:color w:val="000000"/>
          <w:sz w:val="22"/>
        </w:rPr>
        <w:t>The Platform supports integration with certain third-party applications as identified in the Documentation and as set forth in Exhibit B. Provider shall configure the standard integrations specified in Exhibit B as part of the Implementation Services, using Provider's standard integration connectors. The availability and functionality of standard integrations shall be determined by reference to Provider's then-current list of supported integrations, as updated by Provider from time to time. Provider shall use commercially reasonable efforts to maintain the functionality of standard integrations during the Subscription Term; however, Provider does not guarantee uninterrupted or error-free operation of any integration with third-party applications.</w:t>
      </w:r>
    </w:p>
    <w:p>
      <w:pPr>
        <w:keepNext/>
        <w:spacing w:line="276" w:lineRule="auto" w:before="200" w:after="80"/>
        <w:ind w:left="0"/>
      </w:pPr>
      <w:r>
        <w:rPr>
          <w:rFonts w:ascii="Times New Roman" w:hAnsi="Times New Roman"/>
          <w:b/>
          <w:color w:val="000000"/>
          <w:sz w:val="22"/>
        </w:rPr>
        <w:t>Section 4.2 — Custom Integrations</w:t>
      </w:r>
    </w:p>
    <w:p>
      <w:pPr>
        <w:spacing w:line="276" w:lineRule="auto" w:before="0" w:after="120"/>
        <w:jc w:val="both"/>
      </w:pPr>
      <w:r>
        <w:rPr>
          <w:rFonts w:ascii="Times New Roman" w:hAnsi="Times New Roman"/>
          <w:color w:val="000000"/>
          <w:sz w:val="22"/>
        </w:rPr>
        <w:t>Any integration with a third-party application that is not included as a standard integration in Exhibit B or on Provider's then-current list of supported integrations may be available as a custom integration, subject to Provider's assessment of technical feasibility. Custom integrations shall be governed by a separate statement of work to be mutually agreed upon by the parties in writing, and shall be subject to additional fees as set forth in such statement of work. Provider makes no commitment to develop or support any custom integration absent a fully executed statement of work.</w:t>
      </w:r>
    </w:p>
    <w:p>
      <w:pPr>
        <w:keepNext/>
        <w:spacing w:line="276" w:lineRule="auto" w:before="200" w:after="80"/>
        <w:ind w:left="0"/>
      </w:pPr>
      <w:r>
        <w:rPr>
          <w:rFonts w:ascii="Times New Roman" w:hAnsi="Times New Roman"/>
          <w:b/>
          <w:color w:val="000000"/>
          <w:sz w:val="22"/>
        </w:rPr>
        <w:t>Section 4.3 — Third-Party Dependencies</w:t>
      </w:r>
    </w:p>
    <w:p>
      <w:pPr>
        <w:spacing w:line="276" w:lineRule="auto" w:before="0" w:after="120"/>
        <w:jc w:val="both"/>
      </w:pPr>
      <w:r>
        <w:rPr>
          <w:rFonts w:ascii="Times New Roman" w:hAnsi="Times New Roman"/>
          <w:color w:val="000000"/>
          <w:sz w:val="22"/>
        </w:rPr>
        <w:t>Customer acknowledges that the Platform's integration with third-party applications is dependent upon the continued availability, functionality, and compatibility of such third-party applications and their respective application programming interfaces (APIs). Provider is not responsible for the availability, functionality, performance, or data integrity of any third-party application. Changes to third-party APIs, platforms, or data formats may affect integration functionality, and Provider shall use commercially reasonable efforts to update affected integrations within a reasonable time following such changes; provided, however, that Provider shall not be liable for any interruption, degradation, or loss of integration functionality caused by third-party changes.</w:t>
      </w:r>
    </w:p>
    <w:p>
      <w:r>
        <w:br w:type="page"/>
      </w:r>
    </w:p>
    <w:p>
      <w:pPr>
        <w:keepNext/>
        <w:spacing w:line="276" w:lineRule="auto" w:before="360" w:after="120"/>
        <w:jc w:val="left"/>
      </w:pPr>
      <w:r>
        <w:rPr>
          <w:rFonts w:ascii="Times New Roman" w:hAnsi="Times New Roman"/>
          <w:b/>
          <w:color w:val="000000"/>
          <w:sz w:val="22"/>
          <w:u w:val="single"/>
        </w:rPr>
        <w:t>ARTICLE 5 — FEES AND PAYMENT</w:t>
      </w:r>
    </w:p>
    <w:p>
      <w:pPr>
        <w:keepNext/>
        <w:spacing w:line="276" w:lineRule="auto" w:before="200" w:after="80"/>
        <w:ind w:left="0"/>
      </w:pPr>
      <w:r>
        <w:rPr>
          <w:rFonts w:ascii="Times New Roman" w:hAnsi="Times New Roman"/>
          <w:b/>
          <w:color w:val="000000"/>
          <w:sz w:val="22"/>
        </w:rPr>
        <w:t>Section 5.1 — Subscription Fees</w:t>
      </w:r>
    </w:p>
    <w:p>
      <w:pPr>
        <w:spacing w:line="276" w:lineRule="auto" w:before="0" w:after="120"/>
        <w:jc w:val="both"/>
      </w:pPr>
      <w:r>
        <w:rPr>
          <w:rFonts w:ascii="Times New Roman" w:hAnsi="Times New Roman"/>
          <w:color w:val="000000"/>
          <w:sz w:val="22"/>
        </w:rPr>
        <w:t>Customer shall pay the Subscription Fees as set forth in Exhibit A. The annual Subscription Fee for the Platform is Four Hundred Thirty-Two Thousand Dollars ($432,000.00) per year, payable in equal monthly installments of Thirty-Six Thousand Dollars ($36,000.00) each, due and payable on the first day of each calendar month during the Subscription Term. The total Subscription Fee for the initial five (5) year Subscription Term is Two Million One Hundred Sixty Thousand Dollars ($2,160,000.00), subject to adjustment in accordance with Section 5.5.</w:t>
      </w:r>
    </w:p>
    <w:p>
      <w:pPr>
        <w:keepNext/>
        <w:spacing w:line="276" w:lineRule="auto" w:before="200" w:after="80"/>
        <w:ind w:left="0"/>
      </w:pPr>
      <w:r>
        <w:rPr>
          <w:rFonts w:ascii="Times New Roman" w:hAnsi="Times New Roman"/>
          <w:b/>
          <w:color w:val="000000"/>
          <w:sz w:val="22"/>
        </w:rPr>
        <w:t>Section 5.2 — Implementation Fee</w:t>
      </w:r>
    </w:p>
    <w:p>
      <w:pPr>
        <w:spacing w:line="276" w:lineRule="auto" w:before="0" w:after="120"/>
        <w:jc w:val="both"/>
      </w:pPr>
      <w:r>
        <w:rPr>
          <w:rFonts w:ascii="Times New Roman" w:hAnsi="Times New Roman"/>
          <w:color w:val="000000"/>
          <w:sz w:val="22"/>
        </w:rPr>
        <w:t>Customer shall pay a one-time Implementation Fee of One Hundred Seventy-Five Thousand Dollars ($175,000.00), payable as follows: (a) fifty percent (50%) of the Implementation Fee, in the amount of Eighty-Seven Thousand Five Hundred Dollars ($87,500.00), shall be due and payable upon execution of this Agreement; and (b) the remaining fifty percent (50%) of the Implementation Fee, in the amount of Eighty-Seven Thousand Five Hundred Dollars ($87,500.00), shall be due and payable upon completion and acceptance of the Implementation Services in accordance with Section 3.3.</w:t>
      </w:r>
    </w:p>
    <w:p>
      <w:pPr>
        <w:keepNext/>
        <w:spacing w:line="276" w:lineRule="auto" w:before="200" w:after="80"/>
        <w:ind w:left="0"/>
      </w:pPr>
      <w:r>
        <w:rPr>
          <w:rFonts w:ascii="Times New Roman" w:hAnsi="Times New Roman"/>
          <w:b/>
          <w:color w:val="000000"/>
          <w:sz w:val="22"/>
        </w:rPr>
        <w:t>Section 5.3 — Payment Terms</w:t>
      </w:r>
    </w:p>
    <w:p>
      <w:pPr>
        <w:spacing w:line="276" w:lineRule="auto" w:before="0" w:after="120"/>
        <w:jc w:val="both"/>
      </w:pPr>
      <w:r>
        <w:rPr>
          <w:rFonts w:ascii="Times New Roman" w:hAnsi="Times New Roman"/>
          <w:color w:val="000000"/>
          <w:sz w:val="22"/>
        </w:rPr>
        <w:t>All invoices issued by Provider under this Agreement are due and payable within thirty (30) days of the date of invoice. Any amounts not paid when due shall accrue interest at the rate of one and one-half percent (1.5%) per month, or the maximum rate permitted by applicable law, whichever is less, from the date such payment was due until the date of actual payment. In the event Customer disputes any portion of an invoice in good faith, Customer shall pay the undisputed portion in accordance with this Section and shall promptly notify Provider in writing of the disputed amount and the basis for such dispute.</w:t>
      </w:r>
    </w:p>
    <w:p>
      <w:pPr>
        <w:keepNext/>
        <w:spacing w:line="276" w:lineRule="auto" w:before="200" w:after="80"/>
        <w:ind w:left="0"/>
      </w:pPr>
      <w:r>
        <w:rPr>
          <w:rFonts w:ascii="Times New Roman" w:hAnsi="Times New Roman"/>
          <w:b/>
          <w:color w:val="000000"/>
          <w:sz w:val="22"/>
        </w:rPr>
        <w:t>Section 5.4 — Taxes</w:t>
      </w:r>
    </w:p>
    <w:p>
      <w:pPr>
        <w:spacing w:line="276" w:lineRule="auto" w:before="0" w:after="120"/>
        <w:jc w:val="both"/>
      </w:pPr>
      <w:r>
        <w:rPr>
          <w:rFonts w:ascii="Times New Roman" w:hAnsi="Times New Roman"/>
          <w:color w:val="000000"/>
          <w:sz w:val="22"/>
        </w:rPr>
        <w:t>All Fees set forth in this Agreement are exclusive of, and Customer shall be responsible for, all applicable sales, use, value-added, goods and services, and other similar taxes, duties, and governmental charges imposed on or with respect to the transactions contemplated by this Agreement, other than taxes imposed on or measured by Provider's net income. If Provider is required by law to collect any such taxes, Provider shall invoice such taxes to Customer, and Customer shall pay such taxes in addition to the Fees.</w:t>
      </w:r>
    </w:p>
    <w:p>
      <w:pPr>
        <w:keepNext/>
        <w:spacing w:line="276" w:lineRule="auto" w:before="200" w:after="80"/>
        <w:ind w:left="0"/>
      </w:pPr>
      <w:r>
        <w:rPr>
          <w:rFonts w:ascii="Times New Roman" w:hAnsi="Times New Roman"/>
          <w:b/>
          <w:color w:val="000000"/>
          <w:sz w:val="22"/>
        </w:rPr>
        <w:t>Section 5.5 — Fee Escalation</w:t>
      </w:r>
    </w:p>
    <w:p>
      <w:pPr>
        <w:spacing w:line="276" w:lineRule="auto" w:before="0" w:after="120"/>
        <w:jc w:val="both"/>
      </w:pPr>
      <w:r>
        <w:rPr>
          <w:rFonts w:ascii="Times New Roman" w:hAnsi="Times New Roman"/>
          <w:color w:val="000000"/>
          <w:sz w:val="22"/>
        </w:rPr>
        <w:t>Provider may increase the annual Subscription Fee by up to five percent (5%) upon each annual anniversary of the Effective Date, provided that Provider gives Customer at least sixty (60) days' prior written notice of any such increase. Any fee increase pursuant to this Section 5.5 shall be effective as of the applicable anniversary date and shall apply for the twelve (12) month period following such anniversary date. In the absence of a written notice of increase, the Subscription Fee shall remain unchanged for the applicable renewal period.</w:t>
      </w:r>
    </w:p>
    <w:p>
      <w:r>
        <w:br w:type="page"/>
      </w:r>
    </w:p>
    <w:p>
      <w:pPr>
        <w:keepNext/>
        <w:spacing w:line="276" w:lineRule="auto" w:before="360" w:after="120"/>
        <w:jc w:val="left"/>
      </w:pPr>
      <w:r>
        <w:rPr>
          <w:rFonts w:ascii="Times New Roman" w:hAnsi="Times New Roman"/>
          <w:b/>
          <w:color w:val="000000"/>
          <w:sz w:val="22"/>
          <w:u w:val="single"/>
        </w:rPr>
        <w:t>ARTICLE 6 — CONFIDENTIALITY</w:t>
      </w:r>
    </w:p>
    <w:p>
      <w:pPr>
        <w:keepNext/>
        <w:spacing w:line="276" w:lineRule="auto" w:before="200" w:after="80"/>
        <w:ind w:left="0"/>
      </w:pPr>
      <w:r>
        <w:rPr>
          <w:rFonts w:ascii="Times New Roman" w:hAnsi="Times New Roman"/>
          <w:b/>
          <w:color w:val="000000"/>
          <w:sz w:val="22"/>
        </w:rPr>
        <w:t>Section 6.1 — Definition of Confidential Information</w:t>
      </w:r>
    </w:p>
    <w:p>
      <w:pPr>
        <w:spacing w:line="276" w:lineRule="auto" w:before="0" w:after="120"/>
        <w:jc w:val="both"/>
      </w:pPr>
      <w:r>
        <w:rPr>
          <w:rFonts w:ascii="Times New Roman" w:hAnsi="Times New Roman"/>
          <w:color w:val="000000"/>
          <w:sz w:val="22"/>
        </w:rPr>
        <w:t>"Confidential Information" is defined in Section 1.3 of this Agreement. Notwithstanding the foregoing, Confidential Information shall not include information that: (a) is or becomes publicly available through no fault of or breach by the Receiving Party; (b) was known to the Receiving Party without restriction prior to its disclosure by the Disclosing Party, as demonstrated by the Receiving Party's written records; (c) is independently developed by the Receiving Party without use of or reference to the Disclosing Party's Confidential Information, as demonstrated by the Receiving Party's written records; or (d) is rightfully received by the Receiving Party from a third party without restriction on disclosure and without breach of any obligation of confidentiality to the Disclosing Party.</w:t>
      </w:r>
    </w:p>
    <w:p>
      <w:pPr>
        <w:keepNext/>
        <w:spacing w:line="276" w:lineRule="auto" w:before="200" w:after="80"/>
        <w:ind w:left="0"/>
      </w:pPr>
      <w:r>
        <w:rPr>
          <w:rFonts w:ascii="Times New Roman" w:hAnsi="Times New Roman"/>
          <w:b/>
          <w:color w:val="000000"/>
          <w:sz w:val="22"/>
        </w:rPr>
        <w:t>Section 6.2 — Obligations</w:t>
      </w:r>
    </w:p>
    <w:p>
      <w:pPr>
        <w:spacing w:line="276" w:lineRule="auto" w:before="0" w:after="120"/>
        <w:jc w:val="both"/>
      </w:pPr>
      <w:r>
        <w:rPr>
          <w:rFonts w:ascii="Times New Roman" w:hAnsi="Times New Roman"/>
          <w:color w:val="000000"/>
          <w:sz w:val="22"/>
        </w:rPr>
        <w:t>Each party shall: (a) use the other party's Confidential Information only for purposes of exercising its rights or performing its obligations under this Agreement; (b) not disclose the other party's Confidential Information to any third party except as expressly permitted herein; and (c) protect the other party's Confidential Information using at least the same degree of care it uses to protect its own Confidential Information of a similar nature, but in no event less than a reasonable degree of care. Each party may disclose the other party's Confidential Information to its employees, contractors, agents, and professional advisors who have a legitimate need to know such information for purposes of this Agreement, provided that such individuals are bound by obligations of confidentiality at least as protective as those set forth in this Article 6.</w:t>
      </w:r>
    </w:p>
    <w:p>
      <w:pPr>
        <w:keepNext/>
        <w:spacing w:line="276" w:lineRule="auto" w:before="200" w:after="80"/>
        <w:ind w:left="0"/>
      </w:pPr>
      <w:r>
        <w:rPr>
          <w:rFonts w:ascii="Times New Roman" w:hAnsi="Times New Roman"/>
          <w:b/>
          <w:color w:val="000000"/>
          <w:sz w:val="22"/>
        </w:rPr>
        <w:t>Section 6.3 — Exceptions</w:t>
      </w:r>
    </w:p>
    <w:p>
      <w:pPr>
        <w:spacing w:line="276" w:lineRule="auto" w:before="0" w:after="120"/>
        <w:jc w:val="both"/>
      </w:pPr>
      <w:r>
        <w:rPr>
          <w:rFonts w:ascii="Times New Roman" w:hAnsi="Times New Roman"/>
          <w:color w:val="000000"/>
          <w:sz w:val="22"/>
        </w:rPr>
        <w:t>Notwithstanding the foregoing, either party may disclose Confidential Information of the other party to the extent required by applicable law, regulation, or legal process, including without limitation any subpoena, civil investigative demand, or order of any court or governmental authority; provided, however, that the Receiving Party shall: (a) provide the Disclosing Party with prompt written notice of such requirement, to the extent legally permitted; (b) cooperate with the Disclosing Party, at the Disclosing Party's expense, in seeking a protective order or other appropriate remedy; and (c) disclose only such portion of the Confidential Information as is legally required to be disclosed.</w:t>
      </w:r>
    </w:p>
    <w:p>
      <w:pPr>
        <w:keepNext/>
        <w:spacing w:line="276" w:lineRule="auto" w:before="200" w:after="80"/>
        <w:ind w:left="0"/>
      </w:pPr>
      <w:r>
        <w:rPr>
          <w:rFonts w:ascii="Times New Roman" w:hAnsi="Times New Roman"/>
          <w:b/>
          <w:color w:val="000000"/>
          <w:sz w:val="22"/>
        </w:rPr>
        <w:t>Section 6.4 — Return and Destruction</w:t>
      </w:r>
    </w:p>
    <w:p>
      <w:pPr>
        <w:spacing w:line="276" w:lineRule="auto" w:before="0" w:after="120"/>
        <w:jc w:val="both"/>
      </w:pPr>
      <w:r>
        <w:rPr>
          <w:rFonts w:ascii="Times New Roman" w:hAnsi="Times New Roman"/>
          <w:color w:val="000000"/>
          <w:sz w:val="22"/>
        </w:rPr>
        <w:t>Upon the expiration or termination of this Agreement, or upon the Disclosing Party's earlier written request, the Receiving Party shall, at the Disclosing Party's election, promptly return or destroy all tangible materials containing Confidential Information of the Disclosing Party and permanently delete all electronic copies of such Confidential Information from the Receiving Party's systems, and shall certify such return or destruction in writing upon request. Notwithstanding the foregoing, the Receiving Party may retain copies of Confidential Information to the extent required by applicable law or regulation, or as automatically retained in routine backup archives, provided that such retained copies remain subject to the confidentiality obligations of this Article 6.</w:t>
      </w:r>
    </w:p>
    <w:p>
      <w:r>
        <w:br w:type="page"/>
      </w:r>
    </w:p>
    <w:p>
      <w:pPr>
        <w:keepNext/>
        <w:spacing w:line="276" w:lineRule="auto" w:before="360" w:after="120"/>
        <w:jc w:val="left"/>
      </w:pPr>
      <w:r>
        <w:rPr>
          <w:rFonts w:ascii="Times New Roman" w:hAnsi="Times New Roman"/>
          <w:b/>
          <w:color w:val="000000"/>
          <w:sz w:val="22"/>
          <w:u w:val="single"/>
        </w:rPr>
        <w:t>ARTICLE 7 — INTELLECTUAL PROPERTY</w:t>
      </w:r>
    </w:p>
    <w:p>
      <w:pPr>
        <w:keepNext/>
        <w:spacing w:line="276" w:lineRule="auto" w:before="200" w:after="80"/>
        <w:ind w:left="0"/>
      </w:pPr>
      <w:r>
        <w:rPr>
          <w:rFonts w:ascii="Times New Roman" w:hAnsi="Times New Roman"/>
          <w:b/>
          <w:color w:val="000000"/>
          <w:sz w:val="22"/>
        </w:rPr>
        <w:t>Section 7.1 — Provider Intellectual Property</w:t>
      </w:r>
    </w:p>
    <w:p>
      <w:pPr>
        <w:spacing w:line="276" w:lineRule="auto" w:before="0" w:after="120"/>
        <w:jc w:val="both"/>
      </w:pPr>
      <w:r>
        <w:rPr>
          <w:rFonts w:ascii="Times New Roman" w:hAnsi="Times New Roman"/>
          <w:color w:val="000000"/>
          <w:sz w:val="22"/>
        </w:rPr>
        <w:t>Provider retains all right, title, and interest in and to the Platform, the Documentation, and all Updates, enhancements, modifications, and derivative works thereof, including without limitation all intellectual property rights therein and thereto (including patents, copyrights, trademarks, trade secrets, and all related rights). Nothing in this Agreement shall be construed to transfer or assign any ownership interest in the Platform, the Documentation, or any Provider intellectual property to Customer. Customer's rights with respect to the Platform are limited to the license expressly granted in Section 2.1.</w:t>
      </w:r>
    </w:p>
    <w:p>
      <w:pPr>
        <w:keepNext/>
        <w:spacing w:line="276" w:lineRule="auto" w:before="200" w:after="80"/>
        <w:ind w:left="0"/>
      </w:pPr>
      <w:r>
        <w:rPr>
          <w:rFonts w:ascii="Times New Roman" w:hAnsi="Times New Roman"/>
          <w:b/>
          <w:color w:val="000000"/>
          <w:sz w:val="22"/>
        </w:rPr>
        <w:t>Section 7.2 — Customer Data</w:t>
      </w:r>
    </w:p>
    <w:p>
      <w:pPr>
        <w:spacing w:line="276" w:lineRule="auto" w:before="0" w:after="120"/>
        <w:jc w:val="both"/>
      </w:pPr>
      <w:r>
        <w:rPr>
          <w:rFonts w:ascii="Times New Roman" w:hAnsi="Times New Roman"/>
          <w:color w:val="000000"/>
          <w:sz w:val="22"/>
        </w:rPr>
        <w:t>As between the parties, Customer retains all right, title, and interest in and to Customer Data, including all intellectual property rights therein. Customer hereby grants to Provider a limited, non-exclusive, non-transferable, royalty-free license to access, use, reproduce, store, and process Customer Data solely to the extent necessary to provide the Platform and perform the services contemplated by this Agreement. Upon termination or expiration of this Agreement, Provider's rights in Customer Data shall cease, subject to Section 8.3(c).</w:t>
      </w:r>
    </w:p>
    <w:p>
      <w:pPr>
        <w:keepNext/>
        <w:spacing w:line="276" w:lineRule="auto" w:before="200" w:after="80"/>
        <w:ind w:left="0"/>
      </w:pPr>
      <w:r>
        <w:rPr>
          <w:rFonts w:ascii="Times New Roman" w:hAnsi="Times New Roman"/>
          <w:b/>
          <w:color w:val="000000"/>
          <w:sz w:val="22"/>
        </w:rPr>
        <w:t>Section 7.3 — Feedback</w:t>
      </w:r>
    </w:p>
    <w:p>
      <w:pPr>
        <w:spacing w:line="276" w:lineRule="auto" w:before="0" w:after="120"/>
        <w:jc w:val="both"/>
      </w:pPr>
      <w:r>
        <w:rPr>
          <w:rFonts w:ascii="Times New Roman" w:hAnsi="Times New Roman"/>
          <w:color w:val="000000"/>
          <w:sz w:val="22"/>
        </w:rPr>
        <w:t>If Customer or any Authorized User provides Provider with any suggestions, enhancement requests, recommendations, corrections, or other feedback regarding the Platform or the services provided hereunder ("Feedback"), Customer hereby grants to Provider a perpetual, irrevocable, worldwide, royalty-free, fully paid-up, non-exclusive license to use, reproduce, modify, create derivative works from, distribute, and otherwise exploit such Feedback for any purpose, without restriction, attribution, or compensation to Customer.</w:t>
      </w:r>
    </w:p>
    <w:p>
      <w:r>
        <w:br w:type="page"/>
      </w:r>
    </w:p>
    <w:p>
      <w:pPr>
        <w:keepNext/>
        <w:spacing w:line="276" w:lineRule="auto" w:before="360" w:after="120"/>
        <w:jc w:val="left"/>
      </w:pPr>
      <w:r>
        <w:rPr>
          <w:rFonts w:ascii="Times New Roman" w:hAnsi="Times New Roman"/>
          <w:b/>
          <w:color w:val="000000"/>
          <w:sz w:val="22"/>
          <w:u w:val="single"/>
        </w:rPr>
        <w:t>ARTICLE 8 — TERM AND TERMINATION</w:t>
      </w:r>
    </w:p>
    <w:p>
      <w:pPr>
        <w:keepNext/>
        <w:spacing w:line="276" w:lineRule="auto" w:before="200" w:after="80"/>
        <w:ind w:left="0"/>
      </w:pPr>
      <w:r>
        <w:rPr>
          <w:rFonts w:ascii="Times New Roman" w:hAnsi="Times New Roman"/>
          <w:b/>
          <w:color w:val="000000"/>
          <w:sz w:val="22"/>
        </w:rPr>
        <w:t>Section 8.1 — Subscription Term</w:t>
      </w:r>
    </w:p>
    <w:p>
      <w:pPr>
        <w:spacing w:line="276" w:lineRule="auto" w:before="0" w:after="120"/>
        <w:jc w:val="both"/>
      </w:pPr>
      <w:r>
        <w:rPr>
          <w:rFonts w:ascii="Times New Roman" w:hAnsi="Times New Roman"/>
          <w:color w:val="000000"/>
          <w:sz w:val="22"/>
        </w:rPr>
        <w:t>The initial Subscription Term of this Agreement shall commence on the Effective Date and shall continue for a period of five (5) years, expiring on March 14, 2027 (the "Initial Term"), unless earlier terminated in accordance with this Article 8. For the avoidance of doubt, the Subscription Term includes the Initial Term and any renewal term agreed to by the parties in a writing signed by both parties.</w:t>
      </w:r>
    </w:p>
    <w:p>
      <w:pPr>
        <w:keepNext/>
        <w:spacing w:line="276" w:lineRule="auto" w:before="200" w:after="80"/>
        <w:ind w:left="0"/>
      </w:pPr>
      <w:r>
        <w:rPr>
          <w:rFonts w:ascii="Times New Roman" w:hAnsi="Times New Roman"/>
          <w:b/>
          <w:color w:val="000000"/>
          <w:sz w:val="22"/>
        </w:rPr>
        <w:t>Section 8.2 — Termination for Cause</w:t>
      </w:r>
    </w:p>
    <w:p>
      <w:pPr>
        <w:spacing w:line="276" w:lineRule="auto" w:before="0" w:after="120"/>
        <w:jc w:val="both"/>
      </w:pPr>
      <w:r>
        <w:rPr>
          <w:rFonts w:ascii="Times New Roman" w:hAnsi="Times New Roman"/>
          <w:color w:val="000000"/>
          <w:sz w:val="22"/>
        </w:rPr>
        <w:t>Either party may terminate this Agreement upon written notice to the other party if: (a) the other party materially breaches any provision of this Agreement and fails to cure such breach within thirty (30) days after receipt of written notice from the non-breaching party specifying the nature of the breach in reasonable detail; or (b) the other party (i) becomes insolvent or is generally unable to pay its debts as they become due, (ii) makes an assignment for the benefit of creditors, (iii) files or has filed against it a petition in bankruptcy or reorganization under any applicable bankruptcy or insolvency law that is not dismissed within sixty (60) days, or (iv) has a receiver, trustee, or similar official appointed for a substantial portion of its assets.</w:t>
      </w:r>
    </w:p>
    <w:p>
      <w:pPr>
        <w:keepNext/>
        <w:spacing w:line="276" w:lineRule="auto" w:before="200" w:after="80"/>
        <w:ind w:left="0"/>
      </w:pPr>
      <w:r>
        <w:rPr>
          <w:rFonts w:ascii="Times New Roman" w:hAnsi="Times New Roman"/>
          <w:b/>
          <w:color w:val="000000"/>
          <w:sz w:val="22"/>
        </w:rPr>
        <w:t>Section 8.3 — Effect of Termination</w:t>
      </w:r>
    </w:p>
    <w:p>
      <w:pPr>
        <w:spacing w:line="276" w:lineRule="auto" w:before="0" w:after="120"/>
        <w:jc w:val="both"/>
      </w:pPr>
      <w:r>
        <w:rPr>
          <w:rFonts w:ascii="Times New Roman" w:hAnsi="Times New Roman"/>
          <w:color w:val="000000"/>
          <w:sz w:val="22"/>
        </w:rPr>
        <w:t>Upon the expiration or termination of this Agreement for any reason: (a) all rights and licenses granted to Customer under this Agreement shall immediately terminate, and Customer shall cease all access to and use of the Platform; (b) Customer shall pay all Fees accrued and unpaid as of the effective date of termination, including any amounts invoiced prior to termination but not yet due; (c) Provider shall make Customer Data available for export by Customer in a commonly used electronic format for a period of thirty (30) days following the effective date of termination or expiration, after which Provider shall have no obligation to retain Customer Data and may delete all Customer Data from its systems; and (d) the following provisions shall survive expiration or termination of this Agreement and shall continue in full force and effect: Article 1 (Definitions, to the extent necessary to interpret surviving provisions), Article 6 (Confidentiality), Article 7 (Intellectual Property), Section 8.3 (Effect of Termination), Section 8.4 (Early Termination Fee), Article 9 (Warranties and Disclaimers), Article 10 (Indemnification), Article 11 (Limitation of Liability), and Article 14 (General Provisions).</w:t>
      </w:r>
    </w:p>
    <w:p>
      <w:pPr>
        <w:keepNext/>
        <w:spacing w:line="276" w:lineRule="auto" w:before="200" w:after="80"/>
        <w:ind w:left="0"/>
      </w:pPr>
      <w:r>
        <w:rPr>
          <w:rFonts w:ascii="Times New Roman" w:hAnsi="Times New Roman"/>
          <w:b/>
          <w:color w:val="000000"/>
          <w:sz w:val="22"/>
        </w:rPr>
        <w:t>Section 8.4 — Early Termination Fee</w:t>
      </w:r>
    </w:p>
    <w:p>
      <w:pPr>
        <w:spacing w:line="276" w:lineRule="auto" w:before="0" w:after="120"/>
        <w:jc w:val="both"/>
      </w:pPr>
      <w:r>
        <w:rPr>
          <w:rFonts w:ascii="Times New Roman" w:hAnsi="Times New Roman"/>
          <w:color w:val="000000"/>
          <w:sz w:val="22"/>
        </w:rPr>
        <w:t>If Customer terminates this Agreement prior to the expiration of the Subscription Term for any reason other than Provider's uncured material breach pursuant to Section 8.2(a), or if Provider terminates this Agreement for Customer's material breach pursuant to Section 8.2, Customer shall pay to Provider, as liquidated damages and not as a penalty, an early termination fee equal to fifty percent (50%) of the total remaining Subscription Fees that would have been payable by Customer through the end of the then-current Subscription Term had the Agreement not been terminated. The early termination fee shall be due and payable within thirty (30) days of the effective date of termination.</w:t>
      </w:r>
    </w:p>
    <w:p>
      <w:r>
        <w:br w:type="page"/>
      </w:r>
    </w:p>
    <w:p>
      <w:pPr>
        <w:keepNext/>
        <w:spacing w:line="276" w:lineRule="auto" w:before="360" w:after="120"/>
        <w:jc w:val="left"/>
      </w:pPr>
      <w:r>
        <w:rPr>
          <w:rFonts w:ascii="Times New Roman" w:hAnsi="Times New Roman"/>
          <w:b/>
          <w:color w:val="000000"/>
          <w:sz w:val="22"/>
          <w:u w:val="single"/>
        </w:rPr>
        <w:t>ARTICLE 9 — WARRANTIES AND DISCLAIMERS</w:t>
      </w:r>
    </w:p>
    <w:p>
      <w:pPr>
        <w:keepNext/>
        <w:spacing w:line="276" w:lineRule="auto" w:before="200" w:after="80"/>
        <w:ind w:left="0"/>
      </w:pPr>
      <w:r>
        <w:rPr>
          <w:rFonts w:ascii="Times New Roman" w:hAnsi="Times New Roman"/>
          <w:b/>
          <w:color w:val="000000"/>
          <w:sz w:val="22"/>
        </w:rPr>
        <w:t>Section 9.1 — Provider Warranties</w:t>
      </w:r>
    </w:p>
    <w:p>
      <w:pPr>
        <w:spacing w:line="276" w:lineRule="auto" w:before="0" w:after="120"/>
        <w:jc w:val="both"/>
      </w:pPr>
      <w:r>
        <w:rPr>
          <w:rFonts w:ascii="Times New Roman" w:hAnsi="Times New Roman"/>
          <w:color w:val="000000"/>
          <w:sz w:val="22"/>
        </w:rPr>
        <w:t>Provider represents and warrants to Customer that: (a) Provider has the full corporate power and authority to enter into this Agreement and to perform its obligations hereunder; (b) the Platform will perform in material conformity with the Documentation during the Subscription Term when used in accordance with the Documentation and the terms of this Agreement; (c) the Implementation Services will be performed in a professional and workmanlike manner by qualified personnel in accordance with generally accepted industry standards; and (d) to Provider's knowledge as of the Effective Date, the Platform does not infringe any United States patent, copyright, trademark, or trade secret of any third party.</w:t>
      </w:r>
    </w:p>
    <w:p>
      <w:pPr>
        <w:keepNext/>
        <w:spacing w:line="276" w:lineRule="auto" w:before="200" w:after="80"/>
        <w:ind w:left="0"/>
      </w:pPr>
      <w:r>
        <w:rPr>
          <w:rFonts w:ascii="Times New Roman" w:hAnsi="Times New Roman"/>
          <w:b/>
          <w:color w:val="000000"/>
          <w:sz w:val="22"/>
        </w:rPr>
        <w:t>Section 9.2 — Customer Warranties</w:t>
      </w:r>
    </w:p>
    <w:p>
      <w:pPr>
        <w:spacing w:line="276" w:lineRule="auto" w:before="0" w:after="120"/>
        <w:jc w:val="both"/>
      </w:pPr>
      <w:r>
        <w:rPr>
          <w:rFonts w:ascii="Times New Roman" w:hAnsi="Times New Roman"/>
          <w:color w:val="000000"/>
          <w:sz w:val="22"/>
        </w:rPr>
        <w:t>Customer represents and warrants to Provider that: (a) Customer has the full corporate power and authority to enter into this Agreement and to perform its obligations hereunder; (b) Customer's access to and use of the Platform will comply with all applicable federal, state, and local laws, rules, and regulations; and (c) Customer has all necessary rights, licenses, consents, and permissions in and to Customer Data to permit Provider to process and use Customer Data as contemplated by this Agreement.</w:t>
      </w:r>
    </w:p>
    <w:p>
      <w:pPr>
        <w:keepNext/>
        <w:spacing w:line="276" w:lineRule="auto" w:before="200" w:after="80"/>
        <w:ind w:left="0"/>
      </w:pPr>
      <w:r>
        <w:rPr>
          <w:rFonts w:ascii="Times New Roman" w:hAnsi="Times New Roman"/>
          <w:b/>
          <w:color w:val="000000"/>
          <w:sz w:val="22"/>
        </w:rPr>
        <w:t>Section 9.3 — Disclaimer of Warranties</w:t>
      </w:r>
    </w:p>
    <w:p>
      <w:pPr>
        <w:spacing w:line="276" w:lineRule="auto" w:before="0" w:after="120"/>
        <w:jc w:val="both"/>
      </w:pPr>
      <w:r>
        <w:rPr>
          <w:rFonts w:ascii="Times New Roman" w:hAnsi="Times New Roman"/>
          <w:b/>
          <w:color w:val="000000"/>
          <w:sz w:val="22"/>
        </w:rPr>
        <w:t>EXCEPT AS EXPRESSLY SET FORTH IN SECTION 9.1, THE PLATFORM AND ALL RELATED SERVICES ARE PROVIDED "AS IS" AND "AS AVAILABLE." PROVIDER HEREBY DISCLAIMS ALL OTHER WARRANTIES, WHETHER EXPRESS, IMPLIED, STATUTORY, OR OTHERWISE, INCLUDING WITHOUT LIMITATION ANY IMPLIED WARRANTIES OF MERCHANTABILITY, FITNESS FOR A PARTICULAR PURPOSE, TITLE, OR NON-INFRINGEMENT. PROVIDER DOES NOT WARRANT THAT THE PLATFORM WILL BE UNINTERRUPTED, ERROR-FREE, COMPLETELY SECURE, OR FREE OF VIRUSES OR OTHER HARMFUL COMPONENTS, OR THAT ANY DEFECTS WILL BE CORRECTED. NO ADVICE OR INFORMATION, WHETHER ORAL OR WRITTEN, OBTAINED BY CUSTOMER FROM PROVIDER OR THROUGH THE PLATFORM SHALL CREATE ANY WARRANTY NOT EXPRESSLY MADE HEREIN.</w:t>
      </w:r>
    </w:p>
    <w:p>
      <w:pPr>
        <w:keepNext/>
        <w:spacing w:line="276" w:lineRule="auto" w:before="200" w:after="80"/>
        <w:ind w:left="0"/>
      </w:pPr>
      <w:r>
        <w:rPr>
          <w:rFonts w:ascii="Times New Roman" w:hAnsi="Times New Roman"/>
          <w:b/>
          <w:color w:val="000000"/>
          <w:sz w:val="22"/>
        </w:rPr>
        <w:t>Section 9.4 — Claims Period</w:t>
      </w:r>
    </w:p>
    <w:p>
      <w:pPr>
        <w:spacing w:line="276" w:lineRule="auto" w:before="0" w:after="120"/>
        <w:jc w:val="both"/>
      </w:pPr>
      <w:r>
        <w:rPr>
          <w:rFonts w:ascii="Times New Roman" w:hAnsi="Times New Roman"/>
          <w:color w:val="000000"/>
          <w:sz w:val="22"/>
        </w:rPr>
        <w:t>Any claim by either party arising out of or relating to an alleged breach of this Agreement must be brought within one (1) year after the date on which the claiming party knew or should have known of the facts giving rise to such claim. Failure to bring a claim within such one (1) year period shall constitute an irrevocable waiver of such claim. The parties acknowledge that this contractual limitations period has been negotiated and agreed to as part of the overall allocation of risk between the parties and is a material term of this Agreement.</w:t>
      </w:r>
    </w:p>
    <w:p>
      <w:r>
        <w:br w:type="page"/>
      </w:r>
    </w:p>
    <w:p>
      <w:pPr>
        <w:keepNext/>
        <w:spacing w:line="276" w:lineRule="auto" w:before="360" w:after="120"/>
        <w:jc w:val="left"/>
      </w:pPr>
      <w:r>
        <w:rPr>
          <w:rFonts w:ascii="Times New Roman" w:hAnsi="Times New Roman"/>
          <w:b/>
          <w:color w:val="000000"/>
          <w:sz w:val="22"/>
          <w:u w:val="single"/>
        </w:rPr>
        <w:t>ARTICLE 10 — INDEMNIFICATION</w:t>
      </w:r>
    </w:p>
    <w:p>
      <w:pPr>
        <w:keepNext/>
        <w:spacing w:line="276" w:lineRule="auto" w:before="200" w:after="80"/>
        <w:ind w:left="0"/>
      </w:pPr>
      <w:r>
        <w:rPr>
          <w:rFonts w:ascii="Times New Roman" w:hAnsi="Times New Roman"/>
          <w:b/>
          <w:color w:val="000000"/>
          <w:sz w:val="22"/>
        </w:rPr>
        <w:t>Section 10.1 — Provider Indemnification</w:t>
      </w:r>
    </w:p>
    <w:p>
      <w:pPr>
        <w:spacing w:line="276" w:lineRule="auto" w:before="0" w:after="120"/>
        <w:jc w:val="both"/>
      </w:pPr>
      <w:r>
        <w:rPr>
          <w:rFonts w:ascii="Times New Roman" w:hAnsi="Times New Roman"/>
          <w:color w:val="000000"/>
          <w:sz w:val="22"/>
        </w:rPr>
        <w:t>Provider shall indemnify, defend, and hold harmless Customer and its officers, directors, employees, agents, successors, and permitted assigns (collectively, "Customer Indemnitees") from and against any and all third-party claims, demands, suits, actions, and proceedings (each, a "Claim") alleging that the Platform, as provided by Provider and used by Customer in accordance with this Agreement, infringes any United States patent, copyright, or trade secret of a third party, and shall pay all damages, costs, and expenses (including reasonable attorneys' fees) finally awarded against any Customer Indemnitee or agreed to in settlement by Provider in connection with any such Claim. Provider's indemnification obligations under this Section 10.1 shall not apply to the extent that any such Claim arises from or is attributable to: (a) modifications to the Platform made by or at the direction of Customer; (b) Customer's combination of the Platform with any product, service, software, or technology not provided by Provider, where the infringement would not have occurred but for such combination; (c) Customer's use of the Platform in a manner inconsistent with the Documentation or this Agreement; or (d) Customer's continued use of a version of the Platform after Provider has made a non-infringing update available.</w:t>
      </w:r>
    </w:p>
    <w:p>
      <w:pPr>
        <w:keepNext/>
        <w:spacing w:line="276" w:lineRule="auto" w:before="200" w:after="80"/>
        <w:ind w:left="0"/>
      </w:pPr>
      <w:r>
        <w:rPr>
          <w:rFonts w:ascii="Times New Roman" w:hAnsi="Times New Roman"/>
          <w:b/>
          <w:color w:val="000000"/>
          <w:sz w:val="22"/>
        </w:rPr>
        <w:t>Section 10.2 — Customer Indemnification</w:t>
      </w:r>
    </w:p>
    <w:p>
      <w:pPr>
        <w:spacing w:line="276" w:lineRule="auto" w:before="0" w:after="120"/>
        <w:jc w:val="both"/>
      </w:pPr>
      <w:r>
        <w:rPr>
          <w:rFonts w:ascii="Times New Roman" w:hAnsi="Times New Roman"/>
          <w:color w:val="000000"/>
          <w:sz w:val="22"/>
        </w:rPr>
        <w:t>Customer shall indemnify, defend, and hold harmless Provider and its officers, directors, employees, agents, successors, and permitted assigns (collectively, "Provider Indemnitees") from and against any and all Claims arising from or relating to: (a) Customer Data, including any Claim that Customer Data infringes, misappropriates, or violates the intellectual property rights, privacy rights, or other rights of any third party; (b) Customer's use of the Platform in violation of this Agreement or applicable law; or (c) Customer's material breach of any representation, warranty, or obligation under this Agreement. Customer shall pay all damages, costs, and expenses (including reasonable attorneys' fees) finally awarded against any Provider Indemnitee or agreed to in settlement by Customer in connection with any such Claim.</w:t>
      </w:r>
    </w:p>
    <w:p>
      <w:pPr>
        <w:keepNext/>
        <w:spacing w:line="276" w:lineRule="auto" w:before="200" w:after="80"/>
        <w:ind w:left="0"/>
      </w:pPr>
      <w:r>
        <w:rPr>
          <w:rFonts w:ascii="Times New Roman" w:hAnsi="Times New Roman"/>
          <w:b/>
          <w:color w:val="000000"/>
          <w:sz w:val="22"/>
        </w:rPr>
        <w:t>Section 10.3 — Indemnification Procedures</w:t>
      </w:r>
    </w:p>
    <w:p>
      <w:pPr>
        <w:spacing w:line="276" w:lineRule="auto" w:before="0" w:after="120"/>
        <w:jc w:val="both"/>
      </w:pPr>
      <w:r>
        <w:rPr>
          <w:rFonts w:ascii="Times New Roman" w:hAnsi="Times New Roman"/>
          <w:color w:val="000000"/>
          <w:sz w:val="22"/>
        </w:rPr>
        <w:t>A party seeking indemnification under this Article 10 (the "Indemnified Party") shall: (a) promptly notify the indemnifying party (the "Indemnifying Party") in writing of any Claim for which indemnification is sought; provided, however, that the failure to provide prompt notice shall not relieve the Indemnifying Party of its indemnification obligations except to the extent the Indemnifying Party is materially prejudiced by such failure; (b) grant the Indemnifying Party sole control of the defense and settlement of such Claim; provided that the Indemnifying Party shall not settle any Claim in a manner that imposes any liability or obligation on the Indemnified Party without the Indemnified Party's prior written consent, which shall not be unreasonably withheld; and (c) provide the Indemnifying Party with all reasonable assistance and cooperation in the defense of such Claim, at the Indemnifying Party's expense. The Indemnified Party may participate in the defense of any Claim at its own expense with counsel of its own choosing.</w:t>
      </w:r>
    </w:p>
    <w:p>
      <w:r>
        <w:br w:type="page"/>
      </w:r>
    </w:p>
    <w:p>
      <w:pPr>
        <w:keepNext/>
        <w:spacing w:line="276" w:lineRule="auto" w:before="360" w:after="120"/>
        <w:jc w:val="left"/>
      </w:pPr>
      <w:r>
        <w:rPr>
          <w:rFonts w:ascii="Times New Roman" w:hAnsi="Times New Roman"/>
          <w:b/>
          <w:color w:val="000000"/>
          <w:sz w:val="22"/>
          <w:u w:val="single"/>
        </w:rPr>
        <w:t>ARTICLE 11 — LIMITATION OF LIABILITY</w:t>
      </w:r>
    </w:p>
    <w:p>
      <w:pPr>
        <w:keepNext/>
        <w:spacing w:line="276" w:lineRule="auto" w:before="200" w:after="80"/>
        <w:ind w:left="0"/>
      </w:pPr>
      <w:r>
        <w:rPr>
          <w:rFonts w:ascii="Times New Roman" w:hAnsi="Times New Roman"/>
          <w:b/>
          <w:color w:val="000000"/>
          <w:sz w:val="22"/>
        </w:rPr>
        <w:t>Section 11.1 — Cap on Liability</w:t>
      </w:r>
    </w:p>
    <w:p>
      <w:pPr>
        <w:spacing w:line="276" w:lineRule="auto" w:before="0" w:after="120"/>
        <w:jc w:val="both"/>
      </w:pPr>
      <w:r>
        <w:rPr>
          <w:rFonts w:ascii="Times New Roman" w:hAnsi="Times New Roman"/>
          <w:b/>
          <w:color w:val="000000"/>
          <w:sz w:val="22"/>
        </w:rPr>
        <w:t>EXCEPT FOR (A) PROVIDER'S INDEMNIFICATION OBLIGATIONS UNDER SECTION 10.1, (B) CUSTOMER'S INDEMNIFICATION OBLIGATIONS UNDER SECTION 10.2, AND (C) EITHER PARTY'S BREACH OF ARTICLE 6 (CONFIDENTIALITY), IN NO EVENT SHALL EITHER PARTY'S TOTAL AGGREGATE LIABILITY ARISING OUT OF OR RELATING TO THIS AGREEMENT, WHETHER BASED ON CONTRACT, TORT, STRICT LIABILITY, OR ANY OTHER LEGAL OR EQUITABLE THEORY, EXCEED THE TOTAL AMOUNT OF FEES ACTUALLY PAID BY CUSTOMER TO PROVIDER DURING THE TWELVE (12) MONTH PERIOD IMMEDIATELY PRECEDING THE EVENT OR OCCURRENCE GIVING RISE TO THE CLAIM. THE EXISTENCE OF MULTIPLE CLAIMS SHALL NOT ENLARGE THIS LIMITATION.</w:t>
      </w:r>
    </w:p>
    <w:p>
      <w:pPr>
        <w:keepNext/>
        <w:spacing w:line="276" w:lineRule="auto" w:before="200" w:after="80"/>
        <w:ind w:left="0"/>
      </w:pPr>
      <w:r>
        <w:rPr>
          <w:rFonts w:ascii="Times New Roman" w:hAnsi="Times New Roman"/>
          <w:b/>
          <w:color w:val="000000"/>
          <w:sz w:val="22"/>
        </w:rPr>
        <w:t>Section 11.2 — Exclusion of Consequential Damages</w:t>
      </w:r>
    </w:p>
    <w:p>
      <w:pPr>
        <w:spacing w:line="276" w:lineRule="auto" w:before="0" w:after="120"/>
        <w:jc w:val="both"/>
      </w:pPr>
      <w:r>
        <w:rPr>
          <w:rFonts w:ascii="Times New Roman" w:hAnsi="Times New Roman"/>
          <w:b/>
          <w:color w:val="000000"/>
          <w:sz w:val="22"/>
        </w:rPr>
        <w:t>IN NO EVENT SHALL EITHER PARTY BE LIABLE TO THE OTHER PARTY FOR ANY INDIRECT, INCIDENTAL, SPECIAL, CONSEQUENTIAL, PUNITIVE, OR EXEMPLARY DAMAGES, INCLUDING WITHOUT LIMITATION DAMAGES FOR LOSS OF PROFITS, LOSS OF REVENUE, LOSS OF BUSINESS OPPORTUNITIES, LOSS OF DATA, COST OF PROCUREMENT OF SUBSTITUTE GOODS OR SERVICES, OR INTERRUPTION OF BUSINESS, ARISING OUT OF OR RELATING TO THIS AGREEMENT, REGARDLESS OF THE THEORY OF LIABILITY (WHETHER IN CONTRACT, TORT, STRICT LIABILITY, OR OTHERWISE) AND EVEN IF SUCH PARTY HAS BEEN ADVISED OF THE POSSIBILITY OF SUCH DAMAGES OR COULD HAVE FORESEEN SUCH DAMAGES. THE FOREGOING LIMITATION SHALL APPLY REGARDLESS OF WHETHER THE DAMAGES ARISE OUT OF BREACH OF CONTRACT, TORT (INCLUDING NEGLIGENCE), OR ANY OTHER LEGAL THEORY OR FORM OF ACTION.</w:t>
      </w:r>
    </w:p>
    <w:p>
      <w:pPr>
        <w:keepNext/>
        <w:spacing w:line="276" w:lineRule="auto" w:before="200" w:after="80"/>
        <w:ind w:left="0"/>
      </w:pPr>
      <w:r>
        <w:rPr>
          <w:rFonts w:ascii="Times New Roman" w:hAnsi="Times New Roman"/>
          <w:b/>
          <w:color w:val="000000"/>
          <w:sz w:val="22"/>
        </w:rPr>
        <w:t>Section 11.3 — Essential Purpose</w:t>
      </w:r>
    </w:p>
    <w:p>
      <w:pPr>
        <w:spacing w:line="276" w:lineRule="auto" w:before="0" w:after="120"/>
        <w:jc w:val="both"/>
      </w:pPr>
      <w:r>
        <w:rPr>
          <w:rFonts w:ascii="Times New Roman" w:hAnsi="Times New Roman"/>
          <w:color w:val="000000"/>
          <w:sz w:val="22"/>
        </w:rPr>
        <w:t>The limitations of liability and exclusions of damages set forth in Sections 11.1 and 11.2 shall apply even if any limited remedy provided for in this Agreement fails of its essential purpose. The parties acknowledge and agree that the limitations of liability and exclusions of damages set forth in this Article 11 have been negotiated by the parties, reflect a fair and reasonable allocation of the risks and benefits of this Agreement, and form an essential basis of the bargain between the parties. The Fees charged by Provider under this Agreement reflect this allocation of risk, and Provider would not have entered into this Agreement without these limitations.</w:t>
      </w:r>
    </w:p>
    <w:p>
      <w:r>
        <w:br w:type="page"/>
      </w:r>
    </w:p>
    <w:p>
      <w:pPr>
        <w:keepNext/>
        <w:spacing w:line="276" w:lineRule="auto" w:before="360" w:after="120"/>
        <w:jc w:val="left"/>
      </w:pPr>
      <w:r>
        <w:rPr>
          <w:rFonts w:ascii="Times New Roman" w:hAnsi="Times New Roman"/>
          <w:b/>
          <w:color w:val="000000"/>
          <w:sz w:val="22"/>
          <w:u w:val="single"/>
        </w:rPr>
        <w:t>ARTICLE 12 — DATA PROTECTION AND SECURITY</w:t>
      </w:r>
    </w:p>
    <w:p>
      <w:pPr>
        <w:keepNext/>
        <w:spacing w:line="276" w:lineRule="auto" w:before="200" w:after="80"/>
        <w:ind w:left="0"/>
      </w:pPr>
      <w:r>
        <w:rPr>
          <w:rFonts w:ascii="Times New Roman" w:hAnsi="Times New Roman"/>
          <w:b/>
          <w:color w:val="000000"/>
          <w:sz w:val="22"/>
        </w:rPr>
        <w:t>Section 12.1 — Data Security</w:t>
      </w:r>
    </w:p>
    <w:p>
      <w:pPr>
        <w:spacing w:line="276" w:lineRule="auto" w:before="0" w:after="120"/>
        <w:jc w:val="both"/>
      </w:pPr>
      <w:r>
        <w:rPr>
          <w:rFonts w:ascii="Times New Roman" w:hAnsi="Times New Roman"/>
          <w:color w:val="000000"/>
          <w:sz w:val="22"/>
        </w:rPr>
        <w:t>Provider shall implement and maintain commercially reasonable administrative, technical, and physical safeguards designed to protect Customer Data against unauthorized access, acquisition, use, alteration, loss, destruction, or disclosure, consistent with industry standards for cloud-based SaaS platforms of a similar nature. Such safeguards shall include, without limitation, encryption of Customer Data in transit and at rest, access controls and authentication mechanisms, regular security assessments and vulnerability testing, and intrusion detection and prevention systems.</w:t>
      </w:r>
    </w:p>
    <w:p>
      <w:pPr>
        <w:keepNext/>
        <w:spacing w:line="276" w:lineRule="auto" w:before="200" w:after="80"/>
        <w:ind w:left="0"/>
      </w:pPr>
      <w:r>
        <w:rPr>
          <w:rFonts w:ascii="Times New Roman" w:hAnsi="Times New Roman"/>
          <w:b/>
          <w:color w:val="000000"/>
          <w:sz w:val="22"/>
        </w:rPr>
        <w:t>Section 12.2 — Data Processing</w:t>
      </w:r>
    </w:p>
    <w:p>
      <w:pPr>
        <w:spacing w:line="276" w:lineRule="auto" w:before="0" w:after="120"/>
        <w:jc w:val="both"/>
      </w:pPr>
      <w:r>
        <w:rPr>
          <w:rFonts w:ascii="Times New Roman" w:hAnsi="Times New Roman"/>
          <w:color w:val="000000"/>
          <w:sz w:val="22"/>
        </w:rPr>
        <w:t>Provider shall process Customer Data only as necessary to provide the Platform and perform the services contemplated by this Agreement and in accordance with Customer's instructions, applicable law, and Provider's then-current privacy policy. Provider shall not access, use, or disclose Customer Data for any purpose other than providing the Platform and related services, except as required by applicable law or as expressly authorized by Customer in writing.</w:t>
      </w:r>
    </w:p>
    <w:p>
      <w:pPr>
        <w:keepNext/>
        <w:spacing w:line="276" w:lineRule="auto" w:before="200" w:after="80"/>
        <w:ind w:left="0"/>
      </w:pPr>
      <w:r>
        <w:rPr>
          <w:rFonts w:ascii="Times New Roman" w:hAnsi="Times New Roman"/>
          <w:b/>
          <w:color w:val="000000"/>
          <w:sz w:val="22"/>
        </w:rPr>
        <w:t>Section 12.3 — Breach Notification</w:t>
      </w:r>
    </w:p>
    <w:p>
      <w:pPr>
        <w:spacing w:line="276" w:lineRule="auto" w:before="0" w:after="120"/>
        <w:jc w:val="both"/>
      </w:pPr>
      <w:r>
        <w:rPr>
          <w:rFonts w:ascii="Times New Roman" w:hAnsi="Times New Roman"/>
          <w:color w:val="000000"/>
          <w:sz w:val="22"/>
        </w:rPr>
        <w:t>In the event that Provider discovers or is notified of a security breach, unauthorized access, or other incident that results in or is reasonably believed to have resulted in the unauthorized access, acquisition, use, or disclosure of Customer Data (a "Security Incident"), Provider shall: (a) notify Customer in writing within seventy-two (72) hours of discovering the Security Incident; (b) promptly investigate the Security Incident and take all commercially reasonable steps to contain and remediate it; (c) cooperate with Customer in investigating and remediating the Security Incident; and (d) provide Customer with such information regarding the Security Incident as Customer may reasonably request, including the nature and scope of the incident, the categories and approximate number of data records affected, and the measures taken or proposed to be taken to address the incident.</w:t>
      </w:r>
    </w:p>
    <w:p>
      <w:r>
        <w:br w:type="page"/>
      </w:r>
    </w:p>
    <w:p>
      <w:pPr>
        <w:keepNext/>
        <w:spacing w:line="276" w:lineRule="auto" w:before="360" w:after="120"/>
        <w:jc w:val="left"/>
      </w:pPr>
      <w:r>
        <w:rPr>
          <w:rFonts w:ascii="Times New Roman" w:hAnsi="Times New Roman"/>
          <w:b/>
          <w:color w:val="000000"/>
          <w:sz w:val="22"/>
          <w:u w:val="single"/>
        </w:rPr>
        <w:t>ARTICLE 13 — INSURANCE</w:t>
      </w:r>
    </w:p>
    <w:p>
      <w:pPr>
        <w:spacing w:line="276" w:lineRule="auto" w:before="0" w:after="120"/>
        <w:jc w:val="both"/>
      </w:pPr>
      <w:r>
        <w:rPr>
          <w:rFonts w:ascii="Times New Roman" w:hAnsi="Times New Roman"/>
          <w:color w:val="000000"/>
          <w:sz w:val="22"/>
        </w:rPr>
        <w:t>Provider shall obtain and maintain throughout the Subscription Term the following insurance coverage, in each case with financially sound and reputable insurance carriers: (a) commercial general liability insurance with a per-occurrence limit of not less than One Million Dollars ($1,000,000.00) and a general aggregate limit of not less than Two Million Dollars ($2,000,000.00); (b) professional liability (errors and omissions) insurance with limits of not less than Five Million Dollars ($5,000,000.00) per claim and in the aggregate; and (c) cyber liability insurance with limits of not less than Five Million Dollars ($5,000,000.00) per claim and in the aggregate, covering network security liability, privacy liability, and data breach response costs. Provider shall furnish certificates of insurance evidencing such coverage to Customer upon Customer's reasonable written request. Provider shall provide Customer with at least thirty (30) days' prior written notice of any material change, cancellation, or non-renewal of any required insurance coverage.</w:t>
      </w:r>
    </w:p>
    <w:p>
      <w:r>
        <w:br w:type="page"/>
      </w:r>
    </w:p>
    <w:p>
      <w:pPr>
        <w:keepNext/>
        <w:spacing w:line="276" w:lineRule="auto" w:before="360" w:after="120"/>
        <w:jc w:val="left"/>
      </w:pPr>
      <w:r>
        <w:rPr>
          <w:rFonts w:ascii="Times New Roman" w:hAnsi="Times New Roman"/>
          <w:b/>
          <w:color w:val="000000"/>
          <w:sz w:val="22"/>
          <w:u w:val="single"/>
        </w:rPr>
        <w:t>ARTICLE 14 — GENERAL PROVISIONS</w:t>
      </w:r>
    </w:p>
    <w:p>
      <w:pPr>
        <w:keepNext/>
        <w:spacing w:line="276" w:lineRule="auto" w:before="200" w:after="80"/>
        <w:ind w:left="0"/>
      </w:pPr>
      <w:r>
        <w:rPr>
          <w:rFonts w:ascii="Times New Roman" w:hAnsi="Times New Roman"/>
          <w:b/>
          <w:color w:val="000000"/>
          <w:sz w:val="22"/>
        </w:rPr>
        <w:t>Section 14.1 — Notices</w:t>
      </w:r>
    </w:p>
    <w:p>
      <w:pPr>
        <w:spacing w:line="276" w:lineRule="auto" w:before="0" w:after="120"/>
        <w:jc w:val="both"/>
      </w:pPr>
      <w:r>
        <w:rPr>
          <w:rFonts w:ascii="Times New Roman" w:hAnsi="Times New Roman"/>
          <w:color w:val="000000"/>
          <w:sz w:val="22"/>
        </w:rPr>
        <w:t>All notices, demands, requests, consents, approvals, and other communications required or permitted under this Agreement shall be in writing and shall be delivered to the parties at the following addresses (or such other address as a party may designate by written notice in accordance with this Section):</w:t>
      </w:r>
    </w:p>
    <w:p>
      <w:pPr>
        <w:spacing w:line="276" w:lineRule="auto" w:before="0" w:after="120"/>
        <w:ind w:left="432"/>
        <w:jc w:val="both"/>
      </w:pPr>
      <w:r>
        <w:rPr>
          <w:rFonts w:ascii="Times New Roman" w:hAnsi="Times New Roman"/>
          <w:b/>
          <w:color w:val="000000"/>
          <w:sz w:val="22"/>
        </w:rPr>
        <w:t>If to Provider:</w:t>
      </w:r>
      <w:r>
        <w:rPr>
          <w:rFonts w:ascii="Times New Roman" w:hAnsi="Times New Roman"/>
          <w:color w:val="000000"/>
          <w:sz w:val="22"/>
        </w:rPr>
        <w:t xml:space="preserve"> DataCore Systems, Inc. 750 Innovation Drive, Suite 300 Austin, Texas 78759</w:t>
      </w:r>
    </w:p>
    <w:p>
      <w:pPr>
        <w:spacing w:line="240" w:lineRule="auto" w:before="20" w:after="20"/>
        <w:ind w:left="432"/>
        <w:jc w:val="left"/>
      </w:pPr>
      <w:r>
        <w:rPr>
          <w:rFonts w:ascii="Times New Roman" w:hAnsi="Times New Roman"/>
          <w:color w:val="000000"/>
          <w:sz w:val="22"/>
        </w:rPr>
        <w:t>Attention: General Counsel</w:t>
      </w:r>
    </w:p>
    <w:p>
      <w:pPr>
        <w:spacing w:line="276" w:lineRule="auto" w:before="0" w:after="120"/>
        <w:ind w:left="432"/>
        <w:jc w:val="both"/>
      </w:pPr>
      <w:r>
        <w:rPr>
          <w:rFonts w:ascii="Times New Roman" w:hAnsi="Times New Roman"/>
          <w:b/>
          <w:color w:val="000000"/>
          <w:sz w:val="22"/>
        </w:rPr>
        <w:t>If to Customer:</w:t>
      </w:r>
      <w:r>
        <w:rPr>
          <w:rFonts w:ascii="Times New Roman" w:hAnsi="Times New Roman"/>
          <w:color w:val="000000"/>
          <w:sz w:val="22"/>
        </w:rPr>
        <w:t xml:space="preserve"> Pinnacle Staffing Solutions, Inc. 3200 Peachtree Road NE, Suite 1400 Atlanta, Georgia 30305</w:t>
      </w:r>
    </w:p>
    <w:p>
      <w:pPr>
        <w:spacing w:line="240" w:lineRule="auto" w:before="20" w:after="20"/>
        <w:ind w:left="432"/>
        <w:jc w:val="left"/>
      </w:pPr>
      <w:r>
        <w:rPr>
          <w:rFonts w:ascii="Times New Roman" w:hAnsi="Times New Roman"/>
          <w:color w:val="000000"/>
          <w:sz w:val="22"/>
        </w:rPr>
        <w:t>Attention: Chief Technology Officer</w:t>
      </w:r>
    </w:p>
    <w:p>
      <w:pPr>
        <w:spacing w:line="276" w:lineRule="auto" w:before="0" w:after="120"/>
        <w:jc w:val="both"/>
      </w:pPr>
      <w:r>
        <w:rPr>
          <w:rFonts w:ascii="Times New Roman" w:hAnsi="Times New Roman"/>
          <w:color w:val="000000"/>
          <w:sz w:val="22"/>
        </w:rPr>
        <w:t>Notices shall be deemed given and effective: (a) when delivered personally to the party to be notified; (b) one (1) business day after deposit with a nationally recognized overnight courier service, prepaid and addressed as set forth above; or (c) three (3) business days after deposit in the United States mail, sent by certified mail, return receipt requested, postage prepaid, and addressed as set forth above. Either party may change its address for notice purposes by giving the other party written notice of such change in the manner specified in this Section.</w:t>
      </w:r>
    </w:p>
    <w:p>
      <w:pPr>
        <w:keepNext/>
        <w:spacing w:line="276" w:lineRule="auto" w:before="200" w:after="80"/>
        <w:ind w:left="0"/>
      </w:pPr>
      <w:r>
        <w:rPr>
          <w:rFonts w:ascii="Times New Roman" w:hAnsi="Times New Roman"/>
          <w:b/>
          <w:color w:val="000000"/>
          <w:sz w:val="22"/>
        </w:rPr>
        <w:t>Section 14.2 — Forum Selection</w:t>
      </w:r>
    </w:p>
    <w:p>
      <w:pPr>
        <w:spacing w:line="276" w:lineRule="auto" w:before="0" w:after="120"/>
        <w:jc w:val="both"/>
      </w:pPr>
      <w:r>
        <w:rPr>
          <w:rFonts w:ascii="Times New Roman" w:hAnsi="Times New Roman"/>
          <w:color w:val="000000"/>
          <w:sz w:val="22"/>
        </w:rPr>
        <w:t>Any dispute, claim, or controversy arising out of or relating to this Agreement, including the determination of the scope or applicability of this Agreement, shall be resolved exclusively in the state or federal courts located in Travis County, Texas. Each party hereby irrevocably consents to the exclusive personal jurisdiction and venue of such courts for any such dispute, claim, or controversy and waives any objection to such jurisdiction or venue, including without limitation any objection based on inconvenient forum or lack of jurisdiction.</w:t>
      </w:r>
    </w:p>
    <w:p>
      <w:pPr>
        <w:keepNext/>
        <w:spacing w:line="276" w:lineRule="auto" w:before="200" w:after="80"/>
        <w:ind w:left="0"/>
      </w:pPr>
      <w:r>
        <w:rPr>
          <w:rFonts w:ascii="Times New Roman" w:hAnsi="Times New Roman"/>
          <w:b/>
          <w:color w:val="000000"/>
          <w:sz w:val="22"/>
        </w:rPr>
        <w:t>Section 14.3 — Governing Law</w:t>
      </w:r>
    </w:p>
    <w:p>
      <w:pPr>
        <w:spacing w:line="276" w:lineRule="auto" w:before="0" w:after="120"/>
        <w:jc w:val="both"/>
      </w:pPr>
      <w:r>
        <w:rPr>
          <w:rFonts w:ascii="Times New Roman" w:hAnsi="Times New Roman"/>
          <w:color w:val="000000"/>
          <w:sz w:val="22"/>
        </w:rPr>
        <w:t>This Agreement shall be governed by and construed in accordance with the laws of the State of Texas, without regard to its conflict-of-laws principles. All disputes arising under this Agreement shall be resolved in accordance with the laws of the State of Texas.</w:t>
      </w:r>
    </w:p>
    <w:p>
      <w:pPr>
        <w:keepNext/>
        <w:spacing w:line="276" w:lineRule="auto" w:before="200" w:after="80"/>
        <w:ind w:left="0"/>
      </w:pPr>
      <w:r>
        <w:rPr>
          <w:rFonts w:ascii="Times New Roman" w:hAnsi="Times New Roman"/>
          <w:b/>
          <w:color w:val="000000"/>
          <w:sz w:val="22"/>
        </w:rPr>
        <w:t>Section 14.4 — Assignment</w:t>
      </w:r>
    </w:p>
    <w:p>
      <w:pPr>
        <w:spacing w:line="276" w:lineRule="auto" w:before="0" w:after="120"/>
        <w:jc w:val="both"/>
      </w:pPr>
      <w:r>
        <w:rPr>
          <w:rFonts w:ascii="Times New Roman" w:hAnsi="Times New Roman"/>
          <w:color w:val="000000"/>
          <w:sz w:val="22"/>
        </w:rPr>
        <w:t>Neither party may assign, delegate, or otherwise transfer this Agreement or any of its rights or obligations hereunder without the prior written consent of the other party; provided, however, that either party may assign this Agreement without consent to: (a) an affiliate that controls, is controlled by, or is under common control with the assigning party; or (b) a successor entity in connection with a merger, consolidation, acquisition, reorganization, or sale of all or substantially all of the assigning party's assets, provided that such successor agrees in writing to be bound by the terms of this Agreement. Any attempted assignment in violation of this Section shall be null and void. This Agreement shall be binding upon and shall inure to the benefit of the parties and their respective successors and permitted assigns.</w:t>
      </w:r>
    </w:p>
    <w:p>
      <w:pPr>
        <w:keepNext/>
        <w:spacing w:line="276" w:lineRule="auto" w:before="200" w:after="80"/>
        <w:ind w:left="0"/>
      </w:pPr>
      <w:r>
        <w:rPr>
          <w:rFonts w:ascii="Times New Roman" w:hAnsi="Times New Roman"/>
          <w:b/>
          <w:color w:val="000000"/>
          <w:sz w:val="22"/>
        </w:rPr>
        <w:t>Section 14.5 — Dispute Resolution</w:t>
      </w:r>
    </w:p>
    <w:p>
      <w:pPr>
        <w:spacing w:line="276" w:lineRule="auto" w:before="0" w:after="120"/>
        <w:jc w:val="both"/>
      </w:pPr>
      <w:r>
        <w:rPr>
          <w:rFonts w:ascii="Times New Roman" w:hAnsi="Times New Roman"/>
          <w:color w:val="000000"/>
          <w:sz w:val="22"/>
        </w:rPr>
        <w:t>Any dispute arising under this Agreement in which the amount in controversy is Fifty Thousand Dollars ($50,000.00) or less shall be resolved through binding arbitration administered by the American Arbitration Association in accordance with its then-current Commercial Arbitration Rules. The arbitration shall be conducted in Austin, Texas, by a single arbitrator selected in accordance with the American Arbitration Association's rules. The arbitrator's decision shall be final and binding upon the parties and may be entered as a judgment in any court of competent jurisdiction. The costs of the arbitration, including the arbitrator's fees and expenses, shall be shared equally by the parties, unless the arbitrator determines otherwise. For any dispute in which the amount in controversy exceeds Fifty Thousand Dollars ($50,000.00), the parties may pursue litigation in the courts specified in Section 14.2, subject to all other applicable provisions of this Agreement.</w:t>
      </w:r>
    </w:p>
    <w:p>
      <w:pPr>
        <w:keepNext/>
        <w:spacing w:line="276" w:lineRule="auto" w:before="200" w:after="80"/>
        <w:ind w:left="0"/>
      </w:pPr>
      <w:r>
        <w:rPr>
          <w:rFonts w:ascii="Times New Roman" w:hAnsi="Times New Roman"/>
          <w:b/>
          <w:color w:val="000000"/>
          <w:sz w:val="22"/>
        </w:rPr>
        <w:t>Section 14.6 — Force Majeure</w:t>
      </w:r>
    </w:p>
    <w:p>
      <w:pPr>
        <w:spacing w:line="276" w:lineRule="auto" w:before="0" w:after="120"/>
        <w:jc w:val="both"/>
      </w:pPr>
      <w:r>
        <w:rPr>
          <w:rFonts w:ascii="Times New Roman" w:hAnsi="Times New Roman"/>
          <w:color w:val="000000"/>
          <w:sz w:val="22"/>
        </w:rPr>
        <w:t>Neither party shall be liable for any failure to perform or delay in performing any obligation under this Agreement (other than the obligation to pay Fees when due) to the extent such failure or delay results from causes beyond such party's reasonable control, including without limitation acts of God, natural disasters, epidemics, pandemics, fires, floods, earthquakes, hurricanes, severe weather events, governmental actions or orders, war, terrorism, civil unrest, labor disputes or strikes, disruptions to utility services or telecommunications networks, internet outages or disruptions, or failures of third-party suppliers or service providers (each, a "Force Majeure Event"). The affected party shall give prompt written notice to the other party of the Force Majeure Event and shall use commercially reasonable efforts to mitigate the effects of the Force Majeure Event and resume performance as soon as practicable. If a Force Majeure Event continues for a period of more than ninety (90) consecutive days, either party may terminate this Agreement upon written notice to the other party, without liability for such termination other than for Fees accrued prior to the effective date of termination.</w:t>
      </w:r>
    </w:p>
    <w:p>
      <w:pPr>
        <w:keepNext/>
        <w:spacing w:line="276" w:lineRule="auto" w:before="200" w:after="80"/>
        <w:ind w:left="0"/>
      </w:pPr>
      <w:r>
        <w:rPr>
          <w:rFonts w:ascii="Times New Roman" w:hAnsi="Times New Roman"/>
          <w:b/>
          <w:color w:val="000000"/>
          <w:sz w:val="22"/>
        </w:rPr>
        <w:t>Section 14.7 — Entire Agreement</w:t>
      </w:r>
    </w:p>
    <w:p>
      <w:pPr>
        <w:spacing w:line="276" w:lineRule="auto" w:before="0" w:after="120"/>
        <w:jc w:val="both"/>
      </w:pPr>
      <w:r>
        <w:rPr>
          <w:rFonts w:ascii="Times New Roman" w:hAnsi="Times New Roman"/>
          <w:color w:val="000000"/>
          <w:sz w:val="22"/>
        </w:rPr>
        <w:t>This Agreement, together with all Exhibits and Schedules attached hereto, constitutes the entire agreement between the parties with respect to the subject matter hereof and supersedes all prior and contemporaneous agreements, representations, warranties, and understandings, whether written or oral, between the parties with respect to such subject matter. Each party acknowledges that it has not relied upon any statement, representation, warranty, or agreement of the other party except for those expressly set forth in this Agreement. No amendment to or modification of this Agreement shall be effective unless set forth in a written instrument signed by duly authorized representatives of both parties. For the avoidance of doubt, this Agreement may not be modified by any purchase order, acknowledgment form, or similar document issued by either party, regardless of whether such document is signed or accepted by the other party.</w:t>
      </w:r>
    </w:p>
    <w:p>
      <w:pPr>
        <w:keepNext/>
        <w:spacing w:line="276" w:lineRule="auto" w:before="200" w:after="80"/>
        <w:ind w:left="0"/>
      </w:pPr>
      <w:r>
        <w:rPr>
          <w:rFonts w:ascii="Times New Roman" w:hAnsi="Times New Roman"/>
          <w:b/>
          <w:color w:val="000000"/>
          <w:sz w:val="22"/>
        </w:rPr>
        <w:t>Section 14.8 — Severability</w:t>
      </w:r>
    </w:p>
    <w:p>
      <w:pPr>
        <w:spacing w:line="276" w:lineRule="auto" w:before="0" w:after="120"/>
        <w:jc w:val="both"/>
      </w:pPr>
      <w:r>
        <w:rPr>
          <w:rFonts w:ascii="Times New Roman" w:hAnsi="Times New Roman"/>
          <w:color w:val="000000"/>
          <w:sz w:val="22"/>
        </w:rPr>
        <w:t>If any provision of this Agreement is held by a court of competent jurisdiction to be invalid, illegal, or unenforceable for any reason, such invalidity, illegality, or unenforceability shall not affect any other provision of this Agreement, and this Agreement shall be construed as if such invalid, illegal, or unenforceable provision had never been included herein. In such event, the parties shall negotiate in good faith a replacement provision that is valid, legal, and enforceable and that most closely reflects the original intent and economic effect of the invalid, illegal, or unenforceable provision.</w:t>
      </w:r>
    </w:p>
    <w:p>
      <w:pPr>
        <w:keepNext/>
        <w:spacing w:line="276" w:lineRule="auto" w:before="200" w:after="80"/>
        <w:ind w:left="0"/>
      </w:pPr>
      <w:r>
        <w:rPr>
          <w:rFonts w:ascii="Times New Roman" w:hAnsi="Times New Roman"/>
          <w:b/>
          <w:color w:val="000000"/>
          <w:sz w:val="22"/>
        </w:rPr>
        <w:t>Section 14.9 — Waiver</w:t>
      </w:r>
    </w:p>
    <w:p>
      <w:pPr>
        <w:spacing w:line="276" w:lineRule="auto" w:before="0" w:after="120"/>
        <w:jc w:val="both"/>
      </w:pPr>
      <w:r>
        <w:rPr>
          <w:rFonts w:ascii="Times New Roman" w:hAnsi="Times New Roman"/>
          <w:color w:val="000000"/>
          <w:sz w:val="22"/>
        </w:rPr>
        <w:t>The failure of either party to enforce any right or provision of this Agreement shall not constitute a waiver of such right or provision or of any other right or provision. Any waiver of any provision of this Agreement must be in writing and signed by the party granting such waiver. A waiver of any breach or default under this Agreement shall not be deemed a waiver of any subsequent or prior breach or default, whether of the same or a different nature.</w:t>
      </w:r>
    </w:p>
    <w:p>
      <w:pPr>
        <w:keepNext/>
        <w:spacing w:line="276" w:lineRule="auto" w:before="200" w:after="80"/>
        <w:ind w:left="0"/>
      </w:pPr>
      <w:r>
        <w:rPr>
          <w:rFonts w:ascii="Times New Roman" w:hAnsi="Times New Roman"/>
          <w:b/>
          <w:color w:val="000000"/>
          <w:sz w:val="22"/>
        </w:rPr>
        <w:t>Section 14.10 — Relationship of the Parties</w:t>
      </w:r>
    </w:p>
    <w:p>
      <w:pPr>
        <w:spacing w:line="276" w:lineRule="auto" w:before="0" w:after="120"/>
        <w:jc w:val="both"/>
      </w:pPr>
      <w:r>
        <w:rPr>
          <w:rFonts w:ascii="Times New Roman" w:hAnsi="Times New Roman"/>
          <w:color w:val="000000"/>
          <w:sz w:val="22"/>
        </w:rPr>
        <w:t>The parties are independent contractors. Nothing in this Agreement shall be construed to create a partnership, joint venture, agency, fiduciary, or employment relationship between the parties. Neither party shall have the authority to bind the other party or to incur any obligation on the other party's behalf without the other party's prior written consent.</w:t>
      </w:r>
    </w:p>
    <w:p>
      <w:pPr>
        <w:keepNext/>
        <w:spacing w:line="276" w:lineRule="auto" w:before="200" w:after="80"/>
        <w:ind w:left="0"/>
      </w:pPr>
      <w:r>
        <w:rPr>
          <w:rFonts w:ascii="Times New Roman" w:hAnsi="Times New Roman"/>
          <w:b/>
          <w:color w:val="000000"/>
          <w:sz w:val="22"/>
        </w:rPr>
        <w:t>Section 14.11 — Counterparts</w:t>
      </w:r>
    </w:p>
    <w:p>
      <w:pPr>
        <w:spacing w:line="276" w:lineRule="auto" w:before="0" w:after="120"/>
        <w:jc w:val="both"/>
      </w:pPr>
      <w:r>
        <w:rPr>
          <w:rFonts w:ascii="Times New Roman" w:hAnsi="Times New Roman"/>
          <w:color w:val="000000"/>
          <w:sz w:val="22"/>
        </w:rPr>
        <w:t>This Agreement may be executed in two or more counterparts, each of which shall be deemed an original and all of which, when taken together, shall constitute one and the same instrument. Signatures transmitted by electronic mail in portable document format (.pdf) or by facsimile shall have the same force and effect as original ink signatures.</w:t>
      </w:r>
    </w:p>
    <w:p>
      <w:pPr>
        <w:keepNext/>
        <w:spacing w:line="276" w:lineRule="auto" w:before="200" w:after="80"/>
        <w:ind w:left="0"/>
      </w:pPr>
      <w:r>
        <w:rPr>
          <w:rFonts w:ascii="Times New Roman" w:hAnsi="Times New Roman"/>
          <w:b/>
          <w:color w:val="000000"/>
          <w:sz w:val="22"/>
        </w:rPr>
        <w:t>Section 14.12 — Headings</w:t>
      </w:r>
    </w:p>
    <w:p>
      <w:pPr>
        <w:spacing w:line="276" w:lineRule="auto" w:before="0" w:after="120"/>
        <w:jc w:val="both"/>
      </w:pPr>
      <w:r>
        <w:rPr>
          <w:rFonts w:ascii="Times New Roman" w:hAnsi="Times New Roman"/>
          <w:color w:val="000000"/>
          <w:sz w:val="22"/>
        </w:rPr>
        <w:t>The headings of the Articles and Sections of this Agreement are inserted for convenience of reference only and shall not affect the meaning, interpretation, or construction of this Agreement.</w:t>
      </w:r>
    </w:p>
    <w:p>
      <w:r>
        <w:br w:type="page"/>
      </w:r>
    </w:p>
    <w:p>
      <w:pPr>
        <w:spacing w:line="276" w:lineRule="auto" w:before="0" w:after="120"/>
        <w:jc w:val="center"/>
      </w:pPr>
      <w:r>
        <w:rPr>
          <w:rFonts w:ascii="Times New Roman" w:hAnsi="Times New Roman"/>
          <w:i/>
          <w:color w:val="000000"/>
          <w:sz w:val="22"/>
        </w:rPr>
        <w:t>[Remainder of this page intentionally left blank. Signature page follows.]</w:t>
      </w:r>
    </w:p>
    <w:p>
      <w:r>
        <w:br w:type="page"/>
      </w:r>
    </w:p>
    <w:p>
      <w:pPr>
        <w:spacing w:line="276" w:lineRule="auto" w:before="0" w:after="120"/>
        <w:jc w:val="both"/>
      </w:pPr>
      <w:r>
        <w:rPr>
          <w:rFonts w:ascii="Times New Roman" w:hAnsi="Times New Roman"/>
          <w:b/>
          <w:color w:val="000000"/>
          <w:sz w:val="22"/>
        </w:rPr>
        <w:t>IN WITNESS WHEREOF</w:t>
      </w:r>
      <w:r>
        <w:rPr>
          <w:rFonts w:ascii="Times New Roman" w:hAnsi="Times New Roman"/>
          <w:color w:val="000000"/>
          <w:sz w:val="22"/>
        </w:rPr>
        <w:t>, the parties have executed this Master Services Agreement as of the Effective Date first written above.</w:t>
      </w:r>
    </w:p>
    <w:p>
      <w:pPr>
        <w:spacing w:line="240" w:lineRule="auto" w:before="20" w:after="20"/>
        <w:jc w:val="both"/>
      </w:pPr>
      <w:r>
        <w:rPr>
          <w:rFonts w:ascii="Times New Roman" w:hAnsi="Times New Roman"/>
          <w:b/>
          <w:color w:val="000000"/>
          <w:sz w:val="22"/>
        </w:rPr>
        <w:t>DATACORE SYSTEMS,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Victor Sousa</w:t>
      </w:r>
    </w:p>
    <w:p>
      <w:pPr>
        <w:spacing w:line="240" w:lineRule="auto" w:before="20" w:after="20"/>
        <w:jc w:val="left"/>
      </w:pPr>
      <w:r>
        <w:rPr>
          <w:rFonts w:ascii="Times New Roman" w:hAnsi="Times New Roman"/>
          <w:color w:val="000000"/>
          <w:sz w:val="22"/>
        </w:rPr>
        <w:t>Title: Vice President of Sales, Southeast Region</w:t>
      </w:r>
    </w:p>
    <w:p>
      <w:pPr>
        <w:spacing w:line="240" w:lineRule="auto" w:before="20" w:after="20"/>
        <w:jc w:val="left"/>
      </w:pPr>
      <w:r>
        <w:rPr>
          <w:rFonts w:ascii="Times New Roman" w:hAnsi="Times New Roman"/>
          <w:color w:val="000000"/>
          <w:sz w:val="22"/>
        </w:rPr>
        <w:t>Date: March 15, 2022</w:t>
      </w:r>
    </w:p>
    <w:p>
      <w:pPr>
        <w:spacing w:line="276" w:lineRule="auto" w:before="0" w:after="120"/>
        <w:jc w:val="both"/>
      </w:pPr>
      <w:r>
        <w:rPr>
          <w:rFonts w:ascii="Times New Roman" w:hAnsi="Times New Roman"/>
          <w:color w:val="000000"/>
          <w:sz w:val="22"/>
        </w:rPr>
        <w:t>&amp;nbsp;</w:t>
      </w:r>
    </w:p>
    <w:p>
      <w:pPr>
        <w:spacing w:line="240" w:lineRule="auto" w:before="20" w:after="20"/>
        <w:jc w:val="both"/>
      </w:pPr>
      <w:r>
        <w:rPr>
          <w:rFonts w:ascii="Times New Roman" w:hAnsi="Times New Roman"/>
          <w:b/>
          <w:color w:val="000000"/>
          <w:sz w:val="22"/>
        </w:rPr>
        <w:t>PINNACLE STAFFING SOLUTIONS,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Cheryl Nance</w:t>
      </w:r>
    </w:p>
    <w:p>
      <w:pPr>
        <w:spacing w:line="240" w:lineRule="auto" w:before="20" w:after="20"/>
        <w:jc w:val="left"/>
      </w:pPr>
      <w:r>
        <w:rPr>
          <w:rFonts w:ascii="Times New Roman" w:hAnsi="Times New Roman"/>
          <w:color w:val="000000"/>
          <w:sz w:val="22"/>
        </w:rPr>
        <w:t>Title: Chief Technology Officer</w:t>
      </w:r>
    </w:p>
    <w:p>
      <w:pPr>
        <w:spacing w:line="240" w:lineRule="auto" w:before="20" w:after="20"/>
        <w:jc w:val="left"/>
      </w:pPr>
      <w:r>
        <w:rPr>
          <w:rFonts w:ascii="Times New Roman" w:hAnsi="Times New Roman"/>
          <w:color w:val="000000"/>
          <w:sz w:val="22"/>
        </w:rPr>
        <w:t>Date: March 15, 2022</w:t>
      </w:r>
    </w:p>
    <w:p>
      <w:r>
        <w:br w:type="page"/>
      </w:r>
    </w:p>
    <w:p>
      <w:pPr>
        <w:keepNext/>
        <w:spacing w:line="276" w:lineRule="auto" w:before="120" w:after="240"/>
        <w:jc w:val="center"/>
      </w:pPr>
      <w:r>
        <w:rPr>
          <w:rFonts w:ascii="Times New Roman" w:hAnsi="Times New Roman"/>
          <w:b/>
          <w:color w:val="000000"/>
          <w:sz w:val="28"/>
          <w:u w:val="single"/>
        </w:rPr>
        <w:t>EXHIBIT A</w:t>
      </w:r>
    </w:p>
    <w:p>
      <w:pPr>
        <w:keepNext/>
        <w:spacing w:line="276" w:lineRule="auto" w:before="360" w:after="120"/>
        <w:jc w:val="center"/>
      </w:pPr>
      <w:r>
        <w:rPr>
          <w:rFonts w:ascii="Times New Roman" w:hAnsi="Times New Roman"/>
          <w:b/>
          <w:color w:val="000000"/>
          <w:sz w:val="22"/>
          <w:u w:val="single"/>
        </w:rPr>
        <w:t>FEES SCHEDULE</w:t>
      </w:r>
    </w:p>
    <w:p>
      <w:pPr>
        <w:spacing w:line="276" w:lineRule="auto" w:before="0" w:after="120"/>
        <w:jc w:val="both"/>
      </w:pPr>
      <w:r>
        <w:rPr>
          <w:rFonts w:ascii="Times New Roman" w:hAnsi="Times New Roman"/>
          <w:color w:val="000000"/>
          <w:sz w:val="22"/>
        </w:rPr>
        <w:t>This Exhibit A is attached to and incorporated into the Master Services Agreement (Agreement No. MSA-2022-03287) between DataCore Systems, Inc. ("Provider") and Pinnacle Staffing Solutions, Inc. ("Customer"), effective as of March 15, 2022.</w:t>
      </w:r>
    </w:p>
    <w:p>
      <w:pPr>
        <w:keepNext/>
        <w:spacing w:line="276" w:lineRule="auto" w:before="200" w:after="80"/>
        <w:ind w:left="0"/>
      </w:pPr>
      <w:r>
        <w:rPr>
          <w:rFonts w:ascii="Times New Roman" w:hAnsi="Times New Roman"/>
          <w:b/>
          <w:color w:val="000000"/>
          <w:sz w:val="22"/>
        </w:rPr>
        <w:t>1. Subscription Fee</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Item</w:t>
            </w:r>
          </w:p>
        </w:tc>
        <w:tc>
          <w:tcPr>
            <w:tcW w:type="dxa" w:w="4320"/>
          </w:tcPr>
          <w:p>
            <w:pPr>
              <w:spacing w:line="276" w:lineRule="auto" w:before="20" w:after="20"/>
            </w:pPr>
            <w:r>
              <w:rPr>
                <w:b/>
              </w:rPr>
            </w:r>
            <w:r>
              <w:rPr>
                <w:rFonts w:ascii="Times New Roman" w:hAnsi="Times New Roman"/>
                <w:b/>
                <w:color w:val="000000"/>
                <w:sz w:val="18"/>
              </w:rPr>
              <w:t>Amount</w:t>
            </w:r>
          </w:p>
        </w:tc>
      </w:tr>
      <w:tr>
        <w:tc>
          <w:tcPr>
            <w:tcW w:type="dxa" w:w="4320"/>
          </w:tcPr>
          <w:p>
            <w:pPr>
              <w:spacing w:line="276" w:lineRule="auto" w:before="20" w:after="20"/>
            </w:pPr>
            <w:r/>
            <w:r>
              <w:rPr>
                <w:rFonts w:ascii="Times New Roman" w:hAnsi="Times New Roman"/>
                <w:color w:val="000000"/>
                <w:sz w:val="18"/>
              </w:rPr>
              <w:t>Annual Subscription Fee</w:t>
            </w:r>
          </w:p>
        </w:tc>
        <w:tc>
          <w:tcPr>
            <w:tcW w:type="dxa" w:w="4320"/>
          </w:tcPr>
          <w:p>
            <w:pPr>
              <w:spacing w:line="276" w:lineRule="auto" w:before="20" w:after="20"/>
            </w:pPr>
            <w:r/>
            <w:r>
              <w:rPr>
                <w:rFonts w:ascii="Times New Roman" w:hAnsi="Times New Roman"/>
                <w:color w:val="000000"/>
                <w:sz w:val="18"/>
              </w:rPr>
              <w:t>$432,000.00 per year</w:t>
            </w:r>
          </w:p>
        </w:tc>
      </w:tr>
      <w:tr>
        <w:tc>
          <w:tcPr>
            <w:tcW w:type="dxa" w:w="4320"/>
          </w:tcPr>
          <w:p>
            <w:pPr>
              <w:spacing w:line="276" w:lineRule="auto" w:before="20" w:after="20"/>
            </w:pPr>
            <w:r/>
            <w:r>
              <w:rPr>
                <w:rFonts w:ascii="Times New Roman" w:hAnsi="Times New Roman"/>
                <w:color w:val="000000"/>
                <w:sz w:val="18"/>
              </w:rPr>
              <w:t>Monthly Installment</w:t>
            </w:r>
          </w:p>
        </w:tc>
        <w:tc>
          <w:tcPr>
            <w:tcW w:type="dxa" w:w="4320"/>
          </w:tcPr>
          <w:p>
            <w:pPr>
              <w:spacing w:line="276" w:lineRule="auto" w:before="20" w:after="20"/>
            </w:pPr>
            <w:r/>
            <w:r>
              <w:rPr>
                <w:rFonts w:ascii="Times New Roman" w:hAnsi="Times New Roman"/>
                <w:color w:val="000000"/>
                <w:sz w:val="18"/>
              </w:rPr>
              <w:t>$36,000.00 per month</w:t>
            </w:r>
          </w:p>
        </w:tc>
      </w:tr>
      <w:tr>
        <w:tc>
          <w:tcPr>
            <w:tcW w:type="dxa" w:w="4320"/>
          </w:tcPr>
          <w:p>
            <w:pPr>
              <w:spacing w:line="276" w:lineRule="auto" w:before="20" w:after="20"/>
            </w:pPr>
            <w:r/>
            <w:r>
              <w:rPr>
                <w:rFonts w:ascii="Times New Roman" w:hAnsi="Times New Roman"/>
                <w:color w:val="000000"/>
                <w:sz w:val="18"/>
              </w:rPr>
              <w:t>Payment Due Date</w:t>
            </w:r>
          </w:p>
        </w:tc>
        <w:tc>
          <w:tcPr>
            <w:tcW w:type="dxa" w:w="4320"/>
          </w:tcPr>
          <w:p>
            <w:pPr>
              <w:spacing w:line="276" w:lineRule="auto" w:before="20" w:after="20"/>
            </w:pPr>
            <w:r/>
            <w:r>
              <w:rPr>
                <w:rFonts w:ascii="Times New Roman" w:hAnsi="Times New Roman"/>
                <w:color w:val="000000"/>
                <w:sz w:val="18"/>
              </w:rPr>
              <w:t>First day of each calendar month</w:t>
            </w:r>
          </w:p>
        </w:tc>
      </w:tr>
      <w:tr>
        <w:tc>
          <w:tcPr>
            <w:tcW w:type="dxa" w:w="4320"/>
          </w:tcPr>
          <w:p>
            <w:pPr>
              <w:spacing w:line="276" w:lineRule="auto" w:before="20" w:after="20"/>
            </w:pPr>
            <w:r/>
            <w:r>
              <w:rPr>
                <w:rFonts w:ascii="Times New Roman" w:hAnsi="Times New Roman"/>
                <w:color w:val="000000"/>
                <w:sz w:val="18"/>
              </w:rPr>
              <w:t>Total Subscription Fee (Initial 5-Year Term)</w:t>
            </w:r>
          </w:p>
        </w:tc>
        <w:tc>
          <w:tcPr>
            <w:tcW w:type="dxa" w:w="4320"/>
          </w:tcPr>
          <w:p>
            <w:pPr>
              <w:spacing w:line="276" w:lineRule="auto" w:before="20" w:after="20"/>
            </w:pPr>
            <w:r/>
            <w:r>
              <w:rPr>
                <w:rFonts w:ascii="Times New Roman" w:hAnsi="Times New Roman"/>
                <w:color w:val="000000"/>
                <w:sz w:val="18"/>
              </w:rPr>
              <w:t>$2,160,000.00</w:t>
            </w:r>
          </w:p>
        </w:tc>
      </w:tr>
    </w:tbl>
    <w:p/>
    <w:p>
      <w:pPr>
        <w:spacing w:line="276" w:lineRule="auto" w:before="0" w:after="120"/>
        <w:jc w:val="both"/>
      </w:pPr>
      <w:r>
        <w:rPr>
          <w:rFonts w:ascii="Times New Roman" w:hAnsi="Times New Roman"/>
          <w:color w:val="000000"/>
          <w:sz w:val="22"/>
        </w:rPr>
        <w:t>The Subscription Fee covers access to and use of the TalentBridge Platform for up to the number of Authorized Users specified in Section 5 below, including all Updates made generally available by Provider during the Subscription Term, and standard technical support as described in Exhibit C.</w:t>
      </w:r>
    </w:p>
    <w:p>
      <w:pPr>
        <w:keepNext/>
        <w:spacing w:line="276" w:lineRule="auto" w:before="200" w:after="80"/>
        <w:ind w:left="0"/>
      </w:pPr>
      <w:r>
        <w:rPr>
          <w:rFonts w:ascii="Times New Roman" w:hAnsi="Times New Roman"/>
          <w:b/>
          <w:color w:val="000000"/>
          <w:sz w:val="22"/>
        </w:rPr>
        <w:t>2. Implementation Fee</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80"/>
        <w:gridCol w:w="2880"/>
        <w:gridCol w:w="2880"/>
      </w:tblGrid>
      <w:tr>
        <w:tc>
          <w:tcPr>
            <w:tcW w:type="dxa" w:w="2880"/>
          </w:tcPr>
          <w:p>
            <w:pPr>
              <w:spacing w:line="276" w:lineRule="auto" w:before="20" w:after="20"/>
            </w:pPr>
            <w:r>
              <w:rPr>
                <w:b/>
              </w:rPr>
            </w:r>
            <w:r>
              <w:rPr>
                <w:rFonts w:ascii="Times New Roman" w:hAnsi="Times New Roman"/>
                <w:b/>
                <w:color w:val="000000"/>
                <w:sz w:val="18"/>
              </w:rPr>
              <w:t>Item</w:t>
            </w:r>
          </w:p>
        </w:tc>
        <w:tc>
          <w:tcPr>
            <w:tcW w:type="dxa" w:w="2880"/>
          </w:tcPr>
          <w:p>
            <w:pPr>
              <w:spacing w:line="276" w:lineRule="auto" w:before="20" w:after="20"/>
            </w:pPr>
            <w:r>
              <w:rPr>
                <w:b/>
              </w:rPr>
            </w:r>
            <w:r>
              <w:rPr>
                <w:rFonts w:ascii="Times New Roman" w:hAnsi="Times New Roman"/>
                <w:b/>
                <w:color w:val="000000"/>
                <w:sz w:val="18"/>
              </w:rPr>
              <w:t>Amount</w:t>
            </w:r>
          </w:p>
        </w:tc>
        <w:tc>
          <w:tcPr>
            <w:tcW w:type="dxa" w:w="2880"/>
          </w:tcPr>
          <w:p>
            <w:pPr>
              <w:spacing w:line="276" w:lineRule="auto" w:before="20" w:after="20"/>
            </w:pPr>
            <w:r>
              <w:rPr>
                <w:b/>
              </w:rPr>
            </w:r>
            <w:r>
              <w:rPr>
                <w:rFonts w:ascii="Times New Roman" w:hAnsi="Times New Roman"/>
                <w:b/>
                <w:color w:val="000000"/>
                <w:sz w:val="18"/>
              </w:rPr>
              <w:t>Due Date</w:t>
            </w:r>
          </w:p>
        </w:tc>
      </w:tr>
      <w:tr>
        <w:tc>
          <w:tcPr>
            <w:tcW w:type="dxa" w:w="2880"/>
          </w:tcPr>
          <w:p>
            <w:pPr>
              <w:spacing w:line="276" w:lineRule="auto" w:before="20" w:after="20"/>
            </w:pPr>
            <w:r/>
            <w:r>
              <w:rPr>
                <w:rFonts w:ascii="Times New Roman" w:hAnsi="Times New Roman"/>
                <w:color w:val="000000"/>
                <w:sz w:val="18"/>
              </w:rPr>
              <w:t>Implementation Fee — First Installment (50%)</w:t>
            </w:r>
          </w:p>
        </w:tc>
        <w:tc>
          <w:tcPr>
            <w:tcW w:type="dxa" w:w="2880"/>
          </w:tcPr>
          <w:p>
            <w:pPr>
              <w:spacing w:line="276" w:lineRule="auto" w:before="20" w:after="20"/>
            </w:pPr>
            <w:r/>
            <w:r>
              <w:rPr>
                <w:rFonts w:ascii="Times New Roman" w:hAnsi="Times New Roman"/>
                <w:color w:val="000000"/>
                <w:sz w:val="18"/>
              </w:rPr>
              <w:t>$87,500.00</w:t>
            </w:r>
          </w:p>
        </w:tc>
        <w:tc>
          <w:tcPr>
            <w:tcW w:type="dxa" w:w="2880"/>
          </w:tcPr>
          <w:p>
            <w:pPr>
              <w:spacing w:line="276" w:lineRule="auto" w:before="20" w:after="20"/>
            </w:pPr>
            <w:r/>
            <w:r>
              <w:rPr>
                <w:rFonts w:ascii="Times New Roman" w:hAnsi="Times New Roman"/>
                <w:color w:val="000000"/>
                <w:sz w:val="18"/>
              </w:rPr>
              <w:t>Upon execution of Agreement</w:t>
            </w:r>
          </w:p>
        </w:tc>
      </w:tr>
      <w:tr>
        <w:tc>
          <w:tcPr>
            <w:tcW w:type="dxa" w:w="2880"/>
          </w:tcPr>
          <w:p>
            <w:pPr>
              <w:spacing w:line="276" w:lineRule="auto" w:before="20" w:after="20"/>
            </w:pPr>
            <w:r/>
            <w:r>
              <w:rPr>
                <w:rFonts w:ascii="Times New Roman" w:hAnsi="Times New Roman"/>
                <w:color w:val="000000"/>
                <w:sz w:val="18"/>
              </w:rPr>
              <w:t>Implementation Fee — Second Installment (50%)</w:t>
            </w:r>
          </w:p>
        </w:tc>
        <w:tc>
          <w:tcPr>
            <w:tcW w:type="dxa" w:w="2880"/>
          </w:tcPr>
          <w:p>
            <w:pPr>
              <w:spacing w:line="276" w:lineRule="auto" w:before="20" w:after="20"/>
            </w:pPr>
            <w:r/>
            <w:r>
              <w:rPr>
                <w:rFonts w:ascii="Times New Roman" w:hAnsi="Times New Roman"/>
                <w:color w:val="000000"/>
                <w:sz w:val="18"/>
              </w:rPr>
              <w:t>$87,500.00</w:t>
            </w:r>
          </w:p>
        </w:tc>
        <w:tc>
          <w:tcPr>
            <w:tcW w:type="dxa" w:w="2880"/>
          </w:tcPr>
          <w:p>
            <w:pPr>
              <w:spacing w:line="276" w:lineRule="auto" w:before="20" w:after="20"/>
            </w:pPr>
            <w:r/>
            <w:r>
              <w:rPr>
                <w:rFonts w:ascii="Times New Roman" w:hAnsi="Times New Roman"/>
                <w:color w:val="000000"/>
                <w:sz w:val="18"/>
              </w:rPr>
              <w:t>Upon completion and acceptance of Implementation Services</w:t>
            </w:r>
          </w:p>
        </w:tc>
      </w:tr>
      <w:tr>
        <w:tc>
          <w:tcPr>
            <w:tcW w:type="dxa" w:w="2880"/>
          </w:tcPr>
          <w:p>
            <w:pPr>
              <w:spacing w:line="276" w:lineRule="auto" w:before="20" w:after="20"/>
            </w:pPr>
            <w:r/>
            <w:r>
              <w:rPr>
                <w:rFonts w:ascii="Times New Roman" w:hAnsi="Times New Roman"/>
                <w:b/>
                <w:color w:val="000000"/>
                <w:sz w:val="18"/>
              </w:rPr>
              <w:t>Total Implementation Fee</w:t>
            </w:r>
          </w:p>
        </w:tc>
        <w:tc>
          <w:tcPr>
            <w:tcW w:type="dxa" w:w="2880"/>
          </w:tcPr>
          <w:p>
            <w:pPr>
              <w:spacing w:line="276" w:lineRule="auto" w:before="20" w:after="20"/>
            </w:pPr>
            <w:r/>
            <w:r>
              <w:rPr>
                <w:rFonts w:ascii="Times New Roman" w:hAnsi="Times New Roman"/>
                <w:b/>
                <w:color w:val="000000"/>
                <w:sz w:val="18"/>
              </w:rPr>
              <w:t>$175,000.00</w:t>
            </w:r>
          </w:p>
        </w:tc>
        <w:tc>
          <w:tcPr>
            <w:tcW w:type="dxa" w:w="2880"/>
          </w:tcPr>
          <w:p>
            <w:pPr>
              <w:spacing w:line="276" w:lineRule="auto" w:before="20" w:after="20"/>
            </w:pPr>
            <w:r/>
          </w:p>
        </w:tc>
      </w:tr>
    </w:tbl>
    <w:p/>
    <w:p>
      <w:pPr>
        <w:keepNext/>
        <w:spacing w:line="276" w:lineRule="auto" w:before="200" w:after="80"/>
        <w:ind w:left="0"/>
      </w:pPr>
      <w:r>
        <w:rPr>
          <w:rFonts w:ascii="Times New Roman" w:hAnsi="Times New Roman"/>
          <w:b/>
          <w:color w:val="000000"/>
          <w:sz w:val="22"/>
        </w:rPr>
        <w:t>3. Total Financial Commitment</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Fee Category</w:t>
            </w:r>
          </w:p>
        </w:tc>
        <w:tc>
          <w:tcPr>
            <w:tcW w:type="dxa" w:w="4320"/>
          </w:tcPr>
          <w:p>
            <w:pPr>
              <w:spacing w:line="276" w:lineRule="auto" w:before="20" w:after="20"/>
            </w:pPr>
            <w:r>
              <w:rPr>
                <w:b/>
              </w:rPr>
            </w:r>
            <w:r>
              <w:rPr>
                <w:rFonts w:ascii="Times New Roman" w:hAnsi="Times New Roman"/>
                <w:b/>
                <w:color w:val="000000"/>
                <w:sz w:val="18"/>
              </w:rPr>
              <w:t>Amount</w:t>
            </w:r>
          </w:p>
        </w:tc>
      </w:tr>
      <w:tr>
        <w:tc>
          <w:tcPr>
            <w:tcW w:type="dxa" w:w="4320"/>
          </w:tcPr>
          <w:p>
            <w:pPr>
              <w:spacing w:line="276" w:lineRule="auto" w:before="20" w:after="20"/>
            </w:pPr>
            <w:r/>
            <w:r>
              <w:rPr>
                <w:rFonts w:ascii="Times New Roman" w:hAnsi="Times New Roman"/>
                <w:color w:val="000000"/>
                <w:sz w:val="18"/>
              </w:rPr>
              <w:t>Total Subscription Fees (5-Year Initial Term)</w:t>
            </w:r>
          </w:p>
        </w:tc>
        <w:tc>
          <w:tcPr>
            <w:tcW w:type="dxa" w:w="4320"/>
          </w:tcPr>
          <w:p>
            <w:pPr>
              <w:spacing w:line="276" w:lineRule="auto" w:before="20" w:after="20"/>
            </w:pPr>
            <w:r/>
            <w:r>
              <w:rPr>
                <w:rFonts w:ascii="Times New Roman" w:hAnsi="Times New Roman"/>
                <w:color w:val="000000"/>
                <w:sz w:val="18"/>
              </w:rPr>
              <w:t>$2,160,000.00</w:t>
            </w:r>
          </w:p>
        </w:tc>
      </w:tr>
      <w:tr>
        <w:tc>
          <w:tcPr>
            <w:tcW w:type="dxa" w:w="4320"/>
          </w:tcPr>
          <w:p>
            <w:pPr>
              <w:spacing w:line="276" w:lineRule="auto" w:before="20" w:after="20"/>
            </w:pPr>
            <w:r/>
            <w:r>
              <w:rPr>
                <w:rFonts w:ascii="Times New Roman" w:hAnsi="Times New Roman"/>
                <w:color w:val="000000"/>
                <w:sz w:val="18"/>
              </w:rPr>
              <w:t>Total Implementation Fee</w:t>
            </w:r>
          </w:p>
        </w:tc>
        <w:tc>
          <w:tcPr>
            <w:tcW w:type="dxa" w:w="4320"/>
          </w:tcPr>
          <w:p>
            <w:pPr>
              <w:spacing w:line="276" w:lineRule="auto" w:before="20" w:after="20"/>
            </w:pPr>
            <w:r/>
            <w:r>
              <w:rPr>
                <w:rFonts w:ascii="Times New Roman" w:hAnsi="Times New Roman"/>
                <w:color w:val="000000"/>
                <w:sz w:val="18"/>
              </w:rPr>
              <w:t>$175,000.00</w:t>
            </w:r>
          </w:p>
        </w:tc>
      </w:tr>
      <w:tr>
        <w:tc>
          <w:tcPr>
            <w:tcW w:type="dxa" w:w="4320"/>
          </w:tcPr>
          <w:p>
            <w:pPr>
              <w:spacing w:line="276" w:lineRule="auto" w:before="20" w:after="20"/>
            </w:pPr>
            <w:r/>
            <w:r>
              <w:rPr>
                <w:rFonts w:ascii="Times New Roman" w:hAnsi="Times New Roman"/>
                <w:b/>
                <w:color w:val="000000"/>
                <w:sz w:val="18"/>
              </w:rPr>
              <w:t>Total Estimated Fees Over Initial Term</w:t>
            </w:r>
          </w:p>
        </w:tc>
        <w:tc>
          <w:tcPr>
            <w:tcW w:type="dxa" w:w="4320"/>
          </w:tcPr>
          <w:p>
            <w:pPr>
              <w:spacing w:line="276" w:lineRule="auto" w:before="20" w:after="20"/>
            </w:pPr>
            <w:r/>
            <w:r>
              <w:rPr>
                <w:rFonts w:ascii="Times New Roman" w:hAnsi="Times New Roman"/>
                <w:b/>
                <w:color w:val="000000"/>
                <w:sz w:val="18"/>
              </w:rPr>
              <w:t>$2,335,000.00</w:t>
            </w:r>
          </w:p>
        </w:tc>
      </w:tr>
    </w:tbl>
    <w:p/>
    <w:p>
      <w:pPr>
        <w:spacing w:line="276" w:lineRule="auto" w:before="0" w:after="120"/>
        <w:jc w:val="both"/>
      </w:pPr>
      <w:r>
        <w:rPr>
          <w:rFonts w:ascii="Times New Roman" w:hAnsi="Times New Roman"/>
          <w:color w:val="000000"/>
          <w:sz w:val="22"/>
        </w:rPr>
        <w:t>The foregoing total is an estimate based on the initial annual Subscription Fee rate and does not account for potential fee increases pursuant to Section 5.5 of the Agreement or additional fees for supplemental services or additional Authorized Users.</w:t>
      </w:r>
    </w:p>
    <w:p>
      <w:pPr>
        <w:keepNext/>
        <w:spacing w:line="276" w:lineRule="auto" w:before="200" w:after="80"/>
        <w:ind w:left="0"/>
      </w:pPr>
      <w:r>
        <w:rPr>
          <w:rFonts w:ascii="Times New Roman" w:hAnsi="Times New Roman"/>
          <w:b/>
          <w:color w:val="000000"/>
          <w:sz w:val="22"/>
        </w:rPr>
        <w:t>4. Fee Escalation</w:t>
      </w:r>
    </w:p>
    <w:p>
      <w:pPr>
        <w:spacing w:line="276" w:lineRule="auto" w:before="0" w:after="120"/>
        <w:jc w:val="both"/>
      </w:pPr>
      <w:r>
        <w:rPr>
          <w:rFonts w:ascii="Times New Roman" w:hAnsi="Times New Roman"/>
          <w:color w:val="000000"/>
          <w:sz w:val="22"/>
        </w:rPr>
        <w:t>Subject to Section 5.5 of the Agreement, Provider may increase the annual Subscription Fee by up to five percent (5%) upon each anniversary of the Effective Date, provided that Provider gives Customer at least sixty (60) days' prior written notice of any such increase.</w:t>
      </w:r>
    </w:p>
    <w:p>
      <w:pPr>
        <w:keepNext/>
        <w:spacing w:line="276" w:lineRule="auto" w:before="200" w:after="80"/>
        <w:ind w:left="0"/>
      </w:pPr>
      <w:r>
        <w:rPr>
          <w:rFonts w:ascii="Times New Roman" w:hAnsi="Times New Roman"/>
          <w:b/>
          <w:color w:val="000000"/>
          <w:sz w:val="22"/>
        </w:rPr>
        <w:t>5. Authorized Users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Item</w:t>
            </w:r>
          </w:p>
        </w:tc>
        <w:tc>
          <w:tcPr>
            <w:tcW w:type="dxa" w:w="4320"/>
          </w:tcPr>
          <w:p>
            <w:pPr>
              <w:spacing w:line="276" w:lineRule="auto" w:before="20" w:after="20"/>
            </w:pPr>
            <w:r>
              <w:rPr>
                <w:b/>
              </w:rPr>
            </w:r>
            <w:r>
              <w:rPr>
                <w:rFonts w:ascii="Times New Roman" w:hAnsi="Times New Roman"/>
                <w:b/>
                <w:color w:val="000000"/>
                <w:sz w:val="18"/>
              </w:rPr>
              <w:t>Details</w:t>
            </w:r>
          </w:p>
        </w:tc>
      </w:tr>
      <w:tr>
        <w:tc>
          <w:tcPr>
            <w:tcW w:type="dxa" w:w="4320"/>
          </w:tcPr>
          <w:p>
            <w:pPr>
              <w:spacing w:line="276" w:lineRule="auto" w:before="20" w:after="20"/>
            </w:pPr>
            <w:r/>
            <w:r>
              <w:rPr>
                <w:rFonts w:ascii="Times New Roman" w:hAnsi="Times New Roman"/>
                <w:color w:val="000000"/>
                <w:sz w:val="18"/>
              </w:rPr>
              <w:t>Included Authorized Users</w:t>
            </w:r>
          </w:p>
        </w:tc>
        <w:tc>
          <w:tcPr>
            <w:tcW w:type="dxa" w:w="4320"/>
          </w:tcPr>
          <w:p>
            <w:pPr>
              <w:spacing w:line="276" w:lineRule="auto" w:before="20" w:after="20"/>
            </w:pPr>
            <w:r/>
            <w:r>
              <w:rPr>
                <w:rFonts w:ascii="Times New Roman" w:hAnsi="Times New Roman"/>
                <w:color w:val="000000"/>
                <w:sz w:val="18"/>
              </w:rPr>
              <w:t>Up to 250 named users</w:t>
            </w:r>
          </w:p>
        </w:tc>
      </w:tr>
      <w:tr>
        <w:tc>
          <w:tcPr>
            <w:tcW w:type="dxa" w:w="4320"/>
          </w:tcPr>
          <w:p>
            <w:pPr>
              <w:spacing w:line="276" w:lineRule="auto" w:before="20" w:after="20"/>
            </w:pPr>
            <w:r/>
            <w:r>
              <w:rPr>
                <w:rFonts w:ascii="Times New Roman" w:hAnsi="Times New Roman"/>
                <w:color w:val="000000"/>
                <w:sz w:val="18"/>
              </w:rPr>
              <w:t>Additional Authorized Users</w:t>
            </w:r>
          </w:p>
        </w:tc>
        <w:tc>
          <w:tcPr>
            <w:tcW w:type="dxa" w:w="4320"/>
          </w:tcPr>
          <w:p>
            <w:pPr>
              <w:spacing w:line="276" w:lineRule="auto" w:before="20" w:after="20"/>
            </w:pPr>
            <w:r/>
            <w:r>
              <w:rPr>
                <w:rFonts w:ascii="Times New Roman" w:hAnsi="Times New Roman"/>
                <w:color w:val="000000"/>
                <w:sz w:val="18"/>
              </w:rPr>
              <w:t>$150.00 per additional user per month</w:t>
            </w:r>
          </w:p>
        </w:tc>
      </w:tr>
    </w:tbl>
    <w:p/>
    <w:p>
      <w:pPr>
        <w:spacing w:line="276" w:lineRule="auto" w:before="0" w:after="120"/>
        <w:jc w:val="both"/>
      </w:pPr>
      <w:r>
        <w:rPr>
          <w:rFonts w:ascii="Times New Roman" w:hAnsi="Times New Roman"/>
          <w:color w:val="000000"/>
          <w:sz w:val="22"/>
        </w:rPr>
        <w:t>Customer may request additional Authorized Users beyond the 250 included users by written notice to Provider. Additional user fees shall be prorated for any partial month and shall be invoiced monthly in arrears.</w:t>
      </w:r>
    </w:p>
    <w:p>
      <w:r>
        <w:br w:type="page"/>
      </w:r>
    </w:p>
    <w:p>
      <w:pPr>
        <w:keepNext/>
        <w:spacing w:line="276" w:lineRule="auto" w:before="120" w:after="240"/>
        <w:jc w:val="center"/>
      </w:pPr>
      <w:r>
        <w:rPr>
          <w:rFonts w:ascii="Times New Roman" w:hAnsi="Times New Roman"/>
          <w:b/>
          <w:color w:val="000000"/>
          <w:sz w:val="28"/>
          <w:u w:val="single"/>
        </w:rPr>
        <w:t>EXHIBIT B</w:t>
      </w:r>
    </w:p>
    <w:p>
      <w:pPr>
        <w:keepNext/>
        <w:spacing w:line="276" w:lineRule="auto" w:before="360" w:after="120"/>
        <w:jc w:val="center"/>
      </w:pPr>
      <w:r>
        <w:rPr>
          <w:rFonts w:ascii="Times New Roman" w:hAnsi="Times New Roman"/>
          <w:b/>
          <w:color w:val="000000"/>
          <w:sz w:val="22"/>
          <w:u w:val="single"/>
        </w:rPr>
        <w:t>IMPLEMENTATION SERVICES AND STANDARD INTEGRATIONS</w:t>
      </w:r>
    </w:p>
    <w:p>
      <w:pPr>
        <w:spacing w:line="276" w:lineRule="auto" w:before="0" w:after="120"/>
        <w:jc w:val="both"/>
      </w:pPr>
      <w:r>
        <w:rPr>
          <w:rFonts w:ascii="Times New Roman" w:hAnsi="Times New Roman"/>
          <w:color w:val="000000"/>
          <w:sz w:val="22"/>
        </w:rPr>
        <w:t>This Exhibit B is attached to and incorporated into the Master Services Agreement (Agreement No. MSA-2022-03287) between DataCore Systems, Inc. ("Provider") and Pinnacle Staffing Solutions, Inc. ("Customer"), effective as of March 15, 2022.</w:t>
      </w:r>
    </w:p>
    <w:p>
      <w:pPr>
        <w:keepNext/>
        <w:spacing w:line="276" w:lineRule="auto" w:before="200" w:after="80"/>
        <w:ind w:left="0"/>
      </w:pPr>
      <w:r>
        <w:rPr>
          <w:rFonts w:ascii="Times New Roman" w:hAnsi="Times New Roman"/>
          <w:b/>
          <w:color w:val="000000"/>
          <w:sz w:val="22"/>
        </w:rPr>
        <w:t>1. Implementation Services Scope</w:t>
      </w:r>
    </w:p>
    <w:p>
      <w:pPr>
        <w:spacing w:line="276" w:lineRule="auto" w:before="0" w:after="120"/>
        <w:jc w:val="both"/>
      </w:pPr>
      <w:r>
        <w:rPr>
          <w:rFonts w:ascii="Times New Roman" w:hAnsi="Times New Roman"/>
          <w:color w:val="000000"/>
          <w:sz w:val="22"/>
        </w:rPr>
        <w:t>Provider shall perform the following Implementation Services in connection with Customer's deployment of the TalentBridge Platform:</w:t>
      </w:r>
    </w:p>
    <w:p>
      <w:pPr>
        <w:spacing w:line="276" w:lineRule="auto" w:before="0" w:after="120"/>
        <w:ind w:left="432"/>
        <w:jc w:val="both"/>
      </w:pPr>
      <w:r>
        <w:rPr>
          <w:rFonts w:ascii="Times New Roman" w:hAnsi="Times New Roman"/>
          <w:b/>
          <w:color w:val="000000"/>
          <w:sz w:val="22"/>
        </w:rPr>
        <w:t>(a)</w:t>
      </w:r>
      <w:r>
        <w:rPr>
          <w:rFonts w:ascii="Times New Roman" w:hAnsi="Times New Roman"/>
          <w:color w:val="000000"/>
          <w:sz w:val="22"/>
        </w:rPr>
        <w:t xml:space="preserve"> </w:t>
      </w:r>
      <w:r>
        <w:rPr>
          <w:rFonts w:ascii="Times New Roman" w:hAnsi="Times New Roman"/>
          <w:b/>
          <w:color w:val="000000"/>
          <w:sz w:val="22"/>
        </w:rPr>
        <w:t>Platform Configuration and Customization.</w:t>
      </w:r>
      <w:r>
        <w:rPr>
          <w:rFonts w:ascii="Times New Roman" w:hAnsi="Times New Roman"/>
          <w:color w:val="000000"/>
          <w:sz w:val="22"/>
        </w:rPr>
        <w:t xml:space="preserve"> Provider shall configure the TalentBridge Platform to accommodate Customer's organizational structure, workflows, approval hierarchies, and business rules as reasonably specified by Customer during the implementation discovery phase.</w:t>
      </w:r>
    </w:p>
    <w:p>
      <w:pPr>
        <w:spacing w:line="276" w:lineRule="auto" w:before="0" w:after="120"/>
        <w:ind w:left="432"/>
        <w:jc w:val="both"/>
      </w:pPr>
      <w:r>
        <w:rPr>
          <w:rFonts w:ascii="Times New Roman" w:hAnsi="Times New Roman"/>
          <w:b/>
          <w:color w:val="000000"/>
          <w:sz w:val="22"/>
        </w:rPr>
        <w:t>(b)</w:t>
      </w:r>
      <w:r>
        <w:rPr>
          <w:rFonts w:ascii="Times New Roman" w:hAnsi="Times New Roman"/>
          <w:color w:val="000000"/>
          <w:sz w:val="22"/>
        </w:rPr>
        <w:t xml:space="preserve"> </w:t>
      </w:r>
      <w:r>
        <w:rPr>
          <w:rFonts w:ascii="Times New Roman" w:hAnsi="Times New Roman"/>
          <w:b/>
          <w:color w:val="000000"/>
          <w:sz w:val="22"/>
        </w:rPr>
        <w:t>Data Migration.</w:t>
      </w:r>
      <w:r>
        <w:rPr>
          <w:rFonts w:ascii="Times New Roman" w:hAnsi="Times New Roman"/>
          <w:color w:val="000000"/>
          <w:sz w:val="22"/>
        </w:rPr>
        <w:t xml:space="preserve"> Provider shall migrate data from Customer's existing applicant tracking system to the TalentBridge Platform, including applicant records, employee profiles, job postings, and historical placement data, in accordance with a data migration plan to be mutually agreed upon by the parties during the implementation discovery phase.</w:t>
      </w:r>
    </w:p>
    <w:p>
      <w:pPr>
        <w:spacing w:line="276" w:lineRule="auto" w:before="0" w:after="120"/>
        <w:ind w:left="432"/>
        <w:jc w:val="both"/>
      </w:pPr>
      <w:r>
        <w:rPr>
          <w:rFonts w:ascii="Times New Roman" w:hAnsi="Times New Roman"/>
          <w:b/>
          <w:color w:val="000000"/>
          <w:sz w:val="22"/>
        </w:rPr>
        <w:t>(c)</w:t>
      </w:r>
      <w:r>
        <w:rPr>
          <w:rFonts w:ascii="Times New Roman" w:hAnsi="Times New Roman"/>
          <w:color w:val="000000"/>
          <w:sz w:val="22"/>
        </w:rPr>
        <w:t xml:space="preserve"> </w:t>
      </w:r>
      <w:r>
        <w:rPr>
          <w:rFonts w:ascii="Times New Roman" w:hAnsi="Times New Roman"/>
          <w:b/>
          <w:color w:val="000000"/>
          <w:sz w:val="22"/>
        </w:rPr>
        <w:t>Integration Configuration.</w:t>
      </w:r>
      <w:r>
        <w:rPr>
          <w:rFonts w:ascii="Times New Roman" w:hAnsi="Times New Roman"/>
          <w:color w:val="000000"/>
          <w:sz w:val="22"/>
        </w:rPr>
        <w:t xml:space="preserve"> Provider shall configure the standard integrations specified in Section 3 of this Exhibit B using Provider's standard integration connectors.</w:t>
      </w:r>
    </w:p>
    <w:p>
      <w:pPr>
        <w:spacing w:line="276" w:lineRule="auto" w:before="0" w:after="120"/>
        <w:ind w:left="432"/>
        <w:jc w:val="both"/>
      </w:pPr>
      <w:r>
        <w:rPr>
          <w:rFonts w:ascii="Times New Roman" w:hAnsi="Times New Roman"/>
          <w:b/>
          <w:color w:val="000000"/>
          <w:sz w:val="22"/>
        </w:rPr>
        <w:t>(d)</w:t>
      </w:r>
      <w:r>
        <w:rPr>
          <w:rFonts w:ascii="Times New Roman" w:hAnsi="Times New Roman"/>
          <w:color w:val="000000"/>
          <w:sz w:val="22"/>
        </w:rPr>
        <w:t xml:space="preserve"> </w:t>
      </w:r>
      <w:r>
        <w:rPr>
          <w:rFonts w:ascii="Times New Roman" w:hAnsi="Times New Roman"/>
          <w:b/>
          <w:color w:val="000000"/>
          <w:sz w:val="22"/>
        </w:rPr>
        <w:t>Administrator Training.</w:t>
      </w:r>
      <w:r>
        <w:rPr>
          <w:rFonts w:ascii="Times New Roman" w:hAnsi="Times New Roman"/>
          <w:color w:val="000000"/>
          <w:sz w:val="22"/>
        </w:rPr>
        <w:t xml:space="preserve"> Provider shall provide training for up to five (5) of Customer's designated platform administrators, consisting of up to sixteen (16) total hours of remote or on-site training, covering platform configuration, user management, reporting, and system administration.</w:t>
      </w:r>
    </w:p>
    <w:p>
      <w:pPr>
        <w:spacing w:line="276" w:lineRule="auto" w:before="0" w:after="120"/>
        <w:ind w:left="432"/>
        <w:jc w:val="both"/>
      </w:pPr>
      <w:r>
        <w:rPr>
          <w:rFonts w:ascii="Times New Roman" w:hAnsi="Times New Roman"/>
          <w:b/>
          <w:color w:val="000000"/>
          <w:sz w:val="22"/>
        </w:rPr>
        <w:t>(e)</w:t>
      </w:r>
      <w:r>
        <w:rPr>
          <w:rFonts w:ascii="Times New Roman" w:hAnsi="Times New Roman"/>
          <w:color w:val="000000"/>
          <w:sz w:val="22"/>
        </w:rPr>
        <w:t xml:space="preserve"> </w:t>
      </w:r>
      <w:r>
        <w:rPr>
          <w:rFonts w:ascii="Times New Roman" w:hAnsi="Times New Roman"/>
          <w:b/>
          <w:color w:val="000000"/>
          <w:sz w:val="22"/>
        </w:rPr>
        <w:t>End-User Training.</w:t>
      </w:r>
      <w:r>
        <w:rPr>
          <w:rFonts w:ascii="Times New Roman" w:hAnsi="Times New Roman"/>
          <w:color w:val="000000"/>
          <w:sz w:val="22"/>
        </w:rPr>
        <w:t xml:space="preserve"> Provider shall provide up to three (3) end-user training sessions, each approximately four (4) hours in duration, delivered remotely or on-site at Customer's election, covering core Platform functionality including applicant tracking, workflow management, reporting, and search functions.</w:t>
      </w:r>
    </w:p>
    <w:p>
      <w:pPr>
        <w:spacing w:line="276" w:lineRule="auto" w:before="0" w:after="120"/>
        <w:ind w:left="432"/>
        <w:jc w:val="both"/>
      </w:pPr>
      <w:r>
        <w:rPr>
          <w:rFonts w:ascii="Times New Roman" w:hAnsi="Times New Roman"/>
          <w:b/>
          <w:color w:val="000000"/>
          <w:sz w:val="22"/>
        </w:rPr>
        <w:t>(f)</w:t>
      </w:r>
      <w:r>
        <w:rPr>
          <w:rFonts w:ascii="Times New Roman" w:hAnsi="Times New Roman"/>
          <w:color w:val="000000"/>
          <w:sz w:val="22"/>
        </w:rPr>
        <w:t xml:space="preserve"> </w:t>
      </w:r>
      <w:r>
        <w:rPr>
          <w:rFonts w:ascii="Times New Roman" w:hAnsi="Times New Roman"/>
          <w:b/>
          <w:color w:val="000000"/>
          <w:sz w:val="22"/>
        </w:rPr>
        <w:t>User Acceptance Testing Support.</w:t>
      </w:r>
      <w:r>
        <w:rPr>
          <w:rFonts w:ascii="Times New Roman" w:hAnsi="Times New Roman"/>
          <w:color w:val="000000"/>
          <w:sz w:val="22"/>
        </w:rPr>
        <w:t xml:space="preserve"> Provider shall assist Customer with user acceptance testing during the Acceptance Period described in Section 3.3 of the Agreement, including providing technical support and guidance for the testing process.</w:t>
      </w:r>
    </w:p>
    <w:p>
      <w:pPr>
        <w:keepNext/>
        <w:spacing w:line="276" w:lineRule="auto" w:before="200" w:after="80"/>
        <w:ind w:left="0"/>
      </w:pPr>
      <w:r>
        <w:rPr>
          <w:rFonts w:ascii="Times New Roman" w:hAnsi="Times New Roman"/>
          <w:b/>
          <w:color w:val="000000"/>
          <w:sz w:val="22"/>
        </w:rPr>
        <w:t>2. Implementation Timeline</w:t>
      </w:r>
    </w:p>
    <w:p>
      <w:pPr>
        <w:spacing w:line="276" w:lineRule="auto" w:before="0" w:after="120"/>
        <w:jc w:val="both"/>
      </w:pPr>
      <w:r>
        <w:rPr>
          <w:rFonts w:ascii="Times New Roman" w:hAnsi="Times New Roman"/>
          <w:color w:val="000000"/>
          <w:sz w:val="22"/>
        </w:rPr>
        <w:t>The target completion date for the Implementation Services is ninety (90) days from the Effective Date, or June 15, 2022, subject to adjustment for Customer delays as described in Sections 3.2 and 3.4 of the Agreement. Provider and Customer shall establish a detailed implementation project plan, including milestones and deliverables, within fifteen (15) days following the Effective Date.</w:t>
      </w:r>
    </w:p>
    <w:p>
      <w:pPr>
        <w:keepNext/>
        <w:spacing w:line="276" w:lineRule="auto" w:before="200" w:after="80"/>
        <w:ind w:left="0"/>
      </w:pPr>
      <w:r>
        <w:rPr>
          <w:rFonts w:ascii="Times New Roman" w:hAnsi="Times New Roman"/>
          <w:b/>
          <w:color w:val="000000"/>
          <w:sz w:val="22"/>
        </w:rPr>
        <w:t>3. Standard Integrations</w:t>
      </w:r>
    </w:p>
    <w:p>
      <w:pPr>
        <w:spacing w:line="276" w:lineRule="auto" w:before="0" w:after="120"/>
        <w:jc w:val="both"/>
      </w:pPr>
      <w:r>
        <w:rPr>
          <w:rFonts w:ascii="Times New Roman" w:hAnsi="Times New Roman"/>
          <w:color w:val="000000"/>
          <w:sz w:val="22"/>
        </w:rPr>
        <w:t>As part of the Implementation Services, Provider shall configure the following standard integrations using Provider's standard integration connectors:</w:t>
      </w:r>
    </w:p>
    <w:p>
      <w:pPr>
        <w:spacing w:line="276" w:lineRule="auto" w:before="0" w:after="120"/>
        <w:ind w:left="432"/>
        <w:jc w:val="both"/>
      </w:pPr>
      <w:r>
        <w:rPr>
          <w:rFonts w:ascii="Times New Roman" w:hAnsi="Times New Roman"/>
          <w:b/>
          <w:color w:val="000000"/>
          <w:sz w:val="22"/>
        </w:rPr>
        <w:t>(a)</w:t>
      </w:r>
      <w:r>
        <w:rPr>
          <w:rFonts w:ascii="Times New Roman" w:hAnsi="Times New Roman"/>
          <w:color w:val="000000"/>
          <w:sz w:val="22"/>
        </w:rPr>
        <w:t xml:space="preserve"> </w:t>
      </w:r>
      <w:r>
        <w:rPr>
          <w:rFonts w:ascii="Times New Roman" w:hAnsi="Times New Roman"/>
          <w:b/>
          <w:color w:val="000000"/>
          <w:sz w:val="22"/>
        </w:rPr>
        <w:t>Payroll System Integration.</w:t>
      </w:r>
      <w:r>
        <w:rPr>
          <w:rFonts w:ascii="Times New Roman" w:hAnsi="Times New Roman"/>
          <w:color w:val="000000"/>
          <w:sz w:val="22"/>
        </w:rPr>
        <w:t xml:space="preserve"> Integration with Customer's payroll system, per Provider's then-current list of supported payroll platforms and standard integration connectors.</w:t>
      </w:r>
    </w:p>
    <w:p>
      <w:pPr>
        <w:spacing w:line="276" w:lineRule="auto" w:before="0" w:after="120"/>
        <w:ind w:left="432"/>
        <w:jc w:val="both"/>
      </w:pPr>
      <w:r>
        <w:rPr>
          <w:rFonts w:ascii="Times New Roman" w:hAnsi="Times New Roman"/>
          <w:b/>
          <w:color w:val="000000"/>
          <w:sz w:val="22"/>
        </w:rPr>
        <w:t>(b)</w:t>
      </w:r>
      <w:r>
        <w:rPr>
          <w:rFonts w:ascii="Times New Roman" w:hAnsi="Times New Roman"/>
          <w:color w:val="000000"/>
          <w:sz w:val="22"/>
        </w:rPr>
        <w:t xml:space="preserve"> </w:t>
      </w:r>
      <w:r>
        <w:rPr>
          <w:rFonts w:ascii="Times New Roman" w:hAnsi="Times New Roman"/>
          <w:b/>
          <w:color w:val="000000"/>
          <w:sz w:val="22"/>
        </w:rPr>
        <w:t>Background Check System Integration.</w:t>
      </w:r>
      <w:r>
        <w:rPr>
          <w:rFonts w:ascii="Times New Roman" w:hAnsi="Times New Roman"/>
          <w:color w:val="000000"/>
          <w:sz w:val="22"/>
        </w:rPr>
        <w:t xml:space="preserve"> Integration with Customer's background check service provider using Provider's standard background check integration connector.</w:t>
      </w:r>
    </w:p>
    <w:p>
      <w:pPr>
        <w:spacing w:line="276" w:lineRule="auto" w:before="0" w:after="120"/>
        <w:ind w:left="432"/>
        <w:jc w:val="both"/>
      </w:pPr>
      <w:r>
        <w:rPr>
          <w:rFonts w:ascii="Times New Roman" w:hAnsi="Times New Roman"/>
          <w:b/>
          <w:color w:val="000000"/>
          <w:sz w:val="22"/>
        </w:rPr>
        <w:t>(c)</w:t>
      </w:r>
      <w:r>
        <w:rPr>
          <w:rFonts w:ascii="Times New Roman" w:hAnsi="Times New Roman"/>
          <w:color w:val="000000"/>
          <w:sz w:val="22"/>
        </w:rPr>
        <w:t xml:space="preserve"> </w:t>
      </w:r>
      <w:r>
        <w:rPr>
          <w:rFonts w:ascii="Times New Roman" w:hAnsi="Times New Roman"/>
          <w:b/>
          <w:color w:val="000000"/>
          <w:sz w:val="22"/>
        </w:rPr>
        <w:t>Job Board Posting Integration.</w:t>
      </w:r>
      <w:r>
        <w:rPr>
          <w:rFonts w:ascii="Times New Roman" w:hAnsi="Times New Roman"/>
          <w:color w:val="000000"/>
          <w:sz w:val="22"/>
        </w:rPr>
        <w:t xml:space="preserve"> Integration with major job board platforms to enable posting of job openings from within the TalentBridge Platform.</w:t>
      </w:r>
    </w:p>
    <w:p>
      <w:pPr>
        <w:spacing w:line="276" w:lineRule="auto" w:before="0" w:after="120"/>
        <w:ind w:left="432"/>
        <w:jc w:val="both"/>
      </w:pPr>
      <w:r>
        <w:rPr>
          <w:rFonts w:ascii="Times New Roman" w:hAnsi="Times New Roman"/>
          <w:b/>
          <w:color w:val="000000"/>
          <w:sz w:val="22"/>
        </w:rPr>
        <w:t>(d)</w:t>
      </w:r>
      <w:r>
        <w:rPr>
          <w:rFonts w:ascii="Times New Roman" w:hAnsi="Times New Roman"/>
          <w:color w:val="000000"/>
          <w:sz w:val="22"/>
        </w:rPr>
        <w:t xml:space="preserve"> </w:t>
      </w:r>
      <w:r>
        <w:rPr>
          <w:rFonts w:ascii="Times New Roman" w:hAnsi="Times New Roman"/>
          <w:b/>
          <w:color w:val="000000"/>
          <w:sz w:val="22"/>
        </w:rPr>
        <w:t>Calendar and Scheduling Integration.</w:t>
      </w:r>
      <w:r>
        <w:rPr>
          <w:rFonts w:ascii="Times New Roman" w:hAnsi="Times New Roman"/>
          <w:color w:val="000000"/>
          <w:sz w:val="22"/>
        </w:rPr>
        <w:t xml:space="preserve"> Integration with Customer's calendar and scheduling applications to facilitate interview scheduling and coordination.</w:t>
      </w:r>
    </w:p>
    <w:p>
      <w:pPr>
        <w:spacing w:line="276" w:lineRule="auto" w:before="0" w:after="120"/>
        <w:jc w:val="both"/>
      </w:pPr>
      <w:r>
        <w:rPr>
          <w:rFonts w:ascii="Times New Roman" w:hAnsi="Times New Roman"/>
          <w:color w:val="000000"/>
          <w:sz w:val="22"/>
        </w:rPr>
        <w:t>The availability and functionality of all standard integrations are subject to Provider's then-current list of supported integrations and the continued availability and compatibility of the relevant third-party applications and their APIs.</w:t>
      </w:r>
    </w:p>
    <w:p>
      <w:pPr>
        <w:keepNext/>
        <w:spacing w:line="276" w:lineRule="auto" w:before="200" w:after="80"/>
        <w:ind w:left="0"/>
      </w:pPr>
      <w:r>
        <w:rPr>
          <w:rFonts w:ascii="Times New Roman" w:hAnsi="Times New Roman"/>
          <w:b/>
          <w:color w:val="000000"/>
          <w:sz w:val="22"/>
        </w:rPr>
        <w:t>4. Custom Integration Requests</w:t>
      </w:r>
    </w:p>
    <w:p>
      <w:pPr>
        <w:spacing w:line="276" w:lineRule="auto" w:before="0" w:after="120"/>
        <w:jc w:val="both"/>
      </w:pPr>
      <w:r>
        <w:rPr>
          <w:rFonts w:ascii="Times New Roman" w:hAnsi="Times New Roman"/>
          <w:color w:val="000000"/>
          <w:sz w:val="22"/>
        </w:rPr>
        <w:t>Any integration with a third-party application that is not included as a standard integration in Section 3 of this Exhibit B or on Provider's then-current list of supported integrations shall be subject to a separate statement of work and additional fees, in accordance with Section 4.2 of the Agreement.</w:t>
      </w:r>
    </w:p>
    <w:p>
      <w:r>
        <w:br w:type="page"/>
      </w:r>
    </w:p>
    <w:p>
      <w:pPr>
        <w:keepNext/>
        <w:spacing w:line="276" w:lineRule="auto" w:before="120" w:after="240"/>
        <w:jc w:val="center"/>
      </w:pPr>
      <w:r>
        <w:rPr>
          <w:rFonts w:ascii="Times New Roman" w:hAnsi="Times New Roman"/>
          <w:b/>
          <w:color w:val="000000"/>
          <w:sz w:val="28"/>
          <w:u w:val="single"/>
        </w:rPr>
        <w:t>EXHIBIT C</w:t>
      </w:r>
    </w:p>
    <w:p>
      <w:pPr>
        <w:keepNext/>
        <w:spacing w:line="276" w:lineRule="auto" w:before="360" w:after="120"/>
        <w:jc w:val="center"/>
      </w:pPr>
      <w:r>
        <w:rPr>
          <w:rFonts w:ascii="Times New Roman" w:hAnsi="Times New Roman"/>
          <w:b/>
          <w:color w:val="000000"/>
          <w:sz w:val="22"/>
          <w:u w:val="single"/>
        </w:rPr>
        <w:t>SERVICE LEVEL AGREEMENT (SLA)</w:t>
      </w:r>
    </w:p>
    <w:p>
      <w:pPr>
        <w:spacing w:line="276" w:lineRule="auto" w:before="0" w:after="120"/>
        <w:jc w:val="both"/>
      </w:pPr>
      <w:r>
        <w:rPr>
          <w:rFonts w:ascii="Times New Roman" w:hAnsi="Times New Roman"/>
          <w:color w:val="000000"/>
          <w:sz w:val="22"/>
        </w:rPr>
        <w:t>This Exhibit C is attached to and incorporated into the Master Services Agreement (Agreement No. MSA-2022-03287) between DataCore Systems, Inc. ("Provider") and Pinnacle Staffing Solutions, Inc. ("Customer"), effective as of March 15, 2022.</w:t>
      </w:r>
    </w:p>
    <w:p>
      <w:pPr>
        <w:spacing w:line="276" w:lineRule="auto" w:before="200" w:after="80"/>
        <w:ind w:left="0"/>
        <w:jc w:val="both"/>
      </w:pPr>
      <w:r>
        <w:rPr>
          <w:rFonts w:ascii="Times New Roman" w:hAnsi="Times New Roman"/>
          <w:b/>
          <w:color w:val="000000"/>
          <w:sz w:val="22"/>
        </w:rPr>
        <w:t xml:space="preserve">1. Availability.  </w:t>
      </w:r>
      <w:r>
        <w:rPr>
          <w:rFonts w:ascii="Times New Roman" w:hAnsi="Times New Roman"/>
          <w:b/>
          <w:color w:val="000000"/>
          <w:sz w:val="22"/>
        </w:rPr>
        <w:t>(a)</w:t>
      </w:r>
      <w:r>
        <w:rPr>
          <w:rFonts w:ascii="Times New Roman" w:hAnsi="Times New Roman"/>
          <w:color w:val="000000"/>
          <w:sz w:val="22"/>
        </w:rPr>
        <w:t xml:space="preserve"> </w:t>
      </w:r>
      <w:r>
        <w:rPr>
          <w:rFonts w:ascii="Times New Roman" w:hAnsi="Times New Roman"/>
          <w:b/>
          <w:color w:val="000000"/>
          <w:sz w:val="22"/>
        </w:rPr>
        <w:t>Availability Target.</w:t>
      </w:r>
      <w:r>
        <w:rPr>
          <w:rFonts w:ascii="Times New Roman" w:hAnsi="Times New Roman"/>
          <w:color w:val="000000"/>
          <w:sz w:val="22"/>
        </w:rPr>
        <w:t xml:space="preserve"> Provider shall use commercially reasonable efforts to maintain Platform availability of at least ninety-nine and one-half percent (99.5%) during each calendar month ("Availability Target"). Availability shall be calculated as follows:</w:t>
      </w:r>
    </w:p>
    <w:p>
      <w:pPr>
        <w:spacing w:line="276" w:lineRule="auto" w:before="0" w:after="120"/>
        <w:ind w:left="432"/>
        <w:jc w:val="both"/>
      </w:pPr>
      <w:r>
        <w:rPr>
          <w:rFonts w:ascii="Times New Roman" w:hAnsi="Times New Roman"/>
          <w:color w:val="000000"/>
          <w:sz w:val="22"/>
        </w:rPr>
        <w:t>Availability % = ((Total Minutes in Calendar Month − Scheduled Maintenance Minutes − Downtime Minutes) / (Total Minutes in Calendar Month − Scheduled Maintenance Minutes)) × 100</w:t>
      </w:r>
    </w:p>
    <w:p>
      <w:pPr>
        <w:spacing w:line="276" w:lineRule="auto" w:before="0" w:after="120"/>
        <w:jc w:val="both"/>
      </w:pPr>
      <w:r>
        <w:rPr>
          <w:rFonts w:ascii="Times New Roman" w:hAnsi="Times New Roman"/>
          <w:b/>
          <w:color w:val="000000"/>
          <w:sz w:val="22"/>
        </w:rPr>
        <w:t>(b)</w:t>
      </w:r>
      <w:r>
        <w:rPr>
          <w:rFonts w:ascii="Times New Roman" w:hAnsi="Times New Roman"/>
          <w:color w:val="000000"/>
          <w:sz w:val="22"/>
        </w:rPr>
        <w:t xml:space="preserve"> </w:t>
      </w:r>
      <w:r>
        <w:rPr>
          <w:rFonts w:ascii="Times New Roman" w:hAnsi="Times New Roman"/>
          <w:b/>
          <w:color w:val="000000"/>
          <w:sz w:val="22"/>
        </w:rPr>
        <w:t>Scheduled Maintenance.</w:t>
      </w:r>
      <w:r>
        <w:rPr>
          <w:rFonts w:ascii="Times New Roman" w:hAnsi="Times New Roman"/>
          <w:color w:val="000000"/>
          <w:sz w:val="22"/>
        </w:rPr>
        <w:t xml:space="preserve"> Provider shall perform scheduled maintenance during the following maintenance windows: Sundays from 2:00 AM to 6:00 AM Central Time. Provider shall use commercially reasonable efforts to provide Customer with at least seventy-two (72) hours' prior notice of any scheduled maintenance that is expected to result in Platform unavailability outside of the standard maintenance window. Scheduled maintenance periods shall be excluded from the Availability calculation.</w:t>
      </w:r>
    </w:p>
    <w:p>
      <w:pPr>
        <w:spacing w:line="276" w:lineRule="auto" w:before="0" w:after="120"/>
        <w:jc w:val="both"/>
      </w:pPr>
      <w:r>
        <w:rPr>
          <w:rFonts w:ascii="Times New Roman" w:hAnsi="Times New Roman"/>
          <w:b/>
          <w:color w:val="000000"/>
          <w:sz w:val="22"/>
        </w:rPr>
        <w:t>(c)</w:t>
      </w:r>
      <w:r>
        <w:rPr>
          <w:rFonts w:ascii="Times New Roman" w:hAnsi="Times New Roman"/>
          <w:color w:val="000000"/>
          <w:sz w:val="22"/>
        </w:rPr>
        <w:t xml:space="preserve"> </w:t>
      </w:r>
      <w:r>
        <w:rPr>
          <w:rFonts w:ascii="Times New Roman" w:hAnsi="Times New Roman"/>
          <w:b/>
          <w:color w:val="000000"/>
          <w:sz w:val="22"/>
        </w:rPr>
        <w:t>Unscheduled Downtime.</w:t>
      </w:r>
      <w:r>
        <w:rPr>
          <w:rFonts w:ascii="Times New Roman" w:hAnsi="Times New Roman"/>
          <w:color w:val="000000"/>
          <w:sz w:val="22"/>
        </w:rPr>
        <w:t xml:space="preserve"> Unscheduled downtime shall be measured from the time Provider confirms a Platform outage (whether reported by Customer or detected by Provider's monitoring systems) until the time the Platform is restored to operational status.</w:t>
      </w:r>
    </w:p>
    <w:p>
      <w:pPr>
        <w:spacing w:line="276" w:lineRule="auto" w:before="200" w:after="80"/>
        <w:ind w:left="0"/>
        <w:jc w:val="both"/>
      </w:pPr>
      <w:r>
        <w:rPr>
          <w:rFonts w:ascii="Times New Roman" w:hAnsi="Times New Roman"/>
          <w:b/>
          <w:color w:val="000000"/>
          <w:sz w:val="22"/>
        </w:rPr>
        <w:t xml:space="preserve">2. Performance.  </w:t>
      </w:r>
      <w:r>
        <w:rPr>
          <w:rFonts w:ascii="Times New Roman" w:hAnsi="Times New Roman"/>
          <w:color w:val="000000"/>
          <w:sz w:val="22"/>
        </w:rPr>
        <w:t>Provider shall use commercially reasonable efforts to ensure that the Platform operates with reasonable response times under normal usage conditions. The target response time for standard platform operations, including page loads and standard search queries, is sub-three-second response times under normal usage conditions. "Normal usage conditions" means usage consistent with the authorized number of users, the nature and volume of data typically associated with Customer's use case, and the Platform's intended functionality as described in the Documentation. Provider does not guarantee specific response times and shall not be liable for performance degradation caused by factors outside of Provider's reasonable control.</w:t>
      </w:r>
    </w:p>
    <w:p>
      <w:pPr>
        <w:keepNext/>
        <w:spacing w:line="276" w:lineRule="auto" w:before="200" w:after="80"/>
        <w:ind w:left="0"/>
      </w:pPr>
      <w:r>
        <w:rPr>
          <w:rFonts w:ascii="Times New Roman" w:hAnsi="Times New Roman"/>
          <w:b/>
          <w:color w:val="000000"/>
          <w:sz w:val="22"/>
        </w:rPr>
        <w:t>3. Service Credits</w:t>
      </w:r>
    </w:p>
    <w:p>
      <w:pPr>
        <w:spacing w:line="276" w:lineRule="auto" w:before="0" w:after="120"/>
        <w:jc w:val="both"/>
      </w:pPr>
      <w:r>
        <w:rPr>
          <w:rFonts w:ascii="Times New Roman" w:hAnsi="Times New Roman"/>
          <w:color w:val="000000"/>
          <w:sz w:val="22"/>
        </w:rPr>
        <w:t>If Provider fails to meet the Availability Target in any calendar month, Customer shall be entitled to receive a service credit in accordance with the following schedule:</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Monthly Availability</w:t>
            </w:r>
          </w:p>
        </w:tc>
        <w:tc>
          <w:tcPr>
            <w:tcW w:type="dxa" w:w="4320"/>
          </w:tcPr>
          <w:p>
            <w:pPr>
              <w:spacing w:line="276" w:lineRule="auto" w:before="20" w:after="20"/>
            </w:pPr>
            <w:r>
              <w:rPr>
                <w:b/>
              </w:rPr>
            </w:r>
            <w:r>
              <w:rPr>
                <w:rFonts w:ascii="Times New Roman" w:hAnsi="Times New Roman"/>
                <w:b/>
                <w:color w:val="000000"/>
                <w:sz w:val="18"/>
              </w:rPr>
              <w:t>Service Credit (as % of Monthly Subscription Fee)</w:t>
            </w:r>
          </w:p>
        </w:tc>
      </w:tr>
      <w:tr>
        <w:tc>
          <w:tcPr>
            <w:tcW w:type="dxa" w:w="4320"/>
          </w:tcPr>
          <w:p>
            <w:pPr>
              <w:spacing w:line="276" w:lineRule="auto" w:before="20" w:after="20"/>
            </w:pPr>
            <w:r/>
            <w:r>
              <w:rPr>
                <w:rFonts w:ascii="Times New Roman" w:hAnsi="Times New Roman"/>
                <w:color w:val="000000"/>
                <w:sz w:val="18"/>
              </w:rPr>
              <w:t>99.0% – 99.4%</w:t>
            </w:r>
          </w:p>
        </w:tc>
        <w:tc>
          <w:tcPr>
            <w:tcW w:type="dxa" w:w="4320"/>
          </w:tcPr>
          <w:p>
            <w:pPr>
              <w:spacing w:line="276" w:lineRule="auto" w:before="20" w:after="20"/>
            </w:pPr>
            <w:r/>
            <w:r>
              <w:rPr>
                <w:rFonts w:ascii="Times New Roman" w:hAnsi="Times New Roman"/>
                <w:color w:val="000000"/>
                <w:sz w:val="18"/>
              </w:rPr>
              <w:t>5%</w:t>
            </w:r>
          </w:p>
        </w:tc>
      </w:tr>
      <w:tr>
        <w:tc>
          <w:tcPr>
            <w:tcW w:type="dxa" w:w="4320"/>
          </w:tcPr>
          <w:p>
            <w:pPr>
              <w:spacing w:line="276" w:lineRule="auto" w:before="20" w:after="20"/>
            </w:pPr>
            <w:r/>
            <w:r>
              <w:rPr>
                <w:rFonts w:ascii="Times New Roman" w:hAnsi="Times New Roman"/>
                <w:color w:val="000000"/>
                <w:sz w:val="18"/>
              </w:rPr>
              <w:t>95.0% – 98.9%</w:t>
            </w:r>
          </w:p>
        </w:tc>
        <w:tc>
          <w:tcPr>
            <w:tcW w:type="dxa" w:w="4320"/>
          </w:tcPr>
          <w:p>
            <w:pPr>
              <w:spacing w:line="276" w:lineRule="auto" w:before="20" w:after="20"/>
            </w:pPr>
            <w:r/>
            <w:r>
              <w:rPr>
                <w:rFonts w:ascii="Times New Roman" w:hAnsi="Times New Roman"/>
                <w:color w:val="000000"/>
                <w:sz w:val="18"/>
              </w:rPr>
              <w:t>10%</w:t>
            </w:r>
          </w:p>
        </w:tc>
      </w:tr>
      <w:tr>
        <w:tc>
          <w:tcPr>
            <w:tcW w:type="dxa" w:w="4320"/>
          </w:tcPr>
          <w:p>
            <w:pPr>
              <w:spacing w:line="276" w:lineRule="auto" w:before="20" w:after="20"/>
            </w:pPr>
            <w:r/>
            <w:r>
              <w:rPr>
                <w:rFonts w:ascii="Times New Roman" w:hAnsi="Times New Roman"/>
                <w:color w:val="000000"/>
                <w:sz w:val="18"/>
              </w:rPr>
              <w:t>Below 95.0%</w:t>
            </w:r>
          </w:p>
        </w:tc>
        <w:tc>
          <w:tcPr>
            <w:tcW w:type="dxa" w:w="4320"/>
          </w:tcPr>
          <w:p>
            <w:pPr>
              <w:spacing w:line="276" w:lineRule="auto" w:before="20" w:after="20"/>
            </w:pPr>
            <w:r/>
            <w:r>
              <w:rPr>
                <w:rFonts w:ascii="Times New Roman" w:hAnsi="Times New Roman"/>
                <w:color w:val="000000"/>
                <w:sz w:val="18"/>
              </w:rPr>
              <w:t>20%</w:t>
            </w:r>
          </w:p>
        </w:tc>
      </w:tr>
    </w:tbl>
    <w:p/>
    <w:p>
      <w:pPr>
        <w:spacing w:line="276" w:lineRule="auto" w:before="0" w:after="120"/>
        <w:jc w:val="both"/>
      </w:pPr>
      <w:r>
        <w:rPr>
          <w:rFonts w:ascii="Times New Roman" w:hAnsi="Times New Roman"/>
          <w:color w:val="000000"/>
          <w:sz w:val="22"/>
        </w:rPr>
        <w:t>Service credits shall be applied as a credit against Customer's next monthly invoice and shall not be refunded in cash. To receive a service credit, Customer must submit a written request to Provider within thirty (30) days following the end of the calendar month in which the Availability Target was not met. Service credits constitute Customer's sole and exclusive remedy for Provider's failure to meet the Availability Target set forth in this Exhibit C.</w:t>
      </w:r>
    </w:p>
    <w:p>
      <w:pPr>
        <w:spacing w:line="276" w:lineRule="auto" w:before="200" w:after="80"/>
        <w:ind w:left="0"/>
        <w:jc w:val="both"/>
      </w:pPr>
      <w:r>
        <w:rPr>
          <w:rFonts w:ascii="Times New Roman" w:hAnsi="Times New Roman"/>
          <w:b/>
          <w:color w:val="000000"/>
          <w:sz w:val="22"/>
        </w:rPr>
        <w:t xml:space="preserve">4. Support.  </w:t>
      </w:r>
      <w:r>
        <w:rPr>
          <w:rFonts w:ascii="Times New Roman" w:hAnsi="Times New Roman"/>
          <w:b/>
          <w:color w:val="000000"/>
          <w:sz w:val="22"/>
        </w:rPr>
        <w:t>(a)</w:t>
      </w:r>
      <w:r>
        <w:rPr>
          <w:rFonts w:ascii="Times New Roman" w:hAnsi="Times New Roman"/>
          <w:color w:val="000000"/>
          <w:sz w:val="22"/>
        </w:rPr>
        <w:t xml:space="preserve"> </w:t>
      </w:r>
      <w:r>
        <w:rPr>
          <w:rFonts w:ascii="Times New Roman" w:hAnsi="Times New Roman"/>
          <w:b/>
          <w:color w:val="000000"/>
          <w:sz w:val="22"/>
        </w:rPr>
        <w:t>Support Hours.</w:t>
      </w:r>
      <w:r>
        <w:rPr>
          <w:rFonts w:ascii="Times New Roman" w:hAnsi="Times New Roman"/>
          <w:color w:val="000000"/>
          <w:sz w:val="22"/>
        </w:rPr>
        <w:t xml:space="preserve"> Provider shall provide technical support to Customer during the following hours: Monday through Friday, 8:00 AM to 6:00 PM Central Time, excluding Provider-observed holidays ("Business Hours"). A list of Provider-observed holidays shall be made available to Customer upon request.</w:t>
      </w:r>
    </w:p>
    <w:p>
      <w:pPr>
        <w:spacing w:line="276" w:lineRule="auto" w:before="0" w:after="120"/>
        <w:jc w:val="both"/>
      </w:pPr>
      <w:r>
        <w:rPr>
          <w:rFonts w:ascii="Times New Roman" w:hAnsi="Times New Roman"/>
          <w:b/>
          <w:color w:val="000000"/>
          <w:sz w:val="22"/>
        </w:rPr>
        <w:t>(b)</w:t>
      </w:r>
      <w:r>
        <w:rPr>
          <w:rFonts w:ascii="Times New Roman" w:hAnsi="Times New Roman"/>
          <w:color w:val="000000"/>
          <w:sz w:val="22"/>
        </w:rPr>
        <w:t xml:space="preserve"> </w:t>
      </w:r>
      <w:r>
        <w:rPr>
          <w:rFonts w:ascii="Times New Roman" w:hAnsi="Times New Roman"/>
          <w:b/>
          <w:color w:val="000000"/>
          <w:sz w:val="22"/>
        </w:rPr>
        <w:t>Response Times.</w:t>
      </w:r>
      <w:r>
        <w:rPr>
          <w:rFonts w:ascii="Times New Roman" w:hAnsi="Times New Roman"/>
          <w:color w:val="000000"/>
          <w:sz w:val="22"/>
        </w:rPr>
        <w:t xml:space="preserve"> Provider shall respond to Customer support requests in accordance with the following response time targets: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80"/>
        <w:gridCol w:w="2880"/>
        <w:gridCol w:w="2880"/>
      </w:tblGrid>
      <w:tr>
        <w:tc>
          <w:tcPr>
            <w:tcW w:type="dxa" w:w="2880"/>
          </w:tcPr>
          <w:p>
            <w:pPr>
              <w:spacing w:line="276" w:lineRule="auto" w:before="20" w:after="20"/>
            </w:pPr>
            <w:r>
              <w:rPr>
                <w:b/>
              </w:rPr>
            </w:r>
            <w:r>
              <w:rPr>
                <w:rFonts w:ascii="Times New Roman" w:hAnsi="Times New Roman"/>
                <w:b/>
                <w:color w:val="000000"/>
                <w:sz w:val="18"/>
              </w:rPr>
              <w:t>Priority Level</w:t>
            </w:r>
          </w:p>
        </w:tc>
        <w:tc>
          <w:tcPr>
            <w:tcW w:type="dxa" w:w="2880"/>
          </w:tcPr>
          <w:p>
            <w:pPr>
              <w:spacing w:line="276" w:lineRule="auto" w:before="20" w:after="20"/>
            </w:pPr>
            <w:r>
              <w:rPr>
                <w:b/>
              </w:rPr>
            </w:r>
            <w:r>
              <w:rPr>
                <w:rFonts w:ascii="Times New Roman" w:hAnsi="Times New Roman"/>
                <w:b/>
                <w:color w:val="000000"/>
                <w:sz w:val="18"/>
              </w:rPr>
              <w:t>Description</w:t>
            </w:r>
          </w:p>
        </w:tc>
        <w:tc>
          <w:tcPr>
            <w:tcW w:type="dxa" w:w="2880"/>
          </w:tcPr>
          <w:p>
            <w:pPr>
              <w:spacing w:line="276" w:lineRule="auto" w:before="20" w:after="20"/>
            </w:pPr>
            <w:r>
              <w:rPr>
                <w:b/>
              </w:rPr>
            </w:r>
            <w:r>
              <w:rPr>
                <w:rFonts w:ascii="Times New Roman" w:hAnsi="Times New Roman"/>
                <w:b/>
                <w:color w:val="000000"/>
                <w:sz w:val="18"/>
              </w:rPr>
              <w:t>Target Response Time</w:t>
            </w:r>
          </w:p>
        </w:tc>
      </w:tr>
      <w:tr>
        <w:tc>
          <w:tcPr>
            <w:tcW w:type="dxa" w:w="2880"/>
          </w:tcPr>
          <w:p>
            <w:pPr>
              <w:spacing w:line="276" w:lineRule="auto" w:before="20" w:after="20"/>
            </w:pPr>
            <w:r/>
            <w:r>
              <w:rPr>
                <w:rFonts w:ascii="Times New Roman" w:hAnsi="Times New Roman"/>
                <w:color w:val="000000"/>
                <w:sz w:val="18"/>
              </w:rPr>
              <w:t>Critical</w:t>
            </w:r>
          </w:p>
        </w:tc>
        <w:tc>
          <w:tcPr>
            <w:tcW w:type="dxa" w:w="2880"/>
          </w:tcPr>
          <w:p>
            <w:pPr>
              <w:spacing w:line="276" w:lineRule="auto" w:before="20" w:after="20"/>
            </w:pPr>
            <w:r/>
            <w:r>
              <w:rPr>
                <w:rFonts w:ascii="Times New Roman" w:hAnsi="Times New Roman"/>
                <w:color w:val="000000"/>
                <w:sz w:val="18"/>
              </w:rPr>
              <w:t>Complete system unavailability or data loss affecting all users</w:t>
            </w:r>
          </w:p>
        </w:tc>
        <w:tc>
          <w:tcPr>
            <w:tcW w:type="dxa" w:w="2880"/>
          </w:tcPr>
          <w:p>
            <w:pPr>
              <w:spacing w:line="276" w:lineRule="auto" w:before="20" w:after="20"/>
            </w:pPr>
            <w:r/>
            <w:r>
              <w:rPr>
                <w:rFonts w:ascii="Times New Roman" w:hAnsi="Times New Roman"/>
                <w:color w:val="000000"/>
                <w:sz w:val="18"/>
              </w:rPr>
              <w:t>1 hour</w:t>
            </w:r>
          </w:p>
        </w:tc>
      </w:tr>
      <w:tr>
        <w:tc>
          <w:tcPr>
            <w:tcW w:type="dxa" w:w="2880"/>
          </w:tcPr>
          <w:p>
            <w:pPr>
              <w:spacing w:line="276" w:lineRule="auto" w:before="20" w:after="20"/>
            </w:pPr>
            <w:r/>
            <w:r>
              <w:rPr>
                <w:rFonts w:ascii="Times New Roman" w:hAnsi="Times New Roman"/>
                <w:color w:val="000000"/>
                <w:sz w:val="18"/>
              </w:rPr>
              <w:t>High</w:t>
            </w:r>
          </w:p>
        </w:tc>
        <w:tc>
          <w:tcPr>
            <w:tcW w:type="dxa" w:w="2880"/>
          </w:tcPr>
          <w:p>
            <w:pPr>
              <w:spacing w:line="276" w:lineRule="auto" w:before="20" w:after="20"/>
            </w:pPr>
            <w:r/>
            <w:r>
              <w:rPr>
                <w:rFonts w:ascii="Times New Roman" w:hAnsi="Times New Roman"/>
                <w:color w:val="000000"/>
                <w:sz w:val="18"/>
              </w:rPr>
              <w:t>Major feature unavailable or significant performance degradation affecting multiple users</w:t>
            </w:r>
          </w:p>
        </w:tc>
        <w:tc>
          <w:tcPr>
            <w:tcW w:type="dxa" w:w="2880"/>
          </w:tcPr>
          <w:p>
            <w:pPr>
              <w:spacing w:line="276" w:lineRule="auto" w:before="20" w:after="20"/>
            </w:pPr>
            <w:r/>
            <w:r>
              <w:rPr>
                <w:rFonts w:ascii="Times New Roman" w:hAnsi="Times New Roman"/>
                <w:color w:val="000000"/>
                <w:sz w:val="18"/>
              </w:rPr>
              <w:t>4 hours</w:t>
            </w:r>
          </w:p>
        </w:tc>
      </w:tr>
      <w:tr>
        <w:tc>
          <w:tcPr>
            <w:tcW w:type="dxa" w:w="2880"/>
          </w:tcPr>
          <w:p>
            <w:pPr>
              <w:spacing w:line="276" w:lineRule="auto" w:before="20" w:after="20"/>
            </w:pPr>
            <w:r/>
            <w:r>
              <w:rPr>
                <w:rFonts w:ascii="Times New Roman" w:hAnsi="Times New Roman"/>
                <w:color w:val="000000"/>
                <w:sz w:val="18"/>
              </w:rPr>
              <w:t>Standard</w:t>
            </w:r>
          </w:p>
        </w:tc>
        <w:tc>
          <w:tcPr>
            <w:tcW w:type="dxa" w:w="2880"/>
          </w:tcPr>
          <w:p>
            <w:pPr>
              <w:spacing w:line="276" w:lineRule="auto" w:before="20" w:after="20"/>
            </w:pPr>
            <w:r/>
            <w:r>
              <w:rPr>
                <w:rFonts w:ascii="Times New Roman" w:hAnsi="Times New Roman"/>
                <w:color w:val="000000"/>
                <w:sz w:val="18"/>
              </w:rPr>
              <w:t>Non-critical issues, general questions, or feature requests</w:t>
            </w:r>
          </w:p>
        </w:tc>
        <w:tc>
          <w:tcPr>
            <w:tcW w:type="dxa" w:w="2880"/>
          </w:tcPr>
          <w:p>
            <w:pPr>
              <w:spacing w:line="276" w:lineRule="auto" w:before="20" w:after="20"/>
            </w:pPr>
            <w:r/>
            <w:r>
              <w:rPr>
                <w:rFonts w:ascii="Times New Roman" w:hAnsi="Times New Roman"/>
                <w:color w:val="000000"/>
                <w:sz w:val="18"/>
              </w:rPr>
              <w:t>1 business day</w:t>
            </w:r>
          </w:p>
        </w:tc>
      </w:tr>
    </w:tbl>
    <w:p/>
    <w:p>
      <w:pPr>
        <w:spacing w:line="276" w:lineRule="auto" w:before="0" w:after="120"/>
        <w:jc w:val="both"/>
      </w:pPr>
      <w:r>
        <w:rPr>
          <w:rFonts w:ascii="Times New Roman" w:hAnsi="Times New Roman"/>
          <w:b/>
          <w:color w:val="000000"/>
          <w:sz w:val="22"/>
        </w:rPr>
        <w:t>(c)</w:t>
      </w:r>
      <w:r>
        <w:rPr>
          <w:rFonts w:ascii="Times New Roman" w:hAnsi="Times New Roman"/>
          <w:color w:val="000000"/>
          <w:sz w:val="22"/>
        </w:rPr>
        <w:t xml:space="preserve"> </w:t>
      </w:r>
      <w:r>
        <w:rPr>
          <w:rFonts w:ascii="Times New Roman" w:hAnsi="Times New Roman"/>
          <w:b/>
          <w:color w:val="000000"/>
          <w:sz w:val="22"/>
        </w:rPr>
        <w:t>Support Channels.</w:t>
      </w:r>
      <w:r>
        <w:rPr>
          <w:rFonts w:ascii="Times New Roman" w:hAnsi="Times New Roman"/>
          <w:color w:val="000000"/>
          <w:sz w:val="22"/>
        </w:rPr>
        <w:t xml:space="preserve"> Customer may submit support requests via Provider's online support portal, email, or telephone during Business Hours. Critical issues may be reported by telephone at any time, and Provider shall maintain a 24/7 on-call escalation process for critical issues.</w:t>
      </w:r>
    </w:p>
    <w:p>
      <w:pPr>
        <w:spacing w:line="276" w:lineRule="auto" w:before="200" w:after="80"/>
        <w:ind w:left="0"/>
        <w:jc w:val="both"/>
      </w:pPr>
      <w:r>
        <w:rPr>
          <w:rFonts w:ascii="Times New Roman" w:hAnsi="Times New Roman"/>
          <w:b/>
          <w:color w:val="000000"/>
          <w:sz w:val="22"/>
        </w:rPr>
        <w:t xml:space="preserve">5. Exclusions.  </w:t>
      </w:r>
      <w:r>
        <w:rPr>
          <w:rFonts w:ascii="Times New Roman" w:hAnsi="Times New Roman"/>
          <w:color w:val="000000"/>
          <w:sz w:val="22"/>
        </w:rPr>
        <w:t>The Availability Target, performance targets, and service credit obligations set forth in this Exhibit C shall not apply to the extent that any failure to meet such targets results from or is attributable to: (a) features, functionality, or services identified by Provider as "beta," "preview," "early access," or "experimental"; (b) issues caused by Customer's equipment, software, network infrastructure, or internet connectivity; (c) issues caused by third-party services, applications, or APIs; (d) Force Majeure Events as defined in Section 14.6 of the Agreement; (e) Customer's failure to implement recommendations or updates provided by Provider; or (f) Customer's use of the Platform in a manner inconsistent with the Documentation or the terms of this Agreement.</w:t>
      </w:r>
    </w:p>
    <w:p>
      <w:r>
        <w:br w:type="page"/>
      </w:r>
    </w:p>
    <w:p>
      <w:pPr>
        <w:spacing w:line="276" w:lineRule="auto" w:before="0" w:after="120"/>
        <w:jc w:val="center"/>
      </w:pPr>
      <w:r>
        <w:rPr>
          <w:rFonts w:ascii="Times New Roman" w:hAnsi="Times New Roman"/>
          <w:i/>
          <w:color w:val="000000"/>
          <w:sz w:val="22"/>
        </w:rPr>
        <w:t>[End of Master Services Agreement, including Exhibits A, B, and C]</w:t>
      </w:r>
    </w:p>
    <w:p>
      <w:pPr>
        <w:spacing w:line="276" w:lineRule="auto" w:before="0" w:after="120"/>
        <w:jc w:val="center"/>
      </w:pPr>
      <w:r>
        <w:rPr>
          <w:rFonts w:ascii="Times New Roman" w:hAnsi="Times New Roman"/>
          <w:i/>
          <w:color w:val="000000"/>
          <w:sz w:val="22"/>
        </w:rPr>
        <w:t>Agreement No. MSA-2022-03287</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Master Services Agreement — Page {PAGE}</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MSA-2022-03287 — DataCore Systems / Pinnacle Staffing Solutions — 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