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before="20" w:after="20"/>
        <w:jc w:val="center"/>
      </w:pPr>
      <w:r>
        <w:rPr>
          <w:rFonts w:ascii="Times New Roman" w:hAnsi="Times New Roman"/>
          <w:color w:val="000000"/>
          <w:sz w:val="22"/>
        </w:rPr>
        <w:t>IN THE UNITED STATES DISTRICT COURT FOR THE NORTHERN DISTRICT OF GEORGIA ATLANTA DIVISION</w:t>
      </w:r>
    </w:p>
    <w:p>
      <w:pPr>
        <w:spacing w:line="276" w:lineRule="auto" w:before="0" w:after="120"/>
        <w:jc w:val="both"/>
      </w:pPr>
      <w:r>
        <w:rPr>
          <w:rFonts w:ascii="Times New Roman" w:hAnsi="Times New Roman"/>
          <w:color w:val="000000"/>
          <w:sz w:val="22"/>
        </w:rPr>
        <w:t>&amp;nbsp;</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80"/>
        <w:gridCol w:w="2880"/>
        <w:gridCol w:w="2880"/>
      </w:tblGrid>
      <w:tr>
        <w:tc>
          <w:tcPr>
            <w:tcW w:type="dxa" w:w="2880"/>
          </w:tcPr>
          <w:p>
            <w:pPr>
              <w:spacing w:line="276" w:lineRule="auto" w:before="20" w:after="20"/>
            </w:pPr>
            <w:r>
              <w:rPr>
                <w:b/>
              </w:rPr>
            </w:r>
            <w:r>
              <w:rPr>
                <w:rFonts w:ascii="Times New Roman" w:hAnsi="Times New Roman"/>
                <w:b/>
                <w:color w:val="000000"/>
                <w:sz w:val="18"/>
              </w:rPr>
              <w:t>PINNACLE STAFFING SOLUTIONS, INC.,</w:t>
            </w:r>
          </w:p>
        </w:tc>
        <w:tc>
          <w:tcPr>
            <w:tcW w:type="dxa" w:w="2880"/>
          </w:tcPr>
          <w:p>
            <w:pPr>
              <w:spacing w:line="276" w:lineRule="auto" w:before="20" w:after="20"/>
            </w:pPr>
            <w:r>
              <w:rPr>
                <w:b/>
              </w:rPr>
            </w:r>
          </w:p>
        </w:tc>
        <w:tc>
          <w:tcPr>
            <w:tcW w:type="dxa" w:w="2880"/>
          </w:tcPr>
          <w:p>
            <w:pPr>
              <w:spacing w:line="276" w:lineRule="auto" w:before="20" w:after="20"/>
            </w:pPr>
            <w:r>
              <w:rPr>
                <w:b/>
              </w:rPr>
            </w:r>
          </w:p>
        </w:tc>
      </w:tr>
      <w:tr>
        <w:tc>
          <w:tcPr>
            <w:tcW w:type="dxa" w:w="2880"/>
          </w:tcPr>
          <w:p>
            <w:pPr>
              <w:spacing w:line="276" w:lineRule="auto" w:before="20" w:after="20"/>
            </w:pPr>
            <w:r/>
            <w:r>
              <w:rPr>
                <w:rFonts w:ascii="Times New Roman" w:hAnsi="Times New Roman"/>
                <w:color w:val="000000"/>
                <w:sz w:val="18"/>
              </w:rPr>
              <w:t>a Georgia corporation,</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3200 Peachtree Road NE, Suite 1400,</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Atlanta, Georgia 30305,</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&lt;!-- indent:2 --&gt;Plaintiff,&lt;!-- /indent --&gt;</w:t>
            </w:r>
          </w:p>
        </w:tc>
        <w:tc>
          <w:tcPr>
            <w:tcW w:type="dxa" w:w="2880"/>
          </w:tcPr>
          <w:p>
            <w:pPr>
              <w:spacing w:line="276" w:lineRule="auto" w:before="20" w:after="20"/>
            </w:pPr>
            <w:r/>
          </w:p>
        </w:tc>
        <w:tc>
          <w:tcPr>
            <w:tcW w:type="dxa" w:w="2880"/>
          </w:tcPr>
          <w:p>
            <w:pPr>
              <w:spacing w:line="276" w:lineRule="auto" w:before="20" w:after="20"/>
            </w:pPr>
            <w:r/>
            <w:r>
              <w:rPr>
                <w:rFonts w:ascii="Times New Roman" w:hAnsi="Times New Roman"/>
                <w:b/>
                <w:color w:val="000000"/>
                <w:sz w:val="18"/>
              </w:rPr>
              <w:t>Civil Action No. 1:24-cv-01287-RWS</w:t>
            </w:r>
          </w:p>
        </w:tc>
      </w:tr>
      <w:tr>
        <w:tc>
          <w:tcPr>
            <w:tcW w:type="dxa" w:w="2880"/>
          </w:tcPr>
          <w:p>
            <w:pPr>
              <w:spacing w:line="276" w:lineRule="auto" w:before="20" w:after="20"/>
            </w:pPr>
            <w:r/>
            <w:r>
              <w:rPr>
                <w:rFonts w:ascii="Times New Roman" w:hAnsi="Times New Roman"/>
                <w:color w:val="000000"/>
                <w:sz w:val="18"/>
              </w:rPr>
              <w:t>v.</w:t>
            </w:r>
          </w:p>
        </w:tc>
        <w:tc>
          <w:tcPr>
            <w:tcW w:type="dxa" w:w="2880"/>
          </w:tcPr>
          <w:p>
            <w:pPr>
              <w:spacing w:line="276" w:lineRule="auto" w:before="20" w:after="20"/>
            </w:pPr>
            <w:r/>
          </w:p>
        </w:tc>
        <w:tc>
          <w:tcPr>
            <w:tcW w:type="dxa" w:w="2880"/>
          </w:tcPr>
          <w:p>
            <w:pPr>
              <w:spacing w:line="276" w:lineRule="auto" w:before="20" w:after="20"/>
            </w:pPr>
            <w:r/>
            <w:r>
              <w:rPr>
                <w:rFonts w:ascii="Times New Roman" w:hAnsi="Times New Roman"/>
                <w:b/>
                <w:color w:val="000000"/>
                <w:sz w:val="18"/>
              </w:rPr>
              <w:t>Hon. Robert W. Stafford</w:t>
            </w:r>
          </w:p>
        </w:tc>
      </w:tr>
      <w:tr>
        <w:tc>
          <w:tcPr>
            <w:tcW w:type="dxa" w:w="2880"/>
          </w:tcPr>
          <w:p>
            <w:pPr>
              <w:spacing w:line="276" w:lineRule="auto" w:before="20" w:after="20"/>
            </w:pPr>
            <w:r/>
            <w:r>
              <w:rPr>
                <w:rFonts w:ascii="Times New Roman" w:hAnsi="Times New Roman"/>
                <w:b/>
                <w:color w:val="000000"/>
                <w:sz w:val="18"/>
              </w:rPr>
              <w:t>DATACORE SYSTEMS, INC.,</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a Delaware corporation,</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750 Innovation Drive, Suite 300,</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Austin, Texas 78759,</w:t>
            </w:r>
          </w:p>
        </w:tc>
        <w:tc>
          <w:tcPr>
            <w:tcW w:type="dxa" w:w="2880"/>
          </w:tcPr>
          <w:p>
            <w:pPr>
              <w:spacing w:line="276" w:lineRule="auto" w:before="20" w:after="20"/>
            </w:pPr>
            <w:r/>
          </w:p>
        </w:tc>
        <w:tc>
          <w:tcPr>
            <w:tcW w:type="dxa" w:w="2880"/>
          </w:tcPr>
          <w:p>
            <w:pPr>
              <w:spacing w:line="276" w:lineRule="auto" w:before="20" w:after="20"/>
            </w:pPr>
            <w:r/>
          </w:p>
        </w:tc>
      </w:tr>
      <w:tr>
        <w:tc>
          <w:tcPr>
            <w:tcW w:type="dxa" w:w="2880"/>
          </w:tcPr>
          <w:p>
            <w:pPr>
              <w:spacing w:line="276" w:lineRule="auto" w:before="20" w:after="20"/>
            </w:pPr>
            <w:r/>
            <w:r>
              <w:rPr>
                <w:rFonts w:ascii="Times New Roman" w:hAnsi="Times New Roman"/>
                <w:color w:val="000000"/>
                <w:sz w:val="18"/>
              </w:rPr>
              <w:t>&lt;!-- indent:2 --&gt;Defendant.&lt;!-- /indent --&gt;</w:t>
            </w:r>
          </w:p>
        </w:tc>
        <w:tc>
          <w:tcPr>
            <w:tcW w:type="dxa" w:w="2880"/>
          </w:tcPr>
          <w:p>
            <w:pPr>
              <w:spacing w:line="276" w:lineRule="auto" w:before="20" w:after="20"/>
            </w:pPr>
            <w:r/>
          </w:p>
        </w:tc>
        <w:tc>
          <w:tcPr>
            <w:tcW w:type="dxa" w:w="2880"/>
          </w:tcPr>
          <w:p>
            <w:pPr>
              <w:spacing w:line="276" w:lineRule="auto" w:before="20" w:after="20"/>
            </w:pPr>
            <w:r/>
          </w:p>
        </w:tc>
      </w:tr>
    </w:tbl>
    <w:p/>
    <w:p>
      <w:pPr>
        <w:spacing w:line="276" w:lineRule="auto" w:before="0" w:after="120"/>
        <w:jc w:val="both"/>
      </w:pPr>
      <w:r>
        <w:rPr>
          <w:rFonts w:ascii="Times New Roman" w:hAnsi="Times New Roman"/>
          <w:color w:val="000000"/>
          <w:sz w:val="22"/>
        </w:rPr>
        <w:t>&amp;nbsp;</w:t>
      </w:r>
    </w:p>
    <w:p>
      <w:pPr>
        <w:spacing w:line="276" w:lineRule="auto" w:before="0" w:after="120"/>
        <w:jc w:val="center"/>
      </w:pPr>
      <w:r>
        <w:rPr>
          <w:rFonts w:ascii="Times New Roman" w:hAnsi="Times New Roman"/>
          <w:b/>
          <w:color w:val="000000"/>
          <w:sz w:val="22"/>
        </w:rPr>
        <w:t>COMPLAINT AND DEMAND FOR JURY TRIAL</w:t>
      </w:r>
    </w:p>
    <w:p>
      <w:pPr>
        <w:spacing w:line="276" w:lineRule="auto" w:before="0" w:after="120"/>
        <w:jc w:val="both"/>
      </w:pPr>
      <w:r>
        <w:rPr>
          <w:rFonts w:ascii="Times New Roman" w:hAnsi="Times New Roman"/>
          <w:color w:val="000000"/>
          <w:sz w:val="22"/>
        </w:rPr>
        <w:t>&amp;nbsp;</w:t>
      </w:r>
    </w:p>
    <w:p>
      <w:pPr>
        <w:spacing w:line="276" w:lineRule="auto" w:before="0" w:after="120"/>
        <w:jc w:val="both"/>
      </w:pPr>
      <w:r>
        <w:rPr>
          <w:rFonts w:ascii="Times New Roman" w:hAnsi="Times New Roman"/>
          <w:color w:val="000000"/>
          <w:sz w:val="22"/>
        </w:rPr>
        <w:t>Plaintiff Pinnacle Staffing Solutions, Inc. ("Pinnacle" or "Plaintiff"), by and through its undersigned counsel, Ashford, Clement &amp; Yates LLP, files this Complaint and Demand for Jury Trial against Defendant DataCore Systems, Inc. ("DataCore" or "Defendant"), and respectfully alleges as follows:</w:t>
      </w:r>
    </w:p>
    <w:p>
      <w:pPr>
        <w:keepNext/>
        <w:spacing w:line="276" w:lineRule="auto" w:before="360" w:after="120"/>
        <w:jc w:val="left"/>
      </w:pPr>
      <w:r>
        <w:rPr>
          <w:rFonts w:ascii="Times New Roman" w:hAnsi="Times New Roman"/>
          <w:b/>
          <w:color w:val="000000"/>
          <w:sz w:val="22"/>
          <w:u w:val="single"/>
        </w:rPr>
        <w:t>I. INTRODUCTION</w:t>
      </w:r>
    </w:p>
    <w:p>
      <w:pPr>
        <w:spacing w:line="276" w:lineRule="auto" w:before="20" w:after="20"/>
        <w:ind w:left="432" w:hanging="432"/>
        <w:jc w:val="both"/>
      </w:pPr>
      <w:r>
        <w:rPr>
          <w:rFonts w:ascii="Times New Roman" w:hAnsi="Times New Roman"/>
          <w:color w:val="000000"/>
          <w:sz w:val="22"/>
        </w:rPr>
        <w:t>1.  This action arises from DataCore's material misrepresentations and breach of contract in connection with the sale and implementation of its TalentBridge applicant tracking and workforce management platform. Pinnacle, a mid-market temporary and permanent staffing company headquartered in Atlanta, Georgia, was induced to enter into a five-year Master Services Agreement (the "MSA") with DataCore valued at $2,335,000, based on specific, material misrepresentations about the TalentBridge platform's capabilities that DataCore knew, or should have known, were false at the time they were made.</w:t>
      </w:r>
    </w:p>
    <w:p>
      <w:pPr>
        <w:spacing w:line="276" w:lineRule="auto" w:before="20" w:after="20"/>
        <w:ind w:left="432" w:hanging="432"/>
        <w:jc w:val="both"/>
      </w:pPr>
      <w:r>
        <w:rPr>
          <w:rFonts w:ascii="Times New Roman" w:hAnsi="Times New Roman"/>
          <w:color w:val="000000"/>
          <w:sz w:val="22"/>
        </w:rPr>
        <w:t>2.  DataCore's sales team — led by its Vice President of Sales for the Southeast Region, Victor Sousa, who was based at and operated out of DataCore's regional office in Atlanta, Georgia — made specific, material misrepresentations to Pinnacle regarding two critical platform capabilities: (a) that the TalentBridge platform "fully integrates" with major payroll platforms, including ADP, "out of the box with zero custom configuration," and (b) that TalentBridge could process up to 15,000 concurrent temporary worker records with sub-second latency. These representations were communicated to Pinnacle in writing, via email, during live product demonstrations, and in a standalone capabilities document — all directed from DataCore's Georgia operations to Pinnacle in Georgia.</w:t>
      </w:r>
    </w:p>
    <w:p>
      <w:pPr>
        <w:spacing w:line="276" w:lineRule="auto" w:before="20" w:after="20"/>
        <w:ind w:left="432" w:hanging="432"/>
        <w:jc w:val="both"/>
      </w:pPr>
      <w:r>
        <w:rPr>
          <w:rFonts w:ascii="Times New Roman" w:hAnsi="Times New Roman"/>
          <w:color w:val="000000"/>
          <w:sz w:val="22"/>
        </w:rPr>
        <w:t>3.  In reliance on these representations, Pinnacle executed the MSA on March 15, 2022, and paid DataCore a total of $931,000 in implementation fees and license payments. After implementation, Pinnacle discovered that neither of DataCore's core representations was true. The ADP integration did not function "out of the box" and instead required approximately $85,000 in additional custom API development that DataCore had never disclosed. The platform could not handle more than approximately 4,000 concurrent temporary worker records — a shortfall of approximately 73% from the represented capability — and even after DataCore delivered a remedial software patch in April 2023, the system could only handle approximately 7,500 concurrent records, still only half of what DataCore had represented.</w:t>
      </w:r>
    </w:p>
    <w:p>
      <w:pPr>
        <w:spacing w:line="276" w:lineRule="auto" w:before="20" w:after="20"/>
        <w:ind w:left="432" w:hanging="432"/>
        <w:jc w:val="both"/>
      </w:pPr>
      <w:r>
        <w:rPr>
          <w:rFonts w:ascii="Times New Roman" w:hAnsi="Times New Roman"/>
          <w:color w:val="000000"/>
          <w:sz w:val="22"/>
        </w:rPr>
        <w:t>4.  DataCore's own Chief Technology Officer, Anil Subramanian, acknowledged in a January 12, 2023 email to Pinnacle's CTO that TalentBridge had "performance limitations at scale that do not meet the capabilities described during the sales process." This admission by a senior DataCore executive confirms that the pre-contractual representations were false and that DataCore was aware of the discrepancy between what was promised and what was delivered.</w:t>
      </w:r>
    </w:p>
    <w:p>
      <w:pPr>
        <w:spacing w:line="276" w:lineRule="auto" w:before="20" w:after="20"/>
        <w:ind w:left="432" w:hanging="432"/>
        <w:jc w:val="both"/>
      </w:pPr>
      <w:r>
        <w:rPr>
          <w:rFonts w:ascii="Times New Roman" w:hAnsi="Times New Roman"/>
          <w:color w:val="000000"/>
          <w:sz w:val="22"/>
        </w:rPr>
        <w:t xml:space="preserve">5.  Pinnacle brings this action asserting four claims for relief: (i) breach of contract; (ii) fraudulent inducement; (iii) negligent misrepresentation; and (iv) violation of the Georgia Uniform Deceptive Trade Practices Act, O.C.G.A. § 10-1-370 </w:t>
      </w:r>
      <w:r>
        <w:rPr>
          <w:rFonts w:ascii="Times New Roman" w:hAnsi="Times New Roman"/>
          <w:i/>
          <w:color w:val="000000"/>
          <w:sz w:val="22"/>
        </w:rPr>
        <w:t>et seq</w:t>
      </w:r>
      <w:r>
        <w:rPr>
          <w:rFonts w:ascii="Times New Roman" w:hAnsi="Times New Roman"/>
          <w:color w:val="000000"/>
          <w:sz w:val="22"/>
        </w:rPr>
        <w:t>.</w:t>
      </w:r>
    </w:p>
    <w:p>
      <w:pPr>
        <w:spacing w:line="276" w:lineRule="auto" w:before="20" w:after="20"/>
        <w:ind w:left="432" w:hanging="432"/>
        <w:jc w:val="both"/>
      </w:pPr>
      <w:r>
        <w:rPr>
          <w:rFonts w:ascii="Times New Roman" w:hAnsi="Times New Roman"/>
          <w:color w:val="000000"/>
          <w:sz w:val="22"/>
        </w:rPr>
        <w:t>6.  Pinnacle seeks actual damages, reliance damages, consequential damages, punitive damages, attorneys' fees, costs of litigation, and such other and further relief as the Court deems just and proper.</w:t>
      </w:r>
    </w:p>
    <w:p>
      <w:pPr>
        <w:keepNext/>
        <w:spacing w:line="276" w:lineRule="auto" w:before="360" w:after="120"/>
        <w:jc w:val="left"/>
      </w:pPr>
      <w:r>
        <w:rPr>
          <w:rFonts w:ascii="Times New Roman" w:hAnsi="Times New Roman"/>
          <w:b/>
          <w:color w:val="000000"/>
          <w:sz w:val="22"/>
          <w:u w:val="single"/>
        </w:rPr>
        <w:t>II. PARTIES</w:t>
      </w:r>
    </w:p>
    <w:p>
      <w:pPr>
        <w:keepNext/>
        <w:spacing w:line="276" w:lineRule="auto" w:before="200" w:after="80"/>
        <w:ind w:left="0"/>
      </w:pPr>
      <w:r>
        <w:rPr>
          <w:rFonts w:ascii="Times New Roman" w:hAnsi="Times New Roman"/>
          <w:b/>
          <w:color w:val="000000"/>
          <w:sz w:val="22"/>
        </w:rPr>
        <w:t>A. Plaintiff Pinnacle Staffing Solutions, Inc.</w:t>
      </w:r>
    </w:p>
    <w:p>
      <w:pPr>
        <w:spacing w:line="276" w:lineRule="auto" w:before="20" w:after="20"/>
        <w:ind w:left="432" w:hanging="432"/>
        <w:jc w:val="both"/>
      </w:pPr>
      <w:r>
        <w:rPr>
          <w:rFonts w:ascii="Times New Roman" w:hAnsi="Times New Roman"/>
          <w:color w:val="000000"/>
          <w:sz w:val="22"/>
        </w:rPr>
        <w:t>7.  Plaintiff Pinnacle Staffing Solutions, Inc. is a corporation duly organized and existing under the laws of the State of Georgia. Pinnacle was incorporated in Georgia in 2011 and has continuously maintained its corporate existence under Georgia law since that date.</w:t>
      </w:r>
    </w:p>
    <w:p>
      <w:pPr>
        <w:spacing w:line="276" w:lineRule="auto" w:before="20" w:after="20"/>
        <w:ind w:left="432" w:hanging="432"/>
        <w:jc w:val="both"/>
      </w:pPr>
      <w:r>
        <w:rPr>
          <w:rFonts w:ascii="Times New Roman" w:hAnsi="Times New Roman"/>
          <w:color w:val="000000"/>
          <w:sz w:val="22"/>
        </w:rPr>
        <w:t>8.  Pinnacle's principal place of business is located at 3200 Peachtree Road NE, Suite 1400, Atlanta, Georgia 30305. All of Pinnacle's executive officers maintain offices at this location, and all material business decisions relevant to this action were made at this location.</w:t>
      </w:r>
    </w:p>
    <w:p>
      <w:pPr>
        <w:spacing w:line="276" w:lineRule="auto" w:before="20" w:after="20"/>
        <w:ind w:left="432" w:hanging="432"/>
        <w:jc w:val="both"/>
      </w:pPr>
      <w:r>
        <w:rPr>
          <w:rFonts w:ascii="Times New Roman" w:hAnsi="Times New Roman"/>
          <w:color w:val="000000"/>
          <w:sz w:val="22"/>
        </w:rPr>
        <w:t>9.  Pinnacle provides temporary and permanent staffing services to mid-size employers across the Southeastern United States. For the fiscal year ending December 31, 2023 ("FY 2023"), Pinnacle reported annual revenue of approximately $48 million. Pinnacle's Chief Executive Officer is Margaret "Meg" Holliday, and its Chief Technology Officer is Cheryl Nance, both of whom are based at Pinnacle's Atlanta headquarters.</w:t>
      </w:r>
    </w:p>
    <w:p>
      <w:pPr>
        <w:keepNext/>
        <w:spacing w:line="276" w:lineRule="auto" w:before="200" w:after="80"/>
        <w:ind w:left="0"/>
      </w:pPr>
      <w:r>
        <w:rPr>
          <w:rFonts w:ascii="Times New Roman" w:hAnsi="Times New Roman"/>
          <w:b/>
          <w:color w:val="000000"/>
          <w:sz w:val="22"/>
        </w:rPr>
        <w:t>B. Defendant DataCore Systems, Inc.</w:t>
      </w:r>
    </w:p>
    <w:p>
      <w:pPr>
        <w:spacing w:line="276" w:lineRule="auto" w:before="20" w:after="20"/>
        <w:ind w:left="432" w:hanging="432"/>
        <w:jc w:val="both"/>
      </w:pPr>
      <w:r>
        <w:rPr>
          <w:rFonts w:ascii="Times New Roman" w:hAnsi="Times New Roman"/>
          <w:color w:val="000000"/>
          <w:sz w:val="22"/>
        </w:rPr>
        <w:t>10.  Defendant DataCore Systems, Inc. is a corporation organized and existing under the laws of the State of Delaware, with its principal place of business at 750 Innovation Drive, Suite 300, Austin, Texas 78759.</w:t>
      </w:r>
    </w:p>
    <w:p>
      <w:pPr>
        <w:spacing w:line="276" w:lineRule="auto" w:before="20" w:after="20"/>
        <w:ind w:left="432" w:hanging="432"/>
        <w:jc w:val="both"/>
      </w:pPr>
      <w:r>
        <w:rPr>
          <w:rFonts w:ascii="Times New Roman" w:hAnsi="Times New Roman"/>
          <w:color w:val="000000"/>
          <w:sz w:val="22"/>
        </w:rPr>
        <w:t>11.  DataCore develops and sells cloud-based human resources technology solutions, including the TalentBridge applicant tracking and workforce management platform that is the subject of this action. For FY 2023, DataCore reported annual revenue of approximately $210 million. DataCore's Chief Executive Officer is Rajesh Narayan, and its Chief Technology Officer is Anil Subramanian.</w:t>
      </w:r>
    </w:p>
    <w:p>
      <w:pPr>
        <w:spacing w:line="276" w:lineRule="auto" w:before="20" w:after="20"/>
        <w:ind w:left="432" w:hanging="432"/>
        <w:jc w:val="both"/>
      </w:pPr>
      <w:r>
        <w:rPr>
          <w:rFonts w:ascii="Times New Roman" w:hAnsi="Times New Roman"/>
          <w:color w:val="000000"/>
          <w:sz w:val="22"/>
        </w:rPr>
        <w:t>12.  DataCore maintains a regional office in Atlanta, Georgia, located at 100 Techwood Drive NW, Atlanta, Georgia 30318 (the "Atlanta Office"). Upon information and belief, DataCore employs approximately fourteen (14) individuals at the Atlanta Office who service DataCore's Southeast clients, including Pinnacle. Victor Sousa, DataCore's Vice President of Sales for the Southeast Region, is based at and works out of the Atlanta Office. Sousa was the primary DataCore contact for the Pinnacle account and made the material representations at issue in this action from the Atlanta Office. Sousa signed the MSA on DataCore's behalf while based at the Atlanta Office.</w:t>
      </w:r>
    </w:p>
    <w:p>
      <w:pPr>
        <w:keepNext/>
        <w:spacing w:line="276" w:lineRule="auto" w:before="360" w:after="120"/>
        <w:jc w:val="left"/>
      </w:pPr>
      <w:r>
        <w:rPr>
          <w:rFonts w:ascii="Times New Roman" w:hAnsi="Times New Roman"/>
          <w:b/>
          <w:color w:val="000000"/>
          <w:sz w:val="22"/>
          <w:u w:val="single"/>
        </w:rPr>
        <w:t>III. JURISDICTION AND VENUE</w:t>
      </w:r>
    </w:p>
    <w:p>
      <w:pPr>
        <w:keepNext/>
        <w:spacing w:line="276" w:lineRule="auto" w:before="200" w:after="80"/>
        <w:ind w:left="0"/>
      </w:pPr>
      <w:r>
        <w:rPr>
          <w:rFonts w:ascii="Times New Roman" w:hAnsi="Times New Roman"/>
          <w:b/>
          <w:color w:val="000000"/>
          <w:sz w:val="22"/>
        </w:rPr>
        <w:t>A. Subject Matter Jurisdiction</w:t>
      </w:r>
    </w:p>
    <w:p>
      <w:pPr>
        <w:spacing w:line="276" w:lineRule="auto" w:before="20" w:after="20"/>
        <w:ind w:left="432" w:hanging="432"/>
        <w:jc w:val="both"/>
      </w:pPr>
      <w:r>
        <w:rPr>
          <w:rFonts w:ascii="Times New Roman" w:hAnsi="Times New Roman"/>
          <w:color w:val="000000"/>
          <w:sz w:val="22"/>
        </w:rPr>
        <w:t>13.  This Court has subject matter jurisdiction over this action pursuant to 28 U.S.C. § 1332(a) (diversity of citizenship). Pinnacle is a citizen of the State of Georgia, as it is incorporated under the laws of Georgia and maintains its principal place of business in Georgia. DataCore is a citizen of the State of Delaware and the State of Texas, as it is incorporated under the laws of Delaware and maintains its principal place of business in Texas. No party shares citizenship with any other party. The amount in controversy exceeds $75,000, exclusive of interest and costs.</w:t>
      </w:r>
    </w:p>
    <w:p>
      <w:pPr>
        <w:spacing w:line="276" w:lineRule="auto" w:before="20" w:after="20"/>
        <w:ind w:left="432" w:hanging="432"/>
        <w:jc w:val="both"/>
      </w:pPr>
      <w:r>
        <w:rPr>
          <w:rFonts w:ascii="Times New Roman" w:hAnsi="Times New Roman"/>
          <w:color w:val="000000"/>
          <w:sz w:val="22"/>
        </w:rPr>
        <w:t>14.  Specifically, Pinnacle seeks actual and reliance damages in excess of $2,335,000, consequential damages of approximately $1,200,000, punitive damages, and attorneys' fees — well in excess of the jurisdictional threshold required under 28 U.S.C. § 1332(a).</w:t>
      </w:r>
    </w:p>
    <w:p>
      <w:pPr>
        <w:keepNext/>
        <w:spacing w:line="276" w:lineRule="auto" w:before="200" w:after="80"/>
        <w:ind w:left="0"/>
      </w:pPr>
      <w:r>
        <w:rPr>
          <w:rFonts w:ascii="Times New Roman" w:hAnsi="Times New Roman"/>
          <w:b/>
          <w:color w:val="000000"/>
          <w:sz w:val="22"/>
        </w:rPr>
        <w:t>B. Personal Jurisdiction</w:t>
      </w:r>
    </w:p>
    <w:p>
      <w:pPr>
        <w:spacing w:line="276" w:lineRule="auto" w:before="20" w:after="20"/>
        <w:ind w:left="432" w:hanging="432"/>
        <w:jc w:val="both"/>
      </w:pPr>
      <w:r>
        <w:rPr>
          <w:rFonts w:ascii="Times New Roman" w:hAnsi="Times New Roman"/>
          <w:color w:val="000000"/>
          <w:sz w:val="22"/>
        </w:rPr>
        <w:t>15.  This Court has personal jurisdiction over DataCore pursuant to the Georgia Long-Arm Statute, O.C.G.A. § 9-10-91, and consistent with the Due Process Clause of the Fourteenth Amendment to the United States Constitution.</w:t>
      </w:r>
    </w:p>
    <w:p>
      <w:pPr>
        <w:spacing w:line="276" w:lineRule="auto" w:before="20" w:after="20"/>
        <w:ind w:left="432" w:hanging="432"/>
        <w:jc w:val="both"/>
      </w:pPr>
      <w:r>
        <w:rPr>
          <w:rFonts w:ascii="Times New Roman" w:hAnsi="Times New Roman"/>
          <w:color w:val="000000"/>
          <w:sz w:val="22"/>
        </w:rPr>
        <w:t>16.  DataCore is subject to specific personal jurisdiction in Georgia because: (a) DataCore maintains a permanent regional office in Atlanta, Georgia at 100 Techwood Drive NW, Atlanta, Georgia 30318, staffed by approximately fourteen (14) employees who regularly service DataCore's Southeast clients; (b) DataCore's Vice President of Sales for the Southeast Region, Victor Sousa, is based at the Atlanta Office and made the material misrepresentations giving rise to this action from within the State of Georgia; (c) Sousa signed the MSA on DataCore's behalf while based at and operating from the Atlanta Office in Georgia; (d) the sales process — including pre-contractual communications, product demonstrations, and the delivery of written representations — was directed at Pinnacle in Georgia by DataCore personnel located in Georgia; (e) the TalentBridge platform was implemented for and serviced to Pinnacle in Georgia; and (f) the injuries alleged in this Complaint were suffered by Pinnacle in Georgia. Pinnacle's claims arise out of and relate to DataCore's contacts with the State of Georgia.</w:t>
      </w:r>
    </w:p>
    <w:p>
      <w:pPr>
        <w:spacing w:line="276" w:lineRule="auto" w:before="20" w:after="20"/>
        <w:ind w:left="432" w:hanging="432"/>
        <w:jc w:val="both"/>
      </w:pPr>
      <w:r>
        <w:rPr>
          <w:rFonts w:ascii="Times New Roman" w:hAnsi="Times New Roman"/>
          <w:color w:val="000000"/>
          <w:sz w:val="22"/>
        </w:rPr>
        <w:t>17.  In the alternative, DataCore is subject to general personal jurisdiction in Georgia. DataCore's contacts with Georgia are continuous and systematic, including the maintenance of a permanent regional office, the employment of approximately fourteen (14) Georgia-based employees, the regular servicing of Georgia clients through the Atlanta Office, and the solicitation and execution of contracts with Georgia businesses by Georgia-based personnel. These contacts are sufficiently continuous and systematic to render DataCore essentially at home in Georgia for purposes of general jurisdiction.</w:t>
      </w:r>
    </w:p>
    <w:p>
      <w:pPr>
        <w:spacing w:line="276" w:lineRule="auto" w:before="200" w:after="80"/>
        <w:ind w:left="0"/>
        <w:jc w:val="both"/>
      </w:pPr>
      <w:r>
        <w:rPr>
          <w:rFonts w:ascii="Times New Roman" w:hAnsi="Times New Roman"/>
          <w:b/>
          <w:color w:val="000000"/>
          <w:sz w:val="22"/>
        </w:rPr>
        <w:t xml:space="preserve">C. Venue.  </w:t>
      </w:r>
    </w:p>
    <w:p>
      <w:pPr>
        <w:spacing w:line="276" w:lineRule="auto" w:before="20" w:after="20"/>
        <w:ind w:left="432" w:hanging="432"/>
        <w:jc w:val="both"/>
      </w:pPr>
      <w:r>
        <w:rPr>
          <w:rFonts w:ascii="Times New Roman" w:hAnsi="Times New Roman"/>
          <w:color w:val="000000"/>
          <w:sz w:val="22"/>
        </w:rPr>
        <w:t>18.  Venue is proper in this District under 28 U.S.C. § 1391(b)(2) because a substantial part of the events or omissions giving rise to the claims occurred in this District. Specifically: the pre-contractual misrepresentations at issue were made by DataCore employees based in the Atlanta Office within this District; the MSA was negotiated and partially performed in this District; the TalentBridge platform was implemented and serviced in this District; and Pinnacle suffered its injuries in this District.</w:t>
      </w:r>
    </w:p>
    <w:p>
      <w:pPr>
        <w:spacing w:line="276" w:lineRule="auto" w:before="20" w:after="20"/>
        <w:ind w:left="432" w:hanging="432"/>
        <w:jc w:val="both"/>
      </w:pPr>
      <w:r>
        <w:rPr>
          <w:rFonts w:ascii="Times New Roman" w:hAnsi="Times New Roman"/>
          <w:color w:val="000000"/>
          <w:sz w:val="22"/>
        </w:rPr>
        <w:t>19.  Alternatively, venue is proper in this District under 28 U.S.C. § 1391(b)(1) because DataCore resides in this District within the meaning of 28 U.S.C. § 1391(c)(2), by virtue of maintaining a permanent regional office and employees within the Northern District of Georgia, Atlanta Division, and DataCore is subject to this Court's personal jurisdiction with respect to this civil action.</w:t>
      </w:r>
    </w:p>
    <w:p>
      <w:pPr>
        <w:keepNext/>
        <w:spacing w:line="276" w:lineRule="auto" w:before="360" w:after="120"/>
        <w:jc w:val="left"/>
      </w:pPr>
      <w:r>
        <w:rPr>
          <w:rFonts w:ascii="Times New Roman" w:hAnsi="Times New Roman"/>
          <w:b/>
          <w:color w:val="000000"/>
          <w:sz w:val="22"/>
          <w:u w:val="single"/>
        </w:rPr>
        <w:t>IV. FACTUAL ALLEGATIONS</w:t>
      </w:r>
    </w:p>
    <w:p>
      <w:pPr>
        <w:keepNext/>
        <w:spacing w:line="276" w:lineRule="auto" w:before="200" w:after="80"/>
        <w:ind w:left="0"/>
      </w:pPr>
      <w:r>
        <w:rPr>
          <w:rFonts w:ascii="Times New Roman" w:hAnsi="Times New Roman"/>
          <w:b/>
          <w:color w:val="000000"/>
          <w:sz w:val="22"/>
        </w:rPr>
        <w:t>A. Background on Pinnacle and Its Staffing Operations</w:t>
      </w:r>
    </w:p>
    <w:p>
      <w:pPr>
        <w:spacing w:line="276" w:lineRule="auto" w:before="20" w:after="20"/>
        <w:ind w:left="432" w:hanging="432"/>
        <w:jc w:val="both"/>
      </w:pPr>
      <w:r>
        <w:rPr>
          <w:rFonts w:ascii="Times New Roman" w:hAnsi="Times New Roman"/>
          <w:color w:val="000000"/>
          <w:sz w:val="22"/>
        </w:rPr>
        <w:t>20.  Pinnacle Staffing Solutions, Inc. is a mid-market temporary and permanent staffing company founded in 2011 by its CEO, Margaret "Meg" Holliday. Pinnacle provides temporary and permanent staffing services to mid-size employers across the Southeastern United States, specializing in light industrial, administrative, and skilled labor placements.</w:t>
      </w:r>
    </w:p>
    <w:p>
      <w:pPr>
        <w:spacing w:line="276" w:lineRule="auto" w:before="20" w:after="20"/>
        <w:ind w:left="432" w:hanging="432"/>
        <w:jc w:val="both"/>
      </w:pPr>
      <w:r>
        <w:rPr>
          <w:rFonts w:ascii="Times New Roman" w:hAnsi="Times New Roman"/>
          <w:color w:val="000000"/>
          <w:sz w:val="22"/>
        </w:rPr>
        <w:t>21.  Pinnacle's annual revenue for FY 2023 was approximately $48 million. Pinnacle places thousands of temporary workers annually with clients across Georgia, Alabama, Tennessee, South Carolina, North Carolina, and Florida. Pinnacle operates seven branch offices throughout the Southeast, with its corporate headquarters in Atlanta, Georgia.</w:t>
      </w:r>
    </w:p>
    <w:p>
      <w:pPr>
        <w:spacing w:line="276" w:lineRule="auto" w:before="20" w:after="20"/>
        <w:ind w:left="432" w:hanging="432"/>
        <w:jc w:val="both"/>
      </w:pPr>
      <w:r>
        <w:rPr>
          <w:rFonts w:ascii="Times New Roman" w:hAnsi="Times New Roman"/>
          <w:color w:val="000000"/>
          <w:sz w:val="22"/>
        </w:rPr>
        <w:t>22.  Pinnacle's business depends on the efficient management of large volumes of temporary worker records, including applicant tracking, scheduling, time-and-attendance recording, and payroll processing. At the time of the events described herein, Pinnacle used and continues to use ADP as its primary payroll platform. Integration between Pinnacle's applicant tracking and workforce management system and ADP is critical to Pinnacle's operations.</w:t>
      </w:r>
    </w:p>
    <w:p>
      <w:pPr>
        <w:spacing w:line="276" w:lineRule="auto" w:before="20" w:after="20"/>
        <w:ind w:left="432" w:hanging="432"/>
        <w:jc w:val="both"/>
      </w:pPr>
      <w:r>
        <w:rPr>
          <w:rFonts w:ascii="Times New Roman" w:hAnsi="Times New Roman"/>
          <w:color w:val="000000"/>
          <w:sz w:val="22"/>
        </w:rPr>
        <w:t>23.  In late 2021, Pinnacle initiated a search for a new cloud-based applicant tracking and workforce management platform to replace its legacy system, which could not scale to meet Pinnacle's growing operational needs. Pinnacle's CTO, Cheryl Nance, led the evaluation process and solicited proposals from multiple vendors, including DataCore.</w:t>
      </w:r>
    </w:p>
    <w:p>
      <w:pPr>
        <w:spacing w:line="276" w:lineRule="auto" w:before="20" w:after="20"/>
        <w:ind w:left="432" w:hanging="432"/>
        <w:jc w:val="both"/>
      </w:pPr>
      <w:r>
        <w:rPr>
          <w:rFonts w:ascii="Times New Roman" w:hAnsi="Times New Roman"/>
          <w:color w:val="000000"/>
          <w:sz w:val="22"/>
        </w:rPr>
        <w:t>24.  Pinnacle communicated two critical requirements to all prospective vendors, including DataCore: (a) the platform must natively integrate with ADP "out of the box" without custom configuration or additional development cost, and (b) the platform must be capable of handling at least 10,000 to 15,000 concurrent temporary worker records with minimal latency. These requirements were non-negotiable and were communicated to DataCore clearly and repeatedly during the sales process.</w:t>
      </w:r>
    </w:p>
    <w:p>
      <w:pPr>
        <w:keepNext/>
        <w:spacing w:line="276" w:lineRule="auto" w:before="200" w:after="80"/>
        <w:ind w:left="0"/>
      </w:pPr>
      <w:r>
        <w:rPr>
          <w:rFonts w:ascii="Times New Roman" w:hAnsi="Times New Roman"/>
          <w:b/>
          <w:color w:val="000000"/>
          <w:sz w:val="22"/>
        </w:rPr>
        <w:t>B. DataCore's Pre-Contractual Representations</w:t>
      </w:r>
    </w:p>
    <w:p>
      <w:pPr>
        <w:spacing w:line="276" w:lineRule="auto" w:before="20" w:after="20"/>
        <w:ind w:left="432" w:hanging="432"/>
        <w:jc w:val="both"/>
      </w:pPr>
      <w:r>
        <w:rPr>
          <w:rFonts w:ascii="Times New Roman" w:hAnsi="Times New Roman"/>
          <w:color w:val="000000"/>
          <w:sz w:val="22"/>
        </w:rPr>
        <w:t>25.  In or about December 2021, DataCore's sales team initiated contact with Pinnacle to market the TalentBridge applicant tracking and workforce management platform. The primary DataCore contact assigned to the Pinnacle account was Victor Sousa, DataCore's Vice President of Sales for the Southeast Region, who operated out of DataCore's Atlanta Office at 100 Techwood Drive NW, Atlanta, Georgia 30318.</w:t>
      </w:r>
    </w:p>
    <w:p>
      <w:pPr>
        <w:spacing w:line="276" w:lineRule="auto" w:before="20" w:after="20"/>
        <w:ind w:left="432" w:hanging="432"/>
        <w:jc w:val="both"/>
      </w:pPr>
      <w:r>
        <w:rPr>
          <w:rFonts w:ascii="Times New Roman" w:hAnsi="Times New Roman"/>
          <w:color w:val="000000"/>
          <w:sz w:val="22"/>
        </w:rPr>
        <w:t>26.  Derek Baines, a DataCore Sales Engineer, was also assigned to the Pinnacle account and participated in the sales process alongside Sousa. Baines participated in product demonstrations and technical discussions with Pinnacle's CTO, Cheryl Nance, and other Pinnacle personnel.</w:t>
      </w:r>
    </w:p>
    <w:p>
      <w:pPr>
        <w:spacing w:line="276" w:lineRule="auto" w:before="20" w:after="20"/>
        <w:ind w:left="432" w:hanging="432"/>
        <w:jc w:val="both"/>
      </w:pPr>
      <w:r>
        <w:rPr>
          <w:rFonts w:ascii="Times New Roman" w:hAnsi="Times New Roman"/>
          <w:color w:val="000000"/>
          <w:sz w:val="22"/>
        </w:rPr>
        <w:t>27.  Throughout December 2021 and into early 2022, Sousa and Baines communicated with Cheryl Nance via email, telephone, and in-person meetings in Atlanta, Georgia regarding TalentBridge's capabilities. These communications included specific representations about the TalentBridge platform's ability to meet Pinnacle's critical requirements.</w:t>
      </w:r>
    </w:p>
    <w:p>
      <w:pPr>
        <w:spacing w:line="276" w:lineRule="auto" w:before="0" w:after="120"/>
        <w:jc w:val="both"/>
      </w:pPr>
      <w:r>
        <w:rPr>
          <w:rFonts w:ascii="Times New Roman" w:hAnsi="Times New Roman"/>
          <w:b/>
          <w:color w:val="000000"/>
          <w:sz w:val="22"/>
        </w:rPr>
        <w:t>The January 10, 2022 Email</w:t>
      </w:r>
    </w:p>
    <w:p>
      <w:pPr>
        <w:spacing w:line="276" w:lineRule="auto" w:before="20" w:after="20"/>
        <w:ind w:left="432" w:hanging="432"/>
        <w:jc w:val="both"/>
      </w:pPr>
      <w:r>
        <w:rPr>
          <w:rFonts w:ascii="Times New Roman" w:hAnsi="Times New Roman"/>
          <w:color w:val="000000"/>
          <w:sz w:val="22"/>
        </w:rPr>
        <w:t>28.  On January 10, 2022, Victor Sousa sent an email from his DataCore corporate email account (vsousa@datacore.com) to Cheryl Nance at her Pinnacle corporate email address. Sousa's email signature block identified his title as "Vice President of Sales — Southeast Region" and his office location as "100 Techwood Drive NW, Atlanta, GA 30318."</w:t>
      </w:r>
    </w:p>
    <w:p>
      <w:pPr>
        <w:spacing w:line="276" w:lineRule="auto" w:before="20" w:after="20"/>
        <w:ind w:left="432" w:hanging="432"/>
        <w:jc w:val="both"/>
      </w:pPr>
      <w:r>
        <w:rPr>
          <w:rFonts w:ascii="Times New Roman" w:hAnsi="Times New Roman"/>
          <w:color w:val="000000"/>
          <w:sz w:val="22"/>
        </w:rPr>
        <w:t xml:space="preserve">29.  In the January 10, 2022 email, Sousa stated, in pertinent part: "TalentBridge fully integrates with all major payroll platforms, including Paychex, ADP, and Gusto, out of the box with zero custom configuration. Your team won't need to spend a single hour on custom API work — it just works." A true and correct copy of this email is attached hereto as </w:t>
      </w:r>
      <w:r>
        <w:rPr>
          <w:rFonts w:ascii="Times New Roman" w:hAnsi="Times New Roman"/>
          <w:b/>
          <w:color w:val="000000"/>
          <w:sz w:val="22"/>
        </w:rPr>
        <w:t>Exhibit A</w:t>
      </w:r>
      <w:r>
        <w:rPr>
          <w:rFonts w:ascii="Times New Roman" w:hAnsi="Times New Roman"/>
          <w:color w:val="000000"/>
          <w:sz w:val="22"/>
        </w:rPr>
        <w:t xml:space="preserve"> and is incorporated herein by reference.</w:t>
      </w:r>
    </w:p>
    <w:p>
      <w:pPr>
        <w:spacing w:line="276" w:lineRule="auto" w:before="20" w:after="20"/>
        <w:ind w:left="432" w:hanging="432"/>
        <w:jc w:val="both"/>
      </w:pPr>
      <w:r>
        <w:rPr>
          <w:rFonts w:ascii="Times New Roman" w:hAnsi="Times New Roman"/>
          <w:color w:val="000000"/>
          <w:sz w:val="22"/>
        </w:rPr>
        <w:t>30.  Pinnacle specifically relied on this representation because seamless ADP integration without custom configuration was a critical, non-negotiable requirement for Pinnacle's operations. The ability to integrate with ADP "out of the box with zero custom configuration" was a material factor in Pinnacle's decision to select TalentBridge over competing platforms, including platforms offered by two other vendors that Pinnacle was actively evaluating at the time.</w:t>
      </w:r>
    </w:p>
    <w:p>
      <w:pPr>
        <w:spacing w:line="276" w:lineRule="auto" w:before="0" w:after="120"/>
        <w:jc w:val="both"/>
      </w:pPr>
      <w:r>
        <w:rPr>
          <w:rFonts w:ascii="Times New Roman" w:hAnsi="Times New Roman"/>
          <w:b/>
          <w:color w:val="000000"/>
          <w:sz w:val="22"/>
        </w:rPr>
        <w:t>The Product Demonstrations</w:t>
      </w:r>
    </w:p>
    <w:p>
      <w:pPr>
        <w:spacing w:line="276" w:lineRule="auto" w:before="20" w:after="20"/>
        <w:ind w:left="432" w:hanging="432"/>
        <w:jc w:val="both"/>
      </w:pPr>
      <w:r>
        <w:rPr>
          <w:rFonts w:ascii="Times New Roman" w:hAnsi="Times New Roman"/>
          <w:color w:val="000000"/>
          <w:sz w:val="22"/>
        </w:rPr>
        <w:t>31.  On January 18, 2022, Derek Baines conducted a live product demonstration of the TalentBridge platform for Cheryl Nance, Pinnacle's Director of Operations Steven Lofton, and other Pinnacle personnel. The demonstration was conducted via video conference, with Baines presenting from DataCore's offices.</w:t>
      </w:r>
    </w:p>
    <w:p>
      <w:pPr>
        <w:spacing w:line="276" w:lineRule="auto" w:before="20" w:after="20"/>
        <w:ind w:left="432" w:hanging="432"/>
        <w:jc w:val="both"/>
      </w:pPr>
      <w:r>
        <w:rPr>
          <w:rFonts w:ascii="Times New Roman" w:hAnsi="Times New Roman"/>
          <w:color w:val="000000"/>
          <w:sz w:val="22"/>
        </w:rPr>
        <w:t>32.  During the January 18, 2022 demonstration, Baines showed a staging environment in which the ADP integration appeared seamless and fully functional. Data appeared to flow automatically between TalentBridge and ADP without any manual configuration, custom API development, or additional steps. Baines stated during the demonstration that the integration shown was representative of the "production experience" that Pinnacle's team would encounter.</w:t>
      </w:r>
    </w:p>
    <w:p>
      <w:pPr>
        <w:spacing w:line="276" w:lineRule="auto" w:before="20" w:after="20"/>
        <w:ind w:left="432" w:hanging="432"/>
        <w:jc w:val="both"/>
      </w:pPr>
      <w:r>
        <w:rPr>
          <w:rFonts w:ascii="Times New Roman" w:hAnsi="Times New Roman"/>
          <w:color w:val="000000"/>
          <w:sz w:val="22"/>
        </w:rPr>
        <w:t>33.  On February 7, 2022, Baines conducted a second live product demonstration for Pinnacle, again via video conference. During this second demonstration, Baines again showed what appeared to be seamless ADP integration in the same staging environment, reinforcing the impression that ADP integration was a built-in, production-ready feature of the TalentBridge platform.</w:t>
      </w:r>
    </w:p>
    <w:p>
      <w:pPr>
        <w:spacing w:line="276" w:lineRule="auto" w:before="20" w:after="20"/>
        <w:ind w:left="432" w:hanging="432"/>
        <w:jc w:val="both"/>
      </w:pPr>
      <w:r>
        <w:rPr>
          <w:rFonts w:ascii="Times New Roman" w:hAnsi="Times New Roman"/>
          <w:color w:val="000000"/>
          <w:sz w:val="22"/>
        </w:rPr>
        <w:t>34.  Upon information and belief, the staging environment used in both the January 18, 2022 and February 7, 2022 demonstrations was a specially configured demo environment that did not accurately reflect the actual capabilities of the TalentBridge production platform. The demonstrations were designed and intended to create the false impression that TalentBridge's ADP integration was seamless and fully functional, when in fact it was not.</w:t>
      </w:r>
    </w:p>
    <w:p>
      <w:pPr>
        <w:spacing w:line="276" w:lineRule="auto" w:before="0" w:after="120"/>
        <w:jc w:val="both"/>
      </w:pPr>
      <w:r>
        <w:rPr>
          <w:rFonts w:ascii="Times New Roman" w:hAnsi="Times New Roman"/>
          <w:b/>
          <w:color w:val="000000"/>
          <w:sz w:val="22"/>
        </w:rPr>
        <w:t>The Marketing Brochure</w:t>
      </w:r>
    </w:p>
    <w:p>
      <w:pPr>
        <w:spacing w:line="276" w:lineRule="auto" w:before="20" w:after="20"/>
        <w:ind w:left="432" w:hanging="432"/>
        <w:jc w:val="both"/>
      </w:pPr>
      <w:r>
        <w:rPr>
          <w:rFonts w:ascii="Times New Roman" w:hAnsi="Times New Roman"/>
          <w:color w:val="000000"/>
          <w:sz w:val="22"/>
        </w:rPr>
        <w:t>35.  During the sales process, DataCore provided Pinnacle with a printed marketing brochure (revision dated November 2021) describing TalentBridge's features and capabilities. This brochure was provided to Pinnacle by Victor Sousa during in-person meetings in Atlanta, Georgia.</w:t>
      </w:r>
    </w:p>
    <w:p>
      <w:pPr>
        <w:spacing w:line="276" w:lineRule="auto" w:before="20" w:after="20"/>
        <w:ind w:left="432" w:hanging="432"/>
        <w:jc w:val="both"/>
      </w:pPr>
      <w:r>
        <w:rPr>
          <w:rFonts w:ascii="Times New Roman" w:hAnsi="Times New Roman"/>
          <w:color w:val="000000"/>
          <w:sz w:val="22"/>
        </w:rPr>
        <w:t>36.  The marketing brochure stated, among other things, that TalentBridge offers "native integration with 40+ payroll and HRIS platforms." ADP was specifically listed among the supported platforms. The brochure did not disclose that integration with ADP or any other platform would require custom API development or additional fees beyond the standard license and implementation fees.</w:t>
      </w:r>
    </w:p>
    <w:p>
      <w:pPr>
        <w:spacing w:line="276" w:lineRule="auto" w:before="0" w:after="120"/>
        <w:jc w:val="both"/>
      </w:pPr>
      <w:r>
        <w:rPr>
          <w:rFonts w:ascii="Times New Roman" w:hAnsi="Times New Roman"/>
          <w:b/>
          <w:color w:val="000000"/>
          <w:sz w:val="22"/>
        </w:rPr>
        <w:t>The Statement of Work Capabilities Document</w:t>
      </w:r>
    </w:p>
    <w:p>
      <w:pPr>
        <w:spacing w:line="276" w:lineRule="auto" w:before="20" w:after="20"/>
        <w:ind w:left="432" w:hanging="432"/>
        <w:jc w:val="both"/>
      </w:pPr>
      <w:r>
        <w:rPr>
          <w:rFonts w:ascii="Times New Roman" w:hAnsi="Times New Roman"/>
          <w:color w:val="000000"/>
          <w:sz w:val="22"/>
        </w:rPr>
        <w:t xml:space="preserve">37.  On February 14, 2022, Victor Sousa sent an email from his DataCore corporate email account to Cheryl Nance, attaching a document titled "Statement of Work Capabilities" (the "SOW Capabilities Document"). The email was sent from Sousa's Atlanta, Georgia office, as confirmed by his email signature. A true and correct copy of this email and the attached SOW Capabilities Document is attached hereto as </w:t>
      </w:r>
      <w:r>
        <w:rPr>
          <w:rFonts w:ascii="Times New Roman" w:hAnsi="Times New Roman"/>
          <w:b/>
          <w:color w:val="000000"/>
          <w:sz w:val="22"/>
        </w:rPr>
        <w:t>Exhibit B</w:t>
      </w:r>
      <w:r>
        <w:rPr>
          <w:rFonts w:ascii="Times New Roman" w:hAnsi="Times New Roman"/>
          <w:color w:val="000000"/>
          <w:sz w:val="22"/>
        </w:rPr>
        <w:t xml:space="preserve"> and is incorporated herein by reference.</w:t>
      </w:r>
    </w:p>
    <w:p>
      <w:pPr>
        <w:spacing w:line="276" w:lineRule="auto" w:before="20" w:after="20"/>
        <w:ind w:left="432" w:hanging="432"/>
        <w:jc w:val="both"/>
      </w:pPr>
      <w:r>
        <w:rPr>
          <w:rFonts w:ascii="Times New Roman" w:hAnsi="Times New Roman"/>
          <w:color w:val="000000"/>
          <w:sz w:val="22"/>
        </w:rPr>
        <w:t>38.  The SOW Capabilities Document contained specific technical representations about TalentBridge's performance characteristics. Among other things, it asserted that TalentBridge would process "up to 15,000 concurrent temporary worker records with sub-second latency."</w:t>
      </w:r>
    </w:p>
    <w:p>
      <w:pPr>
        <w:spacing w:line="276" w:lineRule="auto" w:before="20" w:after="20"/>
        <w:ind w:left="432" w:hanging="432"/>
        <w:jc w:val="both"/>
      </w:pPr>
      <w:r>
        <w:rPr>
          <w:rFonts w:ascii="Times New Roman" w:hAnsi="Times New Roman"/>
          <w:color w:val="000000"/>
          <w:sz w:val="22"/>
        </w:rPr>
        <w:t>39.  The SOW Capabilities Document was not attached to, incorporated by reference in, or referenced by the Master Services Agreement subsequently executed by the parties on March 15, 2022. It was a separate, standalone document provided by DataCore during the pre-contractual sales process and was not made part of the MSA by any provision of that agreement.</w:t>
      </w:r>
    </w:p>
    <w:p>
      <w:pPr>
        <w:spacing w:line="276" w:lineRule="auto" w:before="20" w:after="20"/>
        <w:ind w:left="432" w:hanging="432"/>
        <w:jc w:val="both"/>
      </w:pPr>
      <w:r>
        <w:rPr>
          <w:rFonts w:ascii="Times New Roman" w:hAnsi="Times New Roman"/>
          <w:color w:val="000000"/>
          <w:sz w:val="22"/>
        </w:rPr>
        <w:t>40.  Pinnacle specifically relied on the 15,000 concurrent record representation in the SOW Capabilities Document in deciding to enter into the MSA with DataCore. Pinnacle's projected growth trajectory required a platform capable of handling at least 10,000 to 15,000 concurrent temporary worker records, and the SOW Capabilities Document's representation that TalentBridge could meet this threshold was a material factor in Pinnacle's decision to commit $2,335,000 to the TalentBridge platform over competing alternatives.</w:t>
      </w:r>
    </w:p>
    <w:p>
      <w:pPr>
        <w:spacing w:line="276" w:lineRule="auto" w:before="0" w:after="120"/>
        <w:jc w:val="both"/>
      </w:pPr>
      <w:r>
        <w:rPr>
          <w:rFonts w:ascii="Times New Roman" w:hAnsi="Times New Roman"/>
          <w:b/>
          <w:color w:val="000000"/>
          <w:sz w:val="22"/>
        </w:rPr>
        <w:t>Summary of Pre-Contractual Representations</w:t>
      </w:r>
    </w:p>
    <w:p>
      <w:pPr>
        <w:spacing w:line="276" w:lineRule="auto" w:before="20" w:after="20"/>
        <w:ind w:left="432" w:hanging="432"/>
        <w:jc w:val="both"/>
      </w:pPr>
      <w:r>
        <w:rPr>
          <w:rFonts w:ascii="Times New Roman" w:hAnsi="Times New Roman"/>
          <w:color w:val="000000"/>
          <w:sz w:val="22"/>
        </w:rPr>
        <w:t>41.  In summary, during the period from approximately December 2021 through February 2022, DataCore — through its employees Victor Sousa and Derek Baines, both operating from or through DataCore's Atlanta, Georgia office — made the following material representations to Pinnacle: (a) TalentBridge "fully integrates" with ADP "out of the box with zero custom configuration" (January 10, 2022 Sousa email, Exhibit A); (b) TalentBridge offers "native integration with 40+ payroll and HRIS platforms," including ADP (marketing brochure, Rev. 11/2021); (c) TalentBridge can process "up to 15,000 concurrent temporary worker records with sub-second latency" (February 14, 2022 SOW Capabilities Document, Exhibit B); and (d) the live product demonstrations on January 18, 2022 and February 7, 2022 accurately depicted TalentBridge's ADP integration capabilities in a production environment.</w:t>
      </w:r>
    </w:p>
    <w:p>
      <w:pPr>
        <w:spacing w:line="276" w:lineRule="auto" w:before="20" w:after="20"/>
        <w:ind w:left="432" w:hanging="432"/>
        <w:jc w:val="both"/>
      </w:pPr>
      <w:r>
        <w:rPr>
          <w:rFonts w:ascii="Times New Roman" w:hAnsi="Times New Roman"/>
          <w:color w:val="000000"/>
          <w:sz w:val="22"/>
        </w:rPr>
        <w:t>42.  Each of these representations was false and material at the time it was made, and DataCore knew or should have known that each was false at the time it was made. Pinnacle relied on these representations in deciding to execute the MSA and commit $2,335,000 to the TalentBridge platform. Had Pinnacle known the true capabilities of the TalentBridge platform, it would not have entered into the MSA with DataCore.</w:t>
      </w:r>
    </w:p>
    <w:p>
      <w:pPr>
        <w:keepNext/>
        <w:spacing w:line="276" w:lineRule="auto" w:before="200" w:after="80"/>
        <w:ind w:left="0"/>
      </w:pPr>
      <w:r>
        <w:rPr>
          <w:rFonts w:ascii="Times New Roman" w:hAnsi="Times New Roman"/>
          <w:b/>
          <w:color w:val="000000"/>
          <w:sz w:val="22"/>
        </w:rPr>
        <w:t>C. Execution of the Master Services Agreement</w:t>
      </w:r>
    </w:p>
    <w:p>
      <w:pPr>
        <w:spacing w:line="276" w:lineRule="auto" w:before="20" w:after="20"/>
        <w:ind w:left="432" w:hanging="432"/>
        <w:jc w:val="both"/>
      </w:pPr>
      <w:r>
        <w:rPr>
          <w:rFonts w:ascii="Times New Roman" w:hAnsi="Times New Roman"/>
          <w:color w:val="000000"/>
          <w:sz w:val="22"/>
        </w:rPr>
        <w:t xml:space="preserve">43.  In reliance on the representations described above, on March 15, 2022, Pinnacle and DataCore executed a Master Services Agreement (the "MSA") for the license, implementation, and ongoing use of the TalentBridge applicant tracking and workforce management platform. A true and correct copy of the MSA is attached hereto as </w:t>
      </w:r>
      <w:r>
        <w:rPr>
          <w:rFonts w:ascii="Times New Roman" w:hAnsi="Times New Roman"/>
          <w:b/>
          <w:color w:val="000000"/>
          <w:sz w:val="22"/>
        </w:rPr>
        <w:t>Exhibit C</w:t>
      </w:r>
      <w:r>
        <w:rPr>
          <w:rFonts w:ascii="Times New Roman" w:hAnsi="Times New Roman"/>
          <w:color w:val="000000"/>
          <w:sz w:val="22"/>
        </w:rPr>
        <w:t xml:space="preserve"> and is incorporated herein by reference.</w:t>
      </w:r>
    </w:p>
    <w:p>
      <w:pPr>
        <w:spacing w:line="276" w:lineRule="auto" w:before="20" w:after="20"/>
        <w:ind w:left="432" w:hanging="432"/>
        <w:jc w:val="both"/>
      </w:pPr>
      <w:r>
        <w:rPr>
          <w:rFonts w:ascii="Times New Roman" w:hAnsi="Times New Roman"/>
          <w:color w:val="000000"/>
          <w:sz w:val="22"/>
        </w:rPr>
        <w:t>44.  The MSA was signed by Victor Sousa on behalf of DataCore, in his capacity as Vice President of Sales for the Southeast Region, and by Cheryl Nance on behalf of Pinnacle, in her capacity as Chief Technology Officer. Sousa signed the MSA while based at DataCore's Atlanta Office.</w:t>
      </w:r>
    </w:p>
    <w:p>
      <w:pPr>
        <w:spacing w:line="276" w:lineRule="auto" w:before="20" w:after="20"/>
        <w:ind w:left="432" w:hanging="432"/>
        <w:jc w:val="both"/>
      </w:pPr>
      <w:r>
        <w:rPr>
          <w:rFonts w:ascii="Times New Roman" w:hAnsi="Times New Roman"/>
          <w:color w:val="000000"/>
          <w:sz w:val="22"/>
        </w:rPr>
        <w:t>45.  The MSA established a five-year subscription term commencing March 15, 2022 and continuing through March 14, 2027. The annual license fee was $432,000 per year, payable in monthly installments of $36,000 per month, for a total five-year license value of $2,160,000.</w:t>
      </w:r>
    </w:p>
    <w:p>
      <w:pPr>
        <w:spacing w:line="276" w:lineRule="auto" w:before="20" w:after="20"/>
        <w:ind w:left="432" w:hanging="432"/>
        <w:jc w:val="both"/>
      </w:pPr>
      <w:r>
        <w:rPr>
          <w:rFonts w:ascii="Times New Roman" w:hAnsi="Times New Roman"/>
          <w:color w:val="000000"/>
          <w:sz w:val="22"/>
        </w:rPr>
        <w:t>46.  In addition to the annual license fees, Pinnacle agreed to pay a one-time implementation fee of $175,000 for the initial configuration, deployment, and training associated with the TalentBridge platform.</w:t>
      </w:r>
    </w:p>
    <w:p>
      <w:pPr>
        <w:spacing w:line="276" w:lineRule="auto" w:before="20" w:after="20"/>
        <w:ind w:left="432" w:hanging="432"/>
        <w:jc w:val="both"/>
      </w:pPr>
      <w:r>
        <w:rPr>
          <w:rFonts w:ascii="Times New Roman" w:hAnsi="Times New Roman"/>
          <w:color w:val="000000"/>
          <w:sz w:val="22"/>
        </w:rPr>
        <w:t>47.  Pinnacle's total financial commitment under the MSA was $2,335,000, comprising $2,160,000 in aggregate license fees and $175,000 in implementation fees.</w:t>
      </w:r>
    </w:p>
    <w:p>
      <w:pPr>
        <w:spacing w:line="276" w:lineRule="auto" w:before="20" w:after="20"/>
        <w:ind w:left="432" w:hanging="432"/>
        <w:jc w:val="both"/>
      </w:pPr>
      <w:r>
        <w:rPr>
          <w:rFonts w:ascii="Times New Roman" w:hAnsi="Times New Roman"/>
          <w:color w:val="000000"/>
          <w:sz w:val="22"/>
        </w:rPr>
        <w:t>48.  Section 14.2 of the MSA contains a forum selection clause, which provides in its entirety: "Any dispute arising out of or relating to this Agreement shall be resolved exclusively in the state or federal courts located in Travis County, Texas. Each party hereby consents to the exclusive jurisdiction and venue of such courts."</w:t>
      </w:r>
    </w:p>
    <w:p>
      <w:pPr>
        <w:spacing w:line="276" w:lineRule="auto" w:before="20" w:after="20"/>
        <w:ind w:left="432" w:hanging="432"/>
        <w:jc w:val="both"/>
      </w:pPr>
      <w:r>
        <w:rPr>
          <w:rFonts w:ascii="Times New Roman" w:hAnsi="Times New Roman"/>
          <w:color w:val="000000"/>
          <w:sz w:val="22"/>
        </w:rPr>
        <w:t>49.  Section 14.3 of the MSA contains a choice-of-law clause, which provides: "This Agreement shall be governed by and construed in accordance with the laws of the State of Texas, without regard to its conflict of laws principles. All disputes arising under this Agreement shall be resolved in accordance with Texas law."</w:t>
      </w:r>
    </w:p>
    <w:p>
      <w:pPr>
        <w:spacing w:line="276" w:lineRule="auto" w:before="20" w:after="20"/>
        <w:ind w:left="432" w:hanging="432"/>
        <w:jc w:val="both"/>
      </w:pPr>
      <w:r>
        <w:rPr>
          <w:rFonts w:ascii="Times New Roman" w:hAnsi="Times New Roman"/>
          <w:color w:val="000000"/>
          <w:sz w:val="22"/>
        </w:rPr>
        <w:t>50.  Section 14.7 of the MSA contains an integration clause, which provides: "This Agreement, together with all exhibits and schedules attached hereto, constitutes the entire agreement between the parties with respect to the subject matter hereof and supersedes all prior and contemporaneous agreements, representations, warranties, and understandings, whether written or oral, relating to such subject matter."</w:t>
      </w:r>
    </w:p>
    <w:p>
      <w:pPr>
        <w:spacing w:line="276" w:lineRule="auto" w:before="20" w:after="20"/>
        <w:ind w:left="432" w:hanging="432"/>
        <w:jc w:val="both"/>
      </w:pPr>
      <w:r>
        <w:rPr>
          <w:rFonts w:ascii="Times New Roman" w:hAnsi="Times New Roman"/>
          <w:color w:val="000000"/>
          <w:sz w:val="22"/>
        </w:rPr>
        <w:t>51.  Section 11.1 of the MSA contains a limitation of liability clause providing that "in no event shall either party's total aggregate liability under this Agreement exceed the fees paid by Customer during the twelve (12) months immediately preceding the event giving rise to the claim." Based on the annual license fee of $432,000, this clause purports to cap DataCore's liability at $432,000. Section 11.2 of the MSA contains a mutual consequential damages waiver providing that "in no event shall either party be liable to the other for any indirect, incidental, special, consequential, or punitive damages, including but not limited to lost profits, lost revenue, or cost of procurement of substitute goods or services."</w:t>
      </w:r>
    </w:p>
    <w:p>
      <w:pPr>
        <w:spacing w:line="276" w:lineRule="auto" w:before="20" w:after="20"/>
        <w:ind w:left="432" w:hanging="432"/>
        <w:jc w:val="both"/>
      </w:pPr>
      <w:r>
        <w:rPr>
          <w:rFonts w:ascii="Times New Roman" w:hAnsi="Times New Roman"/>
          <w:color w:val="000000"/>
          <w:sz w:val="22"/>
        </w:rPr>
        <w:t>52.  Section 9.4 of the MSA contains a contractual limitations provision stating: "Any claim arising out of or relating to this Agreement must be brought within one (1) year of the date on which the claiming party knew or should have known of the facts giving rise to such claim, or such claim shall be forever barred."</w:t>
      </w:r>
    </w:p>
    <w:p>
      <w:pPr>
        <w:keepNext/>
        <w:spacing w:line="276" w:lineRule="auto" w:before="200" w:after="80"/>
        <w:ind w:left="0"/>
      </w:pPr>
      <w:r>
        <w:rPr>
          <w:rFonts w:ascii="Times New Roman" w:hAnsi="Times New Roman"/>
          <w:b/>
          <w:color w:val="000000"/>
          <w:sz w:val="22"/>
        </w:rPr>
        <w:t>D. Implementation and Post-Contract Performance Failures</w:t>
      </w:r>
    </w:p>
    <w:p>
      <w:pPr>
        <w:spacing w:line="276" w:lineRule="auto" w:before="20" w:after="20"/>
        <w:ind w:left="432" w:hanging="432"/>
        <w:jc w:val="both"/>
      </w:pPr>
      <w:r>
        <w:rPr>
          <w:rFonts w:ascii="Times New Roman" w:hAnsi="Times New Roman"/>
          <w:color w:val="000000"/>
          <w:sz w:val="22"/>
        </w:rPr>
        <w:t>53.  Implementation of the TalentBridge platform commenced shortly after execution of the MSA and was substantially completed on or about June 30, 2022. DataCore's implementation team configured the platform for Pinnacle's operations and provided initial training to Pinnacle's staff.</w:t>
      </w:r>
    </w:p>
    <w:p>
      <w:pPr>
        <w:spacing w:line="276" w:lineRule="auto" w:before="20" w:after="20"/>
        <w:ind w:left="432" w:hanging="432"/>
        <w:jc w:val="both"/>
      </w:pPr>
      <w:r>
        <w:rPr>
          <w:rFonts w:ascii="Times New Roman" w:hAnsi="Times New Roman"/>
          <w:color w:val="000000"/>
          <w:sz w:val="22"/>
        </w:rPr>
        <w:t>54.  Pinnacle paid the $175,000 one-time implementation fee in full and on time, in accordance with the terms of the MSA.</w:t>
      </w:r>
    </w:p>
    <w:p>
      <w:pPr>
        <w:spacing w:line="276" w:lineRule="auto" w:before="0" w:after="120"/>
        <w:jc w:val="both"/>
      </w:pPr>
      <w:r>
        <w:rPr>
          <w:rFonts w:ascii="Times New Roman" w:hAnsi="Times New Roman"/>
          <w:b/>
          <w:color w:val="000000"/>
          <w:sz w:val="22"/>
        </w:rPr>
        <w:t>ADP Integration Failure</w:t>
      </w:r>
    </w:p>
    <w:p>
      <w:pPr>
        <w:spacing w:line="276" w:lineRule="auto" w:before="20" w:after="20"/>
        <w:ind w:left="432" w:hanging="432"/>
        <w:jc w:val="both"/>
      </w:pPr>
      <w:r>
        <w:rPr>
          <w:rFonts w:ascii="Times New Roman" w:hAnsi="Times New Roman"/>
          <w:color w:val="000000"/>
          <w:sz w:val="22"/>
        </w:rPr>
        <w:t>55.  In or about August 2022, approximately two months after implementation was completed, Pinnacle's technology team, led by CTO Cheryl Nance, attempted to configure the TalentBridge platform to integrate with Pinnacle's ADP payroll system — the very integration that DataCore had represented would function "out of the box with zero custom configuration."</w:t>
      </w:r>
    </w:p>
    <w:p>
      <w:pPr>
        <w:spacing w:line="276" w:lineRule="auto" w:before="20" w:after="20"/>
        <w:ind w:left="432" w:hanging="432"/>
        <w:jc w:val="both"/>
      </w:pPr>
      <w:r>
        <w:rPr>
          <w:rFonts w:ascii="Times New Roman" w:hAnsi="Times New Roman"/>
          <w:color w:val="000000"/>
          <w:sz w:val="22"/>
        </w:rPr>
        <w:t>56.  Pinnacle discovered that, contrary to DataCore's representations, TalentBridge did not integrate with ADP "out of the box" and could not be configured to do so without extensive custom work. Instead, integration with ADP required extensive custom API development that DataCore had not built, had not disclosed as necessary during the sales process, and could not provide without significant additional development effort and cost.</w:t>
      </w:r>
    </w:p>
    <w:p>
      <w:pPr>
        <w:spacing w:line="276" w:lineRule="auto" w:before="20" w:after="20"/>
        <w:ind w:left="432" w:hanging="432"/>
        <w:jc w:val="both"/>
      </w:pPr>
      <w:r>
        <w:rPr>
          <w:rFonts w:ascii="Times New Roman" w:hAnsi="Times New Roman"/>
          <w:color w:val="000000"/>
          <w:sz w:val="22"/>
        </w:rPr>
        <w:t>57.  DataCore quoted Pinnacle an additional $85,000 to perform the custom API development necessary to achieve the ADP integration that DataCore had represented was already built into the platform. This cost had never been disclosed during the sales process and directly contradicted the "out of the box" and "zero custom configuration" representations made by Victor Sousa in his January 10, 2022 email (Exhibit A) and reinforced by Derek Baines in the January 18 and February 7, 2022 product demonstrations.</w:t>
      </w:r>
    </w:p>
    <w:p>
      <w:pPr>
        <w:spacing w:line="276" w:lineRule="auto" w:before="0" w:after="120"/>
        <w:jc w:val="both"/>
      </w:pPr>
      <w:r>
        <w:rPr>
          <w:rFonts w:ascii="Times New Roman" w:hAnsi="Times New Roman"/>
          <w:b/>
          <w:color w:val="000000"/>
          <w:sz w:val="22"/>
        </w:rPr>
        <w:t>Latency and Concurrent Record Processing Failure</w:t>
      </w:r>
    </w:p>
    <w:p>
      <w:pPr>
        <w:spacing w:line="276" w:lineRule="auto" w:before="20" w:after="20"/>
        <w:ind w:left="432" w:hanging="432"/>
        <w:jc w:val="both"/>
      </w:pPr>
      <w:r>
        <w:rPr>
          <w:rFonts w:ascii="Times New Roman" w:hAnsi="Times New Roman"/>
          <w:color w:val="000000"/>
          <w:sz w:val="22"/>
        </w:rPr>
        <w:t>58.  By November 2022, as Pinnacle's temporary worker roster grew in accordance with Pinnacle's normal business operations and projected growth, the TalentBridge platform began experiencing regular and severe latency problems that materially impaired Pinnacle's ability to use the platform for its intended purpose.</w:t>
      </w:r>
    </w:p>
    <w:p>
      <w:pPr>
        <w:spacing w:line="276" w:lineRule="auto" w:before="20" w:after="20"/>
        <w:ind w:left="432" w:hanging="432"/>
        <w:jc w:val="both"/>
      </w:pPr>
      <w:r>
        <w:rPr>
          <w:rFonts w:ascii="Times New Roman" w:hAnsi="Times New Roman"/>
          <w:color w:val="000000"/>
          <w:sz w:val="22"/>
        </w:rPr>
        <w:t>59.  Specifically, the TalentBridge system could not handle more than approximately 4,000 concurrent temporary worker records without significant performance degradation, including response times that exceeded several seconds per transaction and frequent timeouts. This performance ceiling of approximately 4,000 concurrent records was far below the 15,000 concurrent records with "sub-second latency" represented in the SOW Capabilities Document (Exhibit B).</w:t>
      </w:r>
    </w:p>
    <w:p>
      <w:pPr>
        <w:spacing w:line="276" w:lineRule="auto" w:before="20" w:after="20"/>
        <w:ind w:left="432" w:hanging="432"/>
        <w:jc w:val="both"/>
      </w:pPr>
      <w:r>
        <w:rPr>
          <w:rFonts w:ascii="Times New Roman" w:hAnsi="Times New Roman"/>
          <w:color w:val="000000"/>
          <w:sz w:val="22"/>
        </w:rPr>
        <w:t>60.  The 4,000-record limitation represented a performance shortfall of approximately 73% from the capability DataCore had represented. The platform's actual capacity was roughly one-quarter of what had been promised.</w:t>
      </w:r>
    </w:p>
    <w:p>
      <w:pPr>
        <w:spacing w:line="276" w:lineRule="auto" w:before="20" w:after="20"/>
        <w:ind w:left="432" w:hanging="432"/>
        <w:jc w:val="both"/>
      </w:pPr>
      <w:r>
        <w:rPr>
          <w:rFonts w:ascii="Times New Roman" w:hAnsi="Times New Roman"/>
          <w:color w:val="000000"/>
          <w:sz w:val="22"/>
        </w:rPr>
        <w:t>61.  The latency problems materially impaired Pinnacle's ability to use TalentBridge for its intended purpose — managing its growing temporary workforce. The system failures caused delays in applicant processing, scheduling errors, and inaccurate time-and-attendance data. Pinnacle's staff was forced to implement costly and time-consuming manual workarounds to maintain operational continuity for Pinnacle's clients.</w:t>
      </w:r>
    </w:p>
    <w:p>
      <w:pPr>
        <w:spacing w:line="276" w:lineRule="auto" w:before="0" w:after="120"/>
        <w:jc w:val="both"/>
      </w:pPr>
      <w:r>
        <w:rPr>
          <w:rFonts w:ascii="Times New Roman" w:hAnsi="Times New Roman"/>
          <w:b/>
          <w:color w:val="000000"/>
          <w:sz w:val="22"/>
        </w:rPr>
        <w:t>Pinnacle's Notice and DataCore's Acknowledgment</w:t>
      </w:r>
    </w:p>
    <w:p>
      <w:pPr>
        <w:spacing w:line="276" w:lineRule="auto" w:before="20" w:after="20"/>
        <w:ind w:left="432" w:hanging="432"/>
        <w:jc w:val="both"/>
      </w:pPr>
      <w:r>
        <w:rPr>
          <w:rFonts w:ascii="Times New Roman" w:hAnsi="Times New Roman"/>
          <w:color w:val="000000"/>
          <w:sz w:val="22"/>
        </w:rPr>
        <w:t xml:space="preserve">62.  On December 5, 2022, Pinnacle, through its CTO Cheryl Nance, sent a formal written notice to DataCore identifying both the ADP integration failure and the latency and concurrent record processing problems, and demanding that DataCore cure the deficiencies within thirty (30) days. A true and correct copy of this notice letter is attached hereto as </w:t>
      </w:r>
      <w:r>
        <w:rPr>
          <w:rFonts w:ascii="Times New Roman" w:hAnsi="Times New Roman"/>
          <w:b/>
          <w:color w:val="000000"/>
          <w:sz w:val="22"/>
        </w:rPr>
        <w:t>Exhibit E</w:t>
      </w:r>
      <w:r>
        <w:rPr>
          <w:rFonts w:ascii="Times New Roman" w:hAnsi="Times New Roman"/>
          <w:color w:val="000000"/>
          <w:sz w:val="22"/>
        </w:rPr>
        <w:t xml:space="preserve"> and is incorporated herein by reference.</w:t>
      </w:r>
    </w:p>
    <w:p>
      <w:pPr>
        <w:spacing w:line="276" w:lineRule="auto" w:before="20" w:after="20"/>
        <w:ind w:left="432" w:hanging="432"/>
        <w:jc w:val="both"/>
      </w:pPr>
      <w:r>
        <w:rPr>
          <w:rFonts w:ascii="Times New Roman" w:hAnsi="Times New Roman"/>
          <w:color w:val="000000"/>
          <w:sz w:val="22"/>
        </w:rPr>
        <w:t xml:space="preserve">63.  On January 12, 2023, DataCore's Chief Technology Officer, Anil Subramanian, sent an email to Cheryl Nance in response to Pinnacle's December 5, 2022 notice. In that email, Subramanian acknowledged: "We are aware that TalentBridge currently has performance limitations at scale that do not meet the capabilities described during the sales process. We are working on a patch that we expect to deploy within the next 60–90 days that should significantly improve throughput." A true and correct copy of this email is attached hereto as </w:t>
      </w:r>
      <w:r>
        <w:rPr>
          <w:rFonts w:ascii="Times New Roman" w:hAnsi="Times New Roman"/>
          <w:b/>
          <w:color w:val="000000"/>
          <w:sz w:val="22"/>
        </w:rPr>
        <w:t>Exhibit D</w:t>
      </w:r>
      <w:r>
        <w:rPr>
          <w:rFonts w:ascii="Times New Roman" w:hAnsi="Times New Roman"/>
          <w:color w:val="000000"/>
          <w:sz w:val="22"/>
        </w:rPr>
        <w:t xml:space="preserve"> and is incorporated herein by reference.</w:t>
      </w:r>
    </w:p>
    <w:p>
      <w:pPr>
        <w:spacing w:line="276" w:lineRule="auto" w:before="20" w:after="20"/>
        <w:ind w:left="432" w:hanging="432"/>
        <w:jc w:val="both"/>
      </w:pPr>
      <w:r>
        <w:rPr>
          <w:rFonts w:ascii="Times New Roman" w:hAnsi="Times New Roman"/>
          <w:color w:val="000000"/>
          <w:sz w:val="22"/>
        </w:rPr>
        <w:t>64.  Subramanian's January 12, 2023 email constitutes an admission by a senior DataCore executive — its Chief Technology Officer — that TalentBridge's actual performance did not meet "the capabilities described during the sales process." This admission confirms that the pre-contractual representations regarding TalentBridge's capabilities were false and that DataCore was aware of the discrepancy between what was represented and what was delivered.</w:t>
      </w:r>
    </w:p>
    <w:p>
      <w:pPr>
        <w:spacing w:line="276" w:lineRule="auto" w:before="20" w:after="20"/>
        <w:ind w:left="432" w:hanging="432"/>
        <w:jc w:val="both"/>
      </w:pPr>
      <w:r>
        <w:rPr>
          <w:rFonts w:ascii="Times New Roman" w:hAnsi="Times New Roman"/>
          <w:color w:val="000000"/>
          <w:sz w:val="22"/>
        </w:rPr>
        <w:t>65.  In reliance on DataCore's express commitment to deliver a remedial patch, Pinnacle continued using the TalentBridge platform and maintained its license payments while awaiting the promised fix. On April 15, 2023, DataCore delivered a software patch that it represented would resolve the latency and concurrent record processing issues.</w:t>
      </w:r>
    </w:p>
    <w:p>
      <w:pPr>
        <w:spacing w:line="276" w:lineRule="auto" w:before="20" w:after="20"/>
        <w:ind w:left="432" w:hanging="432"/>
        <w:jc w:val="both"/>
      </w:pPr>
      <w:r>
        <w:rPr>
          <w:rFonts w:ascii="Times New Roman" w:hAnsi="Times New Roman"/>
          <w:color w:val="000000"/>
          <w:sz w:val="22"/>
        </w:rPr>
        <w:t>66.  The April 15, 2023 patch improved TalentBridge's performance to approximately 7,500 concurrent records — an improvement from the pre-patch capacity of approximately 4,000 records, but still only half of the 15,000 concurrent records with sub-second latency that DataCore had represented in the SOW Capabilities Document (Exhibit B). The patch did not resolve the ADP integration issue. Despite additional communications with DataCore, no further patches or fixes were provided, and the platform's performance remained materially deficient from what DataCore had represented.</w:t>
      </w:r>
    </w:p>
    <w:p>
      <w:pPr>
        <w:keepNext/>
        <w:spacing w:line="276" w:lineRule="auto" w:before="200" w:after="80"/>
        <w:ind w:left="0"/>
      </w:pPr>
      <w:r>
        <w:rPr>
          <w:rFonts w:ascii="Times New Roman" w:hAnsi="Times New Roman"/>
          <w:b/>
          <w:color w:val="000000"/>
          <w:sz w:val="22"/>
        </w:rPr>
        <w:t>E. Pinnacle's Continued Payments, Mitigation Efforts, and Termination</w:t>
      </w:r>
    </w:p>
    <w:p>
      <w:pPr>
        <w:spacing w:line="276" w:lineRule="auto" w:before="20" w:after="20"/>
        <w:ind w:left="432" w:hanging="432"/>
        <w:jc w:val="both"/>
      </w:pPr>
      <w:r>
        <w:rPr>
          <w:rFonts w:ascii="Times New Roman" w:hAnsi="Times New Roman"/>
          <w:color w:val="000000"/>
          <w:sz w:val="22"/>
        </w:rPr>
        <w:t>67.  Despite the performance failures described above, Pinnacle continued to pay the monthly license fees of $36,000 per month from the commencement of the subscription through December 2023. This period comprised approximately twenty-one (21) months of license payments, totaling $756,000 in license fees. Together with the $175,000 implementation fee, Pinnacle paid DataCore a total of $931,000 under the MSA.</w:t>
      </w:r>
    </w:p>
    <w:p>
      <w:pPr>
        <w:spacing w:line="276" w:lineRule="auto" w:before="20" w:after="20"/>
        <w:ind w:left="432" w:hanging="432"/>
        <w:jc w:val="both"/>
      </w:pPr>
      <w:r>
        <w:rPr>
          <w:rFonts w:ascii="Times New Roman" w:hAnsi="Times New Roman"/>
          <w:color w:val="000000"/>
          <w:sz w:val="22"/>
        </w:rPr>
        <w:t>68.  Pinnacle continued making payments during this period not as an acceptance of or acquiescence to DataCore's deficient performance, but rather: (a) in reliance on DataCore's express promises to cure the deficiencies, including the January 12, 2023 commitment by CTO Anil Subramanian to deliver a remedial patch; (b) to avoid triggering a payment default under the MSA that could have resulted in immediate termination and loss of access to the TalentBridge platform while Pinnacle sought and transitioned to alternative solutions; (c) to mitigate damages by preserving continuity of operations for Pinnacle's staffing clients, who depended on uninterrupted service; and (d) under express reservation of all rights, as communicated to DataCore in writing on multiple occasions, including in the December 5, 2022 notice letter (Exhibit E).</w:t>
      </w:r>
    </w:p>
    <w:p>
      <w:pPr>
        <w:spacing w:line="276" w:lineRule="auto" w:before="20" w:after="20"/>
        <w:ind w:left="432" w:hanging="432"/>
        <w:jc w:val="both"/>
      </w:pPr>
      <w:r>
        <w:rPr>
          <w:rFonts w:ascii="Times New Roman" w:hAnsi="Times New Roman"/>
          <w:color w:val="000000"/>
          <w:sz w:val="22"/>
        </w:rPr>
        <w:t>69.  During this period, Pinnacle's lender, Harmon Ridge Capital, expressed concern that the ongoing technology failures and associated operational disruptions could impair Pinnacle's ability to comply with financial and operational covenants in Pinnacle's existing credit facility, creating additional business risk and urgency for Pinnacle.</w:t>
      </w:r>
    </w:p>
    <w:p>
      <w:pPr>
        <w:spacing w:line="276" w:lineRule="auto" w:before="20" w:after="20"/>
        <w:ind w:left="432" w:hanging="432"/>
        <w:jc w:val="both"/>
      </w:pPr>
      <w:r>
        <w:rPr>
          <w:rFonts w:ascii="Times New Roman" w:hAnsi="Times New Roman"/>
          <w:color w:val="000000"/>
          <w:sz w:val="22"/>
        </w:rPr>
        <w:t>70.  Pinnacle retained Greenleaf Accounting Group, an independent accounting and consulting firm, to quantify the business losses and additional costs attributable to DataCore's breach and misrepresentations, including the costs of manual workarounds, lost productivity, and the procurement and implementation of a replacement workforce management platform.</w:t>
      </w:r>
    </w:p>
    <w:p>
      <w:pPr>
        <w:spacing w:line="276" w:lineRule="auto" w:before="20" w:after="20"/>
        <w:ind w:left="432" w:hanging="432"/>
        <w:jc w:val="both"/>
      </w:pPr>
      <w:r>
        <w:rPr>
          <w:rFonts w:ascii="Times New Roman" w:hAnsi="Times New Roman"/>
          <w:color w:val="000000"/>
          <w:sz w:val="22"/>
        </w:rPr>
        <w:t>71.  On January 1, 2024, after exhausting reasonable efforts to obtain a cure from DataCore, Pinnacle ceased making monthly license fee payments to DataCore.</w:t>
      </w:r>
    </w:p>
    <w:p>
      <w:pPr>
        <w:spacing w:line="276" w:lineRule="auto" w:before="20" w:after="20"/>
        <w:ind w:left="432" w:hanging="432"/>
        <w:jc w:val="both"/>
      </w:pPr>
      <w:r>
        <w:rPr>
          <w:rFonts w:ascii="Times New Roman" w:hAnsi="Times New Roman"/>
          <w:color w:val="000000"/>
          <w:sz w:val="22"/>
        </w:rPr>
        <w:t xml:space="preserve">72.  On January 15, 2024, Pinnacle, through its counsel, sent DataCore a formal written notice of termination of the MSA, citing DataCore's material, uncured breaches of the MSA and the fraudulent misrepresentations that induced Pinnacle to enter into the agreement. A true and correct copy of this termination notice is attached hereto as </w:t>
      </w:r>
      <w:r>
        <w:rPr>
          <w:rFonts w:ascii="Times New Roman" w:hAnsi="Times New Roman"/>
          <w:b/>
          <w:color w:val="000000"/>
          <w:sz w:val="22"/>
        </w:rPr>
        <w:t>Exhibit F</w:t>
      </w:r>
      <w:r>
        <w:rPr>
          <w:rFonts w:ascii="Times New Roman" w:hAnsi="Times New Roman"/>
          <w:color w:val="000000"/>
          <w:sz w:val="22"/>
        </w:rPr>
        <w:t xml:space="preserve"> and is incorporated herein by reference.</w:t>
      </w:r>
    </w:p>
    <w:p>
      <w:pPr>
        <w:keepNext/>
        <w:spacing w:line="276" w:lineRule="auto" w:before="360" w:after="120"/>
        <w:jc w:val="left"/>
      </w:pPr>
      <w:r>
        <w:rPr>
          <w:rFonts w:ascii="Times New Roman" w:hAnsi="Times New Roman"/>
          <w:b/>
          <w:color w:val="000000"/>
          <w:sz w:val="22"/>
          <w:u w:val="single"/>
        </w:rPr>
        <w:t>V. COUNT I — BREACH OF CONTRACT</w:t>
      </w:r>
    </w:p>
    <w:p>
      <w:pPr>
        <w:spacing w:line="276" w:lineRule="auto" w:before="20" w:after="20"/>
        <w:ind w:left="432" w:hanging="432"/>
        <w:jc w:val="both"/>
      </w:pPr>
      <w:r>
        <w:rPr>
          <w:rFonts w:ascii="Times New Roman" w:hAnsi="Times New Roman"/>
          <w:color w:val="000000"/>
          <w:sz w:val="22"/>
        </w:rPr>
        <w:t>73.  Pinnacle incorporates by reference all preceding paragraphs as though fully set forth herein.</w:t>
      </w:r>
    </w:p>
    <w:p>
      <w:pPr>
        <w:spacing w:line="276" w:lineRule="auto" w:before="20" w:after="20"/>
        <w:ind w:left="432" w:hanging="432"/>
        <w:jc w:val="both"/>
      </w:pPr>
      <w:r>
        <w:rPr>
          <w:rFonts w:ascii="Times New Roman" w:hAnsi="Times New Roman"/>
          <w:color w:val="000000"/>
          <w:sz w:val="22"/>
        </w:rPr>
        <w:t>74.  On March 15, 2022, Pinnacle and DataCore entered into a valid, binding, and enforceable Master Services Agreement (Exhibit C) for the license, implementation, and ongoing use of the TalentBridge applicant tracking and workforce management platform.</w:t>
      </w:r>
    </w:p>
    <w:p>
      <w:pPr>
        <w:spacing w:line="276" w:lineRule="auto" w:before="20" w:after="20"/>
        <w:ind w:left="432" w:hanging="432"/>
        <w:jc w:val="both"/>
      </w:pPr>
      <w:r>
        <w:rPr>
          <w:rFonts w:ascii="Times New Roman" w:hAnsi="Times New Roman"/>
          <w:color w:val="000000"/>
          <w:sz w:val="22"/>
        </w:rPr>
        <w:t>75.  Pinnacle performed its obligations under the MSA, including making timely payments totaling $931,000 in implementation fees and license fees, cooperating with DataCore's implementation team, and providing DataCore with reasonable notice and opportunity to cure the deficiencies identified herein.</w:t>
      </w:r>
    </w:p>
    <w:p>
      <w:pPr>
        <w:spacing w:line="276" w:lineRule="auto" w:before="20" w:after="20"/>
        <w:ind w:left="432" w:hanging="432"/>
        <w:jc w:val="both"/>
      </w:pPr>
      <w:r>
        <w:rPr>
          <w:rFonts w:ascii="Times New Roman" w:hAnsi="Times New Roman"/>
          <w:color w:val="000000"/>
          <w:sz w:val="22"/>
        </w:rPr>
        <w:t>76.  DataCore breached the MSA by, among other things: (a) failing to deliver a TalentBridge platform that integrated with ADP without custom configuration, as the platform was described and sold to Pinnacle; (b) failing to deliver a platform capable of processing the volume of concurrent temporary worker records necessary for Pinnacle's operations, as represented during the sales process and reasonably expected based on the contracted-for platform; (c) delivering a product that was materially deficient from what was represented, contracted for, and paid for by Pinnacle; and (d) failing to cure the material deficiencies despite formal notice and an extended opportunity to do so.</w:t>
      </w:r>
    </w:p>
    <w:p>
      <w:pPr>
        <w:spacing w:line="276" w:lineRule="auto" w:before="20" w:after="20"/>
        <w:ind w:left="432" w:hanging="432"/>
        <w:jc w:val="both"/>
      </w:pPr>
      <w:r>
        <w:rPr>
          <w:rFonts w:ascii="Times New Roman" w:hAnsi="Times New Roman"/>
          <w:color w:val="000000"/>
          <w:sz w:val="22"/>
        </w:rPr>
        <w:t>77.  DataCore's breaches were material and were not cured despite Pinnacle's formal written notice of the deficiencies on December 5, 2022 (Exhibit E), DataCore's own acknowledgment of the deficiencies on January 12, 2023 (Exhibit D), and DataCore's attempted remediation through the April 15, 2023 software patch, which proved inadequate to bring the TalentBridge platform into conformity with the represented capabilities.</w:t>
      </w:r>
    </w:p>
    <w:p>
      <w:pPr>
        <w:spacing w:line="276" w:lineRule="auto" w:before="20" w:after="20"/>
        <w:ind w:left="432" w:hanging="432"/>
        <w:jc w:val="both"/>
      </w:pPr>
      <w:r>
        <w:rPr>
          <w:rFonts w:ascii="Times New Roman" w:hAnsi="Times New Roman"/>
          <w:color w:val="000000"/>
          <w:sz w:val="22"/>
        </w:rPr>
        <w:t>78.  Pinnacle was excused from further performance under the MSA as a result of DataCore's material, uncured breaches. Pinnacle's termination of the MSA on January 15, 2024 (Exhibit F) was justified by DataCore's prior material breaches.</w:t>
      </w:r>
    </w:p>
    <w:p>
      <w:pPr>
        <w:spacing w:line="276" w:lineRule="auto" w:before="20" w:after="20"/>
        <w:ind w:left="432" w:hanging="432"/>
        <w:jc w:val="both"/>
      </w:pPr>
      <w:r>
        <w:rPr>
          <w:rFonts w:ascii="Times New Roman" w:hAnsi="Times New Roman"/>
          <w:color w:val="000000"/>
          <w:sz w:val="22"/>
        </w:rPr>
        <w:t>79.  As a direct and proximate result of DataCore's breaches of the MSA, Pinnacle has suffered damages including, but not limited to: (a) $931,000 in fees paid for a product that was not as represented; (b) $85,000 in additional costs quoted for ADP integration that should have been included as a standard feature of the platform; (c) costs of manual workarounds necessitated by the TalentBridge system's performance failures; (d) costs of procuring and implementing a replacement workforce management platform; and (e) lost business and revenue resulting from operational inefficiencies and service disruptions caused by the system failures.</w:t>
      </w:r>
    </w:p>
    <w:p>
      <w:pPr>
        <w:spacing w:line="276" w:lineRule="auto" w:before="20" w:after="20"/>
        <w:ind w:left="432" w:hanging="432"/>
        <w:jc w:val="both"/>
      </w:pPr>
      <w:r>
        <w:rPr>
          <w:rFonts w:ascii="Times New Roman" w:hAnsi="Times New Roman"/>
          <w:color w:val="000000"/>
          <w:sz w:val="22"/>
        </w:rPr>
        <w:t>80.  Pinnacle's total actual damages from DataCore's breach of contract exceed $2,335,000 — the full contract value — including reliance damages of at least $931,000 representing fees paid for a non-conforming product.</w:t>
      </w:r>
    </w:p>
    <w:p>
      <w:pPr>
        <w:spacing w:line="276" w:lineRule="auto" w:before="20" w:after="20"/>
        <w:ind w:left="432" w:hanging="432"/>
        <w:jc w:val="both"/>
      </w:pPr>
      <w:r>
        <w:rPr>
          <w:rFonts w:ascii="Times New Roman" w:hAnsi="Times New Roman"/>
          <w:color w:val="000000"/>
          <w:sz w:val="22"/>
        </w:rPr>
        <w:t>81.  Pinnacle further suffered consequential damages in the amount of approximately $1,200,000, representing the cost of the replacement workforce management system and lost business attributable to DataCore's breaches, as quantified by Greenleaf Accounting Group.</w:t>
      </w:r>
    </w:p>
    <w:p>
      <w:pPr>
        <w:spacing w:line="276" w:lineRule="auto" w:before="20" w:after="20"/>
        <w:ind w:left="432" w:hanging="432"/>
        <w:jc w:val="both"/>
      </w:pPr>
      <w:r>
        <w:rPr>
          <w:rFonts w:ascii="Times New Roman" w:hAnsi="Times New Roman"/>
          <w:color w:val="000000"/>
          <w:sz w:val="22"/>
        </w:rPr>
        <w:t>82.  Pinnacle acknowledges that Section 11.1 of the MSA purports to cap DataCore's total aggregate liability at the fees paid by Pinnacle during the twelve months preceding the event giving rise to the claim (i.e., approximately $432,000), and that Section 11.2 of the MSA purports to waive consequential damages. Pinnacle reserves all rights to challenge the enforceability of these provisions, including but not limited to the argument that such limitations are unenforceable to the extent they would effectively immunize DataCore for its own material and willful breaches, or to the extent they are unconscionable under the circumstances.</w:t>
      </w:r>
    </w:p>
    <w:p>
      <w:pPr>
        <w:spacing w:line="276" w:lineRule="auto" w:before="20" w:after="20"/>
        <w:ind w:left="432" w:hanging="432"/>
        <w:jc w:val="both"/>
      </w:pPr>
      <w:r>
        <w:rPr>
          <w:rFonts w:ascii="Times New Roman" w:hAnsi="Times New Roman"/>
          <w:color w:val="000000"/>
          <w:sz w:val="22"/>
        </w:rPr>
        <w:t>83.  The contractual limitations period set forth in Section 9.4 of the MSA does not bar Pinnacle's breach of contract claim. Pinnacle did not and could not have known the full extent of DataCore's breaches until, at the earliest, April 15, 2023, when DataCore's software patch proved inadequate to cure the latency and concurrent record processing deficiency. Prior to that date, DataCore had expressly acknowledged the problem and committed to delivering a fix, and Pinnacle reasonably relied on that commitment. Even assuming an earlier discovery date, the complaint was filed on March 22, 2024, within one year of the April 15, 2023 patch delivery. Pinnacle further reserves all rights to challenge the enforceability and applicability of Section 9.4.</w:t>
      </w:r>
    </w:p>
    <w:p>
      <w:pPr>
        <w:spacing w:line="276" w:lineRule="auto" w:before="20" w:after="20"/>
        <w:ind w:left="432" w:hanging="432"/>
        <w:jc w:val="both"/>
      </w:pPr>
      <w:r>
        <w:rPr>
          <w:rFonts w:ascii="Times New Roman" w:hAnsi="Times New Roman"/>
          <w:color w:val="000000"/>
          <w:sz w:val="22"/>
        </w:rPr>
        <w:t>84.  Pinnacle seeks compensatory damages in an amount to be determined at trial, plus pre-judgment and post-judgment interest at the applicable rate, and such other and further relief as the Court deems just and proper.</w:t>
      </w:r>
    </w:p>
    <w:p>
      <w:pPr>
        <w:keepNext/>
        <w:spacing w:line="276" w:lineRule="auto" w:before="360" w:after="120"/>
        <w:jc w:val="left"/>
      </w:pPr>
      <w:r>
        <w:rPr>
          <w:rFonts w:ascii="Times New Roman" w:hAnsi="Times New Roman"/>
          <w:b/>
          <w:color w:val="000000"/>
          <w:sz w:val="22"/>
          <w:u w:val="single"/>
        </w:rPr>
        <w:t>VI. COUNT II — FRAUDULENT INDUCEMENT</w:t>
      </w:r>
    </w:p>
    <w:p>
      <w:pPr>
        <w:spacing w:line="276" w:lineRule="auto" w:before="20" w:after="20"/>
        <w:ind w:left="432" w:hanging="432"/>
        <w:jc w:val="both"/>
      </w:pPr>
      <w:r>
        <w:rPr>
          <w:rFonts w:ascii="Times New Roman" w:hAnsi="Times New Roman"/>
          <w:color w:val="000000"/>
          <w:sz w:val="22"/>
        </w:rPr>
        <w:t>85.  Pinnacle incorporates by reference all preceding paragraphs as though fully set forth herein.</w:t>
      </w:r>
    </w:p>
    <w:p>
      <w:pPr>
        <w:spacing w:line="276" w:lineRule="auto" w:before="20" w:after="20"/>
        <w:ind w:left="432" w:hanging="432"/>
        <w:jc w:val="both"/>
      </w:pPr>
      <w:r>
        <w:rPr>
          <w:rFonts w:ascii="Times New Roman" w:hAnsi="Times New Roman"/>
          <w:color w:val="000000"/>
          <w:sz w:val="22"/>
        </w:rPr>
        <w:t>86.  Prior to the execution of the MSA, DataCore, through its employees Victor Sousa (Vice President of Sales for the Southeast Region) and Derek Baines (Sales Engineer), made the following material misrepresentations of fact to Pinnacle for the purpose of inducing Pinnacle to enter into the MSA:</w:t>
      </w:r>
    </w:p>
    <w:p>
      <w:pPr>
        <w:spacing w:line="276" w:lineRule="auto" w:before="20" w:after="20"/>
        <w:ind w:left="432" w:hanging="432"/>
        <w:jc w:val="both"/>
      </w:pPr>
      <w:r>
        <w:rPr>
          <w:rFonts w:ascii="Times New Roman" w:hAnsi="Times New Roman"/>
          <w:color w:val="000000"/>
          <w:sz w:val="22"/>
        </w:rPr>
        <w:t xml:space="preserve">87.  </w:t>
      </w:r>
      <w:r>
        <w:rPr>
          <w:rFonts w:ascii="Times New Roman" w:hAnsi="Times New Roman"/>
          <w:i/>
          <w:color w:val="000000"/>
          <w:sz w:val="22"/>
        </w:rPr>
        <w:t>First Misrepresentation — ADP Integration</w:t>
      </w:r>
      <w:r>
        <w:rPr>
          <w:rFonts w:ascii="Times New Roman" w:hAnsi="Times New Roman"/>
          <w:color w:val="000000"/>
          <w:sz w:val="22"/>
        </w:rPr>
        <w:t>: On January 10, 2022, Victor Sousa represented via email sent from DataCore's Atlanta, Georgia office (100 Techwood Drive NW, Atlanta, GA 30318) to Pinnacle's CTO, Cheryl Nance, that TalentBridge "fully integrates with all major payroll platforms, including Paychex, ADP, and Gusto, out of the box with zero custom configuration." (Exhibit A.) This representation was false. TalentBridge did not integrate with ADP out of the box and required approximately $85,000 in custom API development to achieve such integration.</w:t>
      </w:r>
    </w:p>
    <w:p>
      <w:pPr>
        <w:spacing w:line="276" w:lineRule="auto" w:before="20" w:after="20"/>
        <w:ind w:left="432" w:hanging="432"/>
        <w:jc w:val="both"/>
      </w:pPr>
      <w:r>
        <w:rPr>
          <w:rFonts w:ascii="Times New Roman" w:hAnsi="Times New Roman"/>
          <w:color w:val="000000"/>
          <w:sz w:val="22"/>
        </w:rPr>
        <w:t xml:space="preserve">88.  </w:t>
      </w:r>
      <w:r>
        <w:rPr>
          <w:rFonts w:ascii="Times New Roman" w:hAnsi="Times New Roman"/>
          <w:i/>
          <w:color w:val="000000"/>
          <w:sz w:val="22"/>
        </w:rPr>
        <w:t>Second Misrepresentation — Product Demonstrations</w:t>
      </w:r>
      <w:r>
        <w:rPr>
          <w:rFonts w:ascii="Times New Roman" w:hAnsi="Times New Roman"/>
          <w:color w:val="000000"/>
          <w:sz w:val="22"/>
        </w:rPr>
        <w:t>: On January 18, 2022, and February 7, 2022, Derek Baines conducted live product demonstrations of the TalentBridge platform in which ADP integration was shown as seamless and fully functional in a staging environment that, upon information and belief, did not accurately reflect the actual capabilities of the TalentBridge production platform. These demonstrations were designed to and did create the false impression that ADP integration was a built-in, production-ready feature.</w:t>
      </w:r>
    </w:p>
    <w:p>
      <w:pPr>
        <w:spacing w:line="276" w:lineRule="auto" w:before="20" w:after="20"/>
        <w:ind w:left="432" w:hanging="432"/>
        <w:jc w:val="both"/>
      </w:pPr>
      <w:r>
        <w:rPr>
          <w:rFonts w:ascii="Times New Roman" w:hAnsi="Times New Roman"/>
          <w:color w:val="000000"/>
          <w:sz w:val="22"/>
        </w:rPr>
        <w:t xml:space="preserve">89.  </w:t>
      </w:r>
      <w:r>
        <w:rPr>
          <w:rFonts w:ascii="Times New Roman" w:hAnsi="Times New Roman"/>
          <w:i/>
          <w:color w:val="000000"/>
          <w:sz w:val="22"/>
        </w:rPr>
        <w:t>Third Misrepresentation — Marketing Brochure</w:t>
      </w:r>
      <w:r>
        <w:rPr>
          <w:rFonts w:ascii="Times New Roman" w:hAnsi="Times New Roman"/>
          <w:color w:val="000000"/>
          <w:sz w:val="22"/>
        </w:rPr>
        <w:t>: DataCore's marketing brochure (Rev. 11/2021), provided to Pinnacle by Sousa during in-person meetings in Atlanta, Georgia, stated that TalentBridge offers "native integration with 40+ payroll and HRIS platforms," with ADP specifically listed among the supported platforms. This representation was false to the extent it suggested that ADP integration was a native, out-of-the-box feature requiring no custom development.</w:t>
      </w:r>
    </w:p>
    <w:p>
      <w:pPr>
        <w:spacing w:line="276" w:lineRule="auto" w:before="20" w:after="20"/>
        <w:ind w:left="432" w:hanging="432"/>
        <w:jc w:val="both"/>
      </w:pPr>
      <w:r>
        <w:rPr>
          <w:rFonts w:ascii="Times New Roman" w:hAnsi="Times New Roman"/>
          <w:color w:val="000000"/>
          <w:sz w:val="22"/>
        </w:rPr>
        <w:t xml:space="preserve">90.  </w:t>
      </w:r>
      <w:r>
        <w:rPr>
          <w:rFonts w:ascii="Times New Roman" w:hAnsi="Times New Roman"/>
          <w:i/>
          <w:color w:val="000000"/>
          <w:sz w:val="22"/>
        </w:rPr>
        <w:t>Fourth Misrepresentation — Concurrent Record Capacity</w:t>
      </w:r>
      <w:r>
        <w:rPr>
          <w:rFonts w:ascii="Times New Roman" w:hAnsi="Times New Roman"/>
          <w:color w:val="000000"/>
          <w:sz w:val="22"/>
        </w:rPr>
        <w:t>: On February 14, 2022, Victor Sousa transmitted via email from DataCore's Atlanta, Georgia office the "Statement of Work Capabilities" document (Exhibit B) to Cheryl Nance. This document asserted that TalentBridge would process "up to 15,000 concurrent temporary worker records with sub-second latency." This representation was false. The platform could not handle more than approximately 4,000 concurrent records without significant degradation and, even after a patch, could only handle approximately 7,500 — half of the represented capacity. The SOW Capabilities Document was not incorporated into the MSA and was a separate, standalone pre-contractual document.</w:t>
      </w:r>
    </w:p>
    <w:p>
      <w:pPr>
        <w:spacing w:line="276" w:lineRule="auto" w:before="20" w:after="20"/>
        <w:ind w:left="432" w:hanging="432"/>
        <w:jc w:val="both"/>
      </w:pPr>
      <w:r>
        <w:rPr>
          <w:rFonts w:ascii="Times New Roman" w:hAnsi="Times New Roman"/>
          <w:color w:val="000000"/>
          <w:sz w:val="22"/>
        </w:rPr>
        <w:t>91.  Each of the foregoing representations was false when made. TalentBridge did not integrate with ADP out of the box; such integration required extensive custom API development at an additional cost of $85,000 that was never disclosed during the sales process. TalentBridge could not process anywhere near 15,000 concurrent temporary worker records with sub-second latency; the system experienced severe performance degradation at approximately 4,000 concurrent records and, even after remediation, could only handle approximately 7,500 concurrent records.</w:t>
      </w:r>
    </w:p>
    <w:p>
      <w:pPr>
        <w:spacing w:line="276" w:lineRule="auto" w:before="20" w:after="20"/>
        <w:ind w:left="432" w:hanging="432"/>
        <w:jc w:val="both"/>
      </w:pPr>
      <w:r>
        <w:rPr>
          <w:rFonts w:ascii="Times New Roman" w:hAnsi="Times New Roman"/>
          <w:color w:val="000000"/>
          <w:sz w:val="22"/>
        </w:rPr>
        <w:t>92.  DataCore knew, or should have known, that the representations were false at the time they were made. DataCore was the developer and operator of the TalentBridge platform and had unique knowledge of its actual capabilities and limitations. As DataCore's own CTO, Anil Subramanian, subsequently admitted on January 12, 2023, TalentBridge had "performance limitations at scale that do not meet the capabilities described during the sales process." (Exhibit D.) This admission by the individual responsible for DataCore's technology confirms that the representations exceeded the platform's actual capabilities.</w:t>
      </w:r>
    </w:p>
    <w:p>
      <w:pPr>
        <w:spacing w:line="276" w:lineRule="auto" w:before="20" w:after="20"/>
        <w:ind w:left="432" w:hanging="432"/>
        <w:jc w:val="both"/>
      </w:pPr>
      <w:r>
        <w:rPr>
          <w:rFonts w:ascii="Times New Roman" w:hAnsi="Times New Roman"/>
          <w:color w:val="000000"/>
          <w:sz w:val="22"/>
        </w:rPr>
        <w:t>93.  DataCore made these representations with the intent to induce Pinnacle to enter into the MSA and commit $2,335,000 to the TalentBridge platform. Sousa and Baines were compensated sales professionals whose objective was to close the Pinnacle deal, and the representations were made in the context of an active sales process directed at persuading Pinnacle to select TalentBridge over competing platforms.</w:t>
      </w:r>
    </w:p>
    <w:p>
      <w:pPr>
        <w:spacing w:line="276" w:lineRule="auto" w:before="20" w:after="20"/>
        <w:ind w:left="432" w:hanging="432"/>
        <w:jc w:val="both"/>
      </w:pPr>
      <w:r>
        <w:rPr>
          <w:rFonts w:ascii="Times New Roman" w:hAnsi="Times New Roman"/>
          <w:color w:val="000000"/>
          <w:sz w:val="22"/>
        </w:rPr>
        <w:t>94.  Pinnacle justifiably relied on DataCore's representations in deciding to enter into the MSA. Pinnacle's CTO, Cheryl Nance, evaluated multiple competing platforms during the vendor selection process and selected TalentBridge specifically because of the representations regarding seamless ADP integration and the ability to process up to 15,000 concurrent temporary worker records with sub-second latency. These two capabilities were critical to Pinnacle's operational requirements and were decisive factors in Pinnacle's selection of TalentBridge.</w:t>
      </w:r>
    </w:p>
    <w:p>
      <w:pPr>
        <w:spacing w:line="276" w:lineRule="auto" w:before="20" w:after="20"/>
        <w:ind w:left="432" w:hanging="432"/>
        <w:jc w:val="both"/>
      </w:pPr>
      <w:r>
        <w:rPr>
          <w:rFonts w:ascii="Times New Roman" w:hAnsi="Times New Roman"/>
          <w:color w:val="000000"/>
          <w:sz w:val="22"/>
        </w:rPr>
        <w:t>95.  Pinnacle's reliance was reasonable under the circumstances. The representations were made by DataCore's Vice President of Sales for the Southeast Region (Sousa) and its Sales Engineer (Baines) — individuals holding themselves out as having authority to represent DataCore's products and possessing specialized knowledge of the TalentBridge platform. The representations were specific and detailed, provided in writing via email and formal documents, and reinforced by live product demonstrations designed to show the represented capabilities in action. Pinnacle had no independent means of verifying the truth of the representations regarding the production platform's capabilities prior to implementation.</w:t>
      </w:r>
    </w:p>
    <w:p>
      <w:pPr>
        <w:spacing w:line="276" w:lineRule="auto" w:before="20" w:after="20"/>
        <w:ind w:left="432" w:hanging="432"/>
        <w:jc w:val="both"/>
      </w:pPr>
      <w:r>
        <w:rPr>
          <w:rFonts w:ascii="Times New Roman" w:hAnsi="Times New Roman"/>
          <w:color w:val="000000"/>
          <w:sz w:val="22"/>
        </w:rPr>
        <w:t>96.  But for DataCore's material misrepresentations, Pinnacle would not have entered into the MSA. Had Pinnacle known that ADP integration required $85,000 in additional custom development and that TalentBridge could not handle more than 4,000 to 7,500 concurrent records, Pinnacle would have selected a competing platform that met its requirements.</w:t>
      </w:r>
    </w:p>
    <w:p>
      <w:pPr>
        <w:spacing w:line="276" w:lineRule="auto" w:before="20" w:after="20"/>
        <w:ind w:left="432" w:hanging="432"/>
        <w:jc w:val="both"/>
      </w:pPr>
      <w:r>
        <w:rPr>
          <w:rFonts w:ascii="Times New Roman" w:hAnsi="Times New Roman"/>
          <w:color w:val="000000"/>
          <w:sz w:val="22"/>
        </w:rPr>
        <w:t>97.  The MSA's integration clause (Section 14.7) does not bar this fraudulent inducement claim. It is well established under applicable law that an integration or merger clause cannot bar a claim that a party was fraudulently induced to enter into the very contract containing the merger clause. To hold otherwise would allow a party committing fraud to immunize itself from liability through the very contract it induced by fraud.</w:t>
      </w:r>
    </w:p>
    <w:p>
      <w:pPr>
        <w:spacing w:line="276" w:lineRule="auto" w:before="20" w:after="20"/>
        <w:ind w:left="432" w:hanging="432"/>
        <w:jc w:val="both"/>
      </w:pPr>
      <w:r>
        <w:rPr>
          <w:rFonts w:ascii="Times New Roman" w:hAnsi="Times New Roman"/>
          <w:color w:val="000000"/>
          <w:sz w:val="22"/>
        </w:rPr>
        <w:t>98.  As a direct and proximate result of DataCore's fraudulent inducement, Pinnacle suffered damages including, but not limited to: $931,000 in fees paid in reliance on the false representations; costs of manual workarounds necessitated by the platform's deficiencies; costs of procuring and implementing a replacement workforce management platform; lost business and revenue resulting from operational disruptions; and loss of the benefit of the bargain Pinnacle was induced to enter.</w:t>
      </w:r>
    </w:p>
    <w:p>
      <w:pPr>
        <w:spacing w:line="276" w:lineRule="auto" w:before="20" w:after="20"/>
        <w:ind w:left="432" w:hanging="432"/>
        <w:jc w:val="both"/>
      </w:pPr>
      <w:r>
        <w:rPr>
          <w:rFonts w:ascii="Times New Roman" w:hAnsi="Times New Roman"/>
          <w:color w:val="000000"/>
          <w:sz w:val="22"/>
        </w:rPr>
        <w:t>99.  DataCore's conduct was willful, wanton, and undertaken with reckless disregard for Pinnacle's rights and interests. DataCore's sales personnel made specific, verifiable representations about the TalentBridge platform that they knew or should have known were false, for the purpose of closing a $2,335,000 sale. Such conduct entitles Pinnacle to an award of punitive damages in an amount sufficient to punish DataCore and deter similar conduct in the future.</w:t>
      </w:r>
    </w:p>
    <w:p>
      <w:pPr>
        <w:spacing w:line="276" w:lineRule="auto" w:before="20" w:after="20"/>
        <w:ind w:left="432" w:hanging="432"/>
        <w:jc w:val="both"/>
      </w:pPr>
      <w:r>
        <w:rPr>
          <w:rFonts w:ascii="Times New Roman" w:hAnsi="Times New Roman"/>
          <w:color w:val="000000"/>
          <w:sz w:val="22"/>
        </w:rPr>
        <w:t>100.  Pinnacle further seeks an award of attorneys' fees and costs incurred in prosecuting this action.</w:t>
      </w:r>
    </w:p>
    <w:p>
      <w:pPr>
        <w:keepNext/>
        <w:spacing w:line="276" w:lineRule="auto" w:before="360" w:after="120"/>
        <w:jc w:val="left"/>
      </w:pPr>
      <w:r>
        <w:rPr>
          <w:rFonts w:ascii="Times New Roman" w:hAnsi="Times New Roman"/>
          <w:b/>
          <w:color w:val="000000"/>
          <w:sz w:val="22"/>
          <w:u w:val="single"/>
        </w:rPr>
        <w:t>VII. COUNT III — NEGLIGENT MISREPRESENTATION</w:t>
      </w:r>
    </w:p>
    <w:p>
      <w:pPr>
        <w:spacing w:line="276" w:lineRule="auto" w:before="20" w:after="20"/>
        <w:ind w:left="432" w:hanging="432"/>
        <w:jc w:val="both"/>
      </w:pPr>
      <w:r>
        <w:rPr>
          <w:rFonts w:ascii="Times New Roman" w:hAnsi="Times New Roman"/>
          <w:color w:val="000000"/>
          <w:sz w:val="22"/>
        </w:rPr>
        <w:t>101.  Pinnacle incorporates by reference all preceding paragraphs as though fully set forth herein.</w:t>
      </w:r>
    </w:p>
    <w:p>
      <w:pPr>
        <w:spacing w:line="276" w:lineRule="auto" w:before="20" w:after="20"/>
        <w:ind w:left="432" w:hanging="432"/>
        <w:jc w:val="both"/>
      </w:pPr>
      <w:r>
        <w:rPr>
          <w:rFonts w:ascii="Times New Roman" w:hAnsi="Times New Roman"/>
          <w:color w:val="000000"/>
          <w:sz w:val="22"/>
        </w:rPr>
        <w:t>102.  DataCore, through its employees Victor Sousa and Derek Baines, supplied false information to Pinnacle in the course of a business transaction — namely, the marketing, sale, and licensing of the TalentBridge applicant tracking and workforce management platform.</w:t>
      </w:r>
    </w:p>
    <w:p>
      <w:pPr>
        <w:spacing w:line="276" w:lineRule="auto" w:before="20" w:after="20"/>
        <w:ind w:left="432" w:hanging="432"/>
        <w:jc w:val="both"/>
      </w:pPr>
      <w:r>
        <w:rPr>
          <w:rFonts w:ascii="Times New Roman" w:hAnsi="Times New Roman"/>
          <w:color w:val="000000"/>
          <w:sz w:val="22"/>
        </w:rPr>
        <w:t>103.  DataCore was in the business of developing, marketing, and selling software products and regularly provided information about its products' capabilities to prospective customers in the course of its commercial operations. DataCore owed a duty to Pinnacle to exercise reasonable care and competence in providing accurate and truthful information about the capabilities and performance characteristics of the TalentBridge platform.</w:t>
      </w:r>
    </w:p>
    <w:p>
      <w:pPr>
        <w:spacing w:line="276" w:lineRule="auto" w:before="20" w:after="20"/>
        <w:ind w:left="432" w:hanging="432"/>
        <w:jc w:val="both"/>
      </w:pPr>
      <w:r>
        <w:rPr>
          <w:rFonts w:ascii="Times New Roman" w:hAnsi="Times New Roman"/>
          <w:color w:val="000000"/>
          <w:sz w:val="22"/>
        </w:rPr>
        <w:t>104.  DataCore failed to exercise reasonable care in making representations to Pinnacle regarding: (a) TalentBridge's integration with ADP and other payroll platforms; (b) TalentBridge's ability to process concurrent temporary worker records at scale with sub-second latency; and (c) the accuracy and representativeness of the product demonstrations conducted for Pinnacle on January 18, 2022 and February 7, 2022.</w:t>
      </w:r>
    </w:p>
    <w:p>
      <w:pPr>
        <w:spacing w:line="276" w:lineRule="auto" w:before="20" w:after="20"/>
        <w:ind w:left="432" w:hanging="432"/>
        <w:jc w:val="both"/>
      </w:pPr>
      <w:r>
        <w:rPr>
          <w:rFonts w:ascii="Times New Roman" w:hAnsi="Times New Roman"/>
          <w:color w:val="000000"/>
          <w:sz w:val="22"/>
        </w:rPr>
        <w:t>105.  DataCore knew, or in the exercise of reasonable care should have known, that Pinnacle would rely on the representations in deciding whether to enter into the MSA and commit $2,335,000 to the TalentBridge platform. The representations were made in the context of an active sales process in which DataCore was soliciting Pinnacle's business.</w:t>
      </w:r>
    </w:p>
    <w:p>
      <w:pPr>
        <w:spacing w:line="276" w:lineRule="auto" w:before="20" w:after="20"/>
        <w:ind w:left="432" w:hanging="432"/>
        <w:jc w:val="both"/>
      </w:pPr>
      <w:r>
        <w:rPr>
          <w:rFonts w:ascii="Times New Roman" w:hAnsi="Times New Roman"/>
          <w:color w:val="000000"/>
          <w:sz w:val="22"/>
        </w:rPr>
        <w:t>106.  Pinnacle justifiably relied on DataCore's representations in deciding to enter into the MSA, as described in Paragraphs 94 through 96, above. Pinnacle's reliance was reasonable under the circumstances.</w:t>
      </w:r>
    </w:p>
    <w:p>
      <w:pPr>
        <w:spacing w:line="276" w:lineRule="auto" w:before="20" w:after="20"/>
        <w:ind w:left="432" w:hanging="432"/>
        <w:jc w:val="both"/>
      </w:pPr>
      <w:r>
        <w:rPr>
          <w:rFonts w:ascii="Times New Roman" w:hAnsi="Times New Roman"/>
          <w:color w:val="000000"/>
          <w:sz w:val="22"/>
        </w:rPr>
        <w:t>107.  As a direct and proximate result of DataCore's negligent misrepresentations, Pinnacle suffered the damages described in Paragraphs 79 through 81, above, including fees paid for a non-conforming product, costs of workarounds and replacement systems, and lost business.</w:t>
      </w:r>
    </w:p>
    <w:p>
      <w:pPr>
        <w:spacing w:line="276" w:lineRule="auto" w:before="20" w:after="20"/>
        <w:ind w:left="432" w:hanging="432"/>
        <w:jc w:val="both"/>
      </w:pPr>
      <w:r>
        <w:rPr>
          <w:rFonts w:ascii="Times New Roman" w:hAnsi="Times New Roman"/>
          <w:color w:val="000000"/>
          <w:sz w:val="22"/>
        </w:rPr>
        <w:t>108.  This negligent misrepresentation claim is based on pre-contractual representations made outside the scope and outside the four corners of the MSA, including but not limited to the SOW Capabilities Document (Exhibit B), which was not part of, attached to, or incorporated into the MSA.</w:t>
      </w:r>
    </w:p>
    <w:p>
      <w:pPr>
        <w:spacing w:line="276" w:lineRule="auto" w:before="20" w:after="20"/>
        <w:ind w:left="432" w:hanging="432"/>
        <w:jc w:val="both"/>
      </w:pPr>
      <w:r>
        <w:rPr>
          <w:rFonts w:ascii="Times New Roman" w:hAnsi="Times New Roman"/>
          <w:color w:val="000000"/>
          <w:sz w:val="22"/>
        </w:rPr>
        <w:t>109.  The MSA's integration clause (Section 14.7) does not bar this negligent misrepresentation claim for the reasons set forth in Paragraph 97, above. A party that negligently provides false information to induce a counterparty to enter into a contract cannot shield itself from tort liability by pointing to a merger clause in the very contract that was induced by the false information.</w:t>
      </w:r>
    </w:p>
    <w:p>
      <w:pPr>
        <w:spacing w:line="276" w:lineRule="auto" w:before="20" w:after="20"/>
        <w:ind w:left="432" w:hanging="432"/>
        <w:jc w:val="both"/>
      </w:pPr>
      <w:r>
        <w:rPr>
          <w:rFonts w:ascii="Times New Roman" w:hAnsi="Times New Roman"/>
          <w:color w:val="000000"/>
          <w:sz w:val="22"/>
        </w:rPr>
        <w:t>110.  This claim arises from tortious conduct — specifically, the supply of false and misleading information during the pre-contractual sales process, which was conducted in Georgia by DataCore personnel based in Georgia and directed at a Georgia company. This negligent misrepresentation claim is distinct from Pinnacle's breach of contract claim (Count I) and sounds in tort, not contract.</w:t>
      </w:r>
    </w:p>
    <w:p>
      <w:pPr>
        <w:spacing w:line="276" w:lineRule="auto" w:before="20" w:after="20"/>
        <w:ind w:left="432" w:hanging="432"/>
        <w:jc w:val="both"/>
      </w:pPr>
      <w:r>
        <w:rPr>
          <w:rFonts w:ascii="Times New Roman" w:hAnsi="Times New Roman"/>
          <w:color w:val="000000"/>
          <w:sz w:val="22"/>
        </w:rPr>
        <w:t>111.  Pinnacle seeks compensatory damages in an amount to be determined at trial, plus pre-judgment and post-judgment interest at the applicable rate, and such other and further relief as the Court deems just and proper.</w:t>
      </w:r>
    </w:p>
    <w:p>
      <w:pPr>
        <w:keepNext/>
        <w:spacing w:line="276" w:lineRule="auto" w:before="360" w:after="120"/>
        <w:jc w:val="left"/>
      </w:pPr>
      <w:r>
        <w:rPr>
          <w:rFonts w:ascii="Times New Roman" w:hAnsi="Times New Roman"/>
          <w:b/>
          <w:color w:val="000000"/>
          <w:sz w:val="22"/>
          <w:u w:val="single"/>
        </w:rPr>
        <w:t>VIII. COUNT IV — VIOLATION OF THE GEORGIA UNIFORM DECEPTIVE TRADE PRACTICES ACT</w:t>
      </w:r>
    </w:p>
    <w:p>
      <w:pPr>
        <w:spacing w:line="276" w:lineRule="auto" w:before="20" w:after="20"/>
        <w:ind w:left="432" w:hanging="432"/>
        <w:jc w:val="both"/>
      </w:pPr>
      <w:r>
        <w:rPr>
          <w:rFonts w:ascii="Times New Roman" w:hAnsi="Times New Roman"/>
          <w:color w:val="000000"/>
          <w:sz w:val="22"/>
        </w:rPr>
        <w:t>112.  Pinnacle incorporates by reference all preceding paragraphs as though fully set forth herein.</w:t>
      </w:r>
    </w:p>
    <w:p>
      <w:pPr>
        <w:spacing w:line="276" w:lineRule="auto" w:before="20" w:after="20"/>
        <w:ind w:left="432" w:hanging="432"/>
        <w:jc w:val="both"/>
      </w:pPr>
      <w:r>
        <w:rPr>
          <w:rFonts w:ascii="Times New Roman" w:hAnsi="Times New Roman"/>
          <w:color w:val="000000"/>
          <w:sz w:val="22"/>
        </w:rPr>
        <w:t xml:space="preserve">113.  The Georgia Uniform Deceptive Trade Practices Act ("GUDTPA"), O.C.G.A. § 10-1-370 </w:t>
      </w:r>
      <w:r>
        <w:rPr>
          <w:rFonts w:ascii="Times New Roman" w:hAnsi="Times New Roman"/>
          <w:i/>
          <w:color w:val="000000"/>
          <w:sz w:val="22"/>
        </w:rPr>
        <w:t>et seq.</w:t>
      </w:r>
      <w:r>
        <w:rPr>
          <w:rFonts w:ascii="Times New Roman" w:hAnsi="Times New Roman"/>
          <w:color w:val="000000"/>
          <w:sz w:val="22"/>
        </w:rPr>
        <w:t>, prohibits deceptive trade practices in the conduct of any trade or commerce in the State of Georgia. The GUDTPA is a remedial statute and is to be construed liberally to effectuate its purpose of protecting persons engaged in trade and commerce from unfair and deceptive practices.</w:t>
      </w:r>
    </w:p>
    <w:p>
      <w:pPr>
        <w:spacing w:line="276" w:lineRule="auto" w:before="20" w:after="20"/>
        <w:ind w:left="432" w:hanging="432"/>
        <w:jc w:val="both"/>
      </w:pPr>
      <w:r>
        <w:rPr>
          <w:rFonts w:ascii="Times New Roman" w:hAnsi="Times New Roman"/>
          <w:color w:val="000000"/>
          <w:sz w:val="22"/>
        </w:rPr>
        <w:t>114.  DataCore and Pinnacle are both persons or entities engaged in "trade" and "commerce" as those terms are defined and used in the GUDTPA. DataCore's sale and licensing of the TalentBridge platform to Pinnacle constituted trade and commerce within the meaning of the statute.</w:t>
      </w:r>
    </w:p>
    <w:p>
      <w:pPr>
        <w:spacing w:line="276" w:lineRule="auto" w:before="20" w:after="20"/>
        <w:ind w:left="432" w:hanging="432"/>
        <w:jc w:val="both"/>
      </w:pPr>
      <w:r>
        <w:rPr>
          <w:rFonts w:ascii="Times New Roman" w:hAnsi="Times New Roman"/>
          <w:color w:val="000000"/>
          <w:sz w:val="22"/>
        </w:rPr>
        <w:t xml:space="preserve">115.  DataCore engaged in deceptive trade practices in violation of O.C.G.A. § 10-1-372 by, </w:t>
      </w:r>
      <w:r>
        <w:rPr>
          <w:rFonts w:ascii="Times New Roman" w:hAnsi="Times New Roman"/>
          <w:i/>
          <w:color w:val="000000"/>
          <w:sz w:val="22"/>
        </w:rPr>
        <w:t>inter alia</w:t>
      </w:r>
      <w:r>
        <w:rPr>
          <w:rFonts w:ascii="Times New Roman" w:hAnsi="Times New Roman"/>
          <w:color w:val="000000"/>
          <w:sz w:val="22"/>
        </w:rPr>
        <w:t>:</w:t>
      </w:r>
    </w:p>
    <w:p>
      <w:pPr>
        <w:spacing w:line="276" w:lineRule="auto" w:before="0" w:after="120"/>
        <w:ind w:left="432"/>
        <w:jc w:val="both"/>
      </w:pPr>
      <w:r>
        <w:rPr>
          <w:rFonts w:ascii="Times New Roman" w:hAnsi="Times New Roman"/>
          <w:color w:val="000000"/>
          <w:sz w:val="22"/>
        </w:rPr>
        <w:t>(a) Representing that the TalentBridge platform had characteristics, uses, benefits, and qualities that it did not have — specifically, seamless "out of the box" integration with ADP and the ability to process up to 15,000 concurrent temporary worker records with sub-second latency — in violation of O.C.G.A. § 10-1-372(a)(5);</w:t>
      </w:r>
    </w:p>
    <w:p>
      <w:pPr>
        <w:spacing w:line="276" w:lineRule="auto" w:before="0" w:after="120"/>
        <w:ind w:left="432"/>
        <w:jc w:val="both"/>
      </w:pPr>
      <w:r>
        <w:rPr>
          <w:rFonts w:ascii="Times New Roman" w:hAnsi="Times New Roman"/>
          <w:color w:val="000000"/>
          <w:sz w:val="22"/>
        </w:rPr>
        <w:t>(b) Representing that the TalentBridge platform was of a particular standard, quality, or grade when it was of another — specifically, conducting product demonstrations using a specially configured staging environment that misrepresented the platform's actual production capabilities — in violation of O.C.G.A. § 10-1-372(a)(7);</w:t>
      </w:r>
    </w:p>
    <w:p>
      <w:pPr>
        <w:spacing w:line="276" w:lineRule="auto" w:before="0" w:after="120"/>
        <w:ind w:left="432"/>
        <w:jc w:val="both"/>
      </w:pPr>
      <w:r>
        <w:rPr>
          <w:rFonts w:ascii="Times New Roman" w:hAnsi="Times New Roman"/>
          <w:color w:val="000000"/>
          <w:sz w:val="22"/>
        </w:rPr>
        <w:t>(c) Advertising the TalentBridge platform with intent not to sell it as advertised — specifically, marketing "native integration with 40+ payroll and HRIS platforms" when integration with ADP, one of the most widely used payroll platforms, required approximately $85,000 in additional custom API development — in violation of O.C.G.A. § 10-1-372(a)(9).</w:t>
      </w:r>
    </w:p>
    <w:p>
      <w:pPr>
        <w:spacing w:line="276" w:lineRule="auto" w:before="20" w:after="20"/>
        <w:ind w:left="432" w:hanging="432"/>
        <w:jc w:val="both"/>
      </w:pPr>
      <w:r>
        <w:rPr>
          <w:rFonts w:ascii="Times New Roman" w:hAnsi="Times New Roman"/>
          <w:color w:val="000000"/>
          <w:sz w:val="22"/>
        </w:rPr>
        <w:t>116.  DataCore's deceptive trade practices occurred during the pre-contractual sales process — specifically, during the period from approximately December 2021 through February 2022 — through written and oral representations made by DataCore's Georgia-based employees to Pinnacle in Georgia.</w:t>
      </w:r>
    </w:p>
    <w:p>
      <w:pPr>
        <w:spacing w:line="276" w:lineRule="auto" w:before="20" w:after="20"/>
        <w:ind w:left="432" w:hanging="432"/>
        <w:jc w:val="both"/>
      </w:pPr>
      <w:r>
        <w:rPr>
          <w:rFonts w:ascii="Times New Roman" w:hAnsi="Times New Roman"/>
          <w:color w:val="000000"/>
          <w:sz w:val="22"/>
        </w:rPr>
        <w:t>117.  DataCore's deceptive trade practices were directed at and affected Pinnacle in Georgia. The representations were made from DataCore's Atlanta, Georgia office (100 Techwood Drive NW, Atlanta, Georgia 30318) by DataCore's Georgia-based Vice President of Sales for the Southeast Region, Victor Sousa, to Pinnacle's CTO, Cheryl Nance, at Pinnacle's headquarters in Atlanta, Georgia. The deceptive conduct occurred entirely within or was directed into the State of Georgia.</w:t>
      </w:r>
    </w:p>
    <w:p>
      <w:pPr>
        <w:spacing w:line="276" w:lineRule="auto" w:before="20" w:after="20"/>
        <w:ind w:left="432" w:hanging="432"/>
        <w:jc w:val="both"/>
      </w:pPr>
      <w:r>
        <w:rPr>
          <w:rFonts w:ascii="Times New Roman" w:hAnsi="Times New Roman"/>
          <w:color w:val="000000"/>
          <w:sz w:val="22"/>
        </w:rPr>
        <w:t>118.  This statutory claim is independent of and distinct from Pinnacle's breach of contract claim (Count I). The GUDTPA claim is based on DataCore's pre-contractual deceptive acts in the course of trade and commerce — not on the performance or breach of the MSA itself. The GUDTPA imposes obligations and prohibitions that exist independently of any contractual relationship between the parties.</w:t>
      </w:r>
    </w:p>
    <w:p>
      <w:pPr>
        <w:spacing w:line="276" w:lineRule="auto" w:before="20" w:after="20"/>
        <w:ind w:left="432" w:hanging="432"/>
        <w:jc w:val="both"/>
      </w:pPr>
      <w:r>
        <w:rPr>
          <w:rFonts w:ascii="Times New Roman" w:hAnsi="Times New Roman"/>
          <w:color w:val="000000"/>
          <w:sz w:val="22"/>
        </w:rPr>
        <w:t>119.  The GUDTPA provides for injunctive relief under O.C.G.A. § 10-1-373 and, in certain circumstances, the recovery of damages and attorneys' fees. A person likely to be damaged by a deceptive trade practice may be granted injunctive relief and may recover attorneys' fees as provided by statute.</w:t>
      </w:r>
    </w:p>
    <w:p>
      <w:pPr>
        <w:spacing w:line="276" w:lineRule="auto" w:before="20" w:after="20"/>
        <w:ind w:left="432" w:hanging="432"/>
        <w:jc w:val="both"/>
      </w:pPr>
      <w:r>
        <w:rPr>
          <w:rFonts w:ascii="Times New Roman" w:hAnsi="Times New Roman"/>
          <w:color w:val="000000"/>
          <w:sz w:val="22"/>
        </w:rPr>
        <w:t>120.  As a direct and proximate result of DataCore's deceptive trade practices in violation of the GUDTPA, Pinnacle has been damaged in the amounts described herein, including fees paid in reliance on the deceptive representations, costs of workarounds and replacement systems, and lost business revenue.</w:t>
      </w:r>
    </w:p>
    <w:p>
      <w:pPr>
        <w:spacing w:line="276" w:lineRule="auto" w:before="20" w:after="20"/>
        <w:ind w:left="432" w:hanging="432"/>
        <w:jc w:val="both"/>
      </w:pPr>
      <w:r>
        <w:rPr>
          <w:rFonts w:ascii="Times New Roman" w:hAnsi="Times New Roman"/>
          <w:color w:val="000000"/>
          <w:sz w:val="22"/>
        </w:rPr>
        <w:t>121.  Pinnacle is entitled to recover reasonable attorneys' fees incurred in prosecuting this action pursuant to O.C.G.A. § 10-1-373.</w:t>
      </w:r>
    </w:p>
    <w:p>
      <w:pPr>
        <w:spacing w:line="276" w:lineRule="auto" w:before="20" w:after="20"/>
        <w:ind w:left="432" w:hanging="432"/>
        <w:jc w:val="both"/>
      </w:pPr>
      <w:r>
        <w:rPr>
          <w:rFonts w:ascii="Times New Roman" w:hAnsi="Times New Roman"/>
          <w:color w:val="000000"/>
          <w:sz w:val="22"/>
        </w:rPr>
        <w:t>122.  This claim arises under Georgia statutory law and is governed by Georgia law. The MSA's Texas choice-of-law clause (Section 14.3) does not apply to this Georgia statutory claim, which is based on conduct occurring in Georgia, directed at a Georgia business, and governed by the law of the state where the deceptive trade practices occurred. Georgia has the most significant relationship to the tortious and deceptive conduct at issue, and Georgia's regulatory interest in prohibiting deceptive trade practices within its borders cannot be contracted away by a choice-of-law clause in the very agreement induced by the deceptive conduct.</w:t>
      </w:r>
    </w:p>
    <w:p>
      <w:pPr>
        <w:spacing w:line="276" w:lineRule="auto" w:before="20" w:after="20"/>
        <w:ind w:left="432" w:hanging="432"/>
        <w:jc w:val="both"/>
      </w:pPr>
      <w:r>
        <w:rPr>
          <w:rFonts w:ascii="Times New Roman" w:hAnsi="Times New Roman"/>
          <w:color w:val="000000"/>
          <w:sz w:val="22"/>
        </w:rPr>
        <w:t>123.  Similarly, the MSA's forum selection clause (Section 14.2) does not encompass this statutory claim. The forum selection clause covers disputes "arising out of or relating to this Agreement." Pinnacle's GUDTPA claim arises from statutory obligations imposed by Georgia law on persons engaged in trade and commerce in Georgia — obligations that exist independently of the MSA and that are not derived from, dependent upon, or governed by the terms of the MSA.</w:t>
      </w:r>
    </w:p>
    <w:p>
      <w:pPr>
        <w:spacing w:line="276" w:lineRule="auto" w:before="20" w:after="20"/>
        <w:ind w:left="432" w:hanging="432"/>
        <w:jc w:val="both"/>
      </w:pPr>
      <w:r>
        <w:rPr>
          <w:rFonts w:ascii="Times New Roman" w:hAnsi="Times New Roman"/>
          <w:color w:val="000000"/>
          <w:sz w:val="22"/>
        </w:rPr>
        <w:t>124.  Pinnacle seeks injunctive relief, actual damages, reasonable attorneys' fees, costs of litigation, and such other and further relief as the Court deems just and proper.</w:t>
      </w:r>
    </w:p>
    <w:p>
      <w:pPr>
        <w:keepNext/>
        <w:spacing w:line="276" w:lineRule="auto" w:before="360" w:after="120"/>
        <w:jc w:val="left"/>
      </w:pPr>
      <w:r>
        <w:rPr>
          <w:rFonts w:ascii="Times New Roman" w:hAnsi="Times New Roman"/>
          <w:b/>
          <w:color w:val="000000"/>
          <w:sz w:val="22"/>
          <w:u w:val="single"/>
        </w:rPr>
        <w:t>IX. PRAYER FOR RELIEF</w:t>
      </w:r>
    </w:p>
    <w:p>
      <w:pPr>
        <w:spacing w:line="276" w:lineRule="auto" w:before="20" w:after="20"/>
        <w:ind w:left="432" w:hanging="432"/>
        <w:jc w:val="both"/>
      </w:pPr>
      <w:r>
        <w:rPr>
          <w:rFonts w:ascii="Times New Roman" w:hAnsi="Times New Roman"/>
          <w:color w:val="000000"/>
          <w:sz w:val="22"/>
        </w:rPr>
        <w:t>125.  WHEREFORE, Plaintiff Pinnacle Staffing Solutions, Inc. respectfully prays that this Court enter judgment in its favor and against Defendant DataCore Systems, Inc. as follows:</w:t>
      </w:r>
    </w:p>
    <w:p>
      <w:pPr>
        <w:spacing w:line="276" w:lineRule="auto" w:before="0" w:after="120"/>
        <w:ind w:left="432"/>
        <w:jc w:val="both"/>
      </w:pPr>
      <w:r>
        <w:rPr>
          <w:rFonts w:ascii="Times New Roman" w:hAnsi="Times New Roman"/>
          <w:color w:val="000000"/>
          <w:sz w:val="22"/>
        </w:rPr>
        <w:t>(a) On Count I (Breach of Contract): Compensatory damages in an amount to be determined at trial, including but not limited to actual damages of at least $2,335,000 and reliance damages of at least $931,000;</w:t>
      </w:r>
    </w:p>
    <w:p>
      <w:pPr>
        <w:spacing w:line="276" w:lineRule="auto" w:before="0" w:after="120"/>
        <w:ind w:left="432"/>
        <w:jc w:val="both"/>
      </w:pPr>
      <w:r>
        <w:rPr>
          <w:rFonts w:ascii="Times New Roman" w:hAnsi="Times New Roman"/>
          <w:color w:val="000000"/>
          <w:sz w:val="22"/>
        </w:rPr>
        <w:t>(b) On Count II (Fraudulent Inducement): Compensatory damages in an amount to be determined at trial, including reliance damages and benefit-of-the-bargain damages, plus punitive damages in an amount sufficient to punish Defendant and deter similar conduct;</w:t>
      </w:r>
    </w:p>
    <w:p>
      <w:pPr>
        <w:spacing w:line="276" w:lineRule="auto" w:before="0" w:after="120"/>
        <w:ind w:left="432"/>
        <w:jc w:val="both"/>
      </w:pPr>
      <w:r>
        <w:rPr>
          <w:rFonts w:ascii="Times New Roman" w:hAnsi="Times New Roman"/>
          <w:color w:val="000000"/>
          <w:sz w:val="22"/>
        </w:rPr>
        <w:t>(c) On Count III (Negligent Misrepresentation): Compensatory damages in an amount to be determined at trial;</w:t>
      </w:r>
    </w:p>
    <w:p>
      <w:pPr>
        <w:spacing w:line="276" w:lineRule="auto" w:before="0" w:after="120"/>
        <w:ind w:left="432"/>
        <w:jc w:val="both"/>
      </w:pPr>
      <w:r>
        <w:rPr>
          <w:rFonts w:ascii="Times New Roman" w:hAnsi="Times New Roman"/>
          <w:color w:val="000000"/>
          <w:sz w:val="22"/>
        </w:rPr>
        <w:t>(d) On Count IV (Violation of the Georgia Uniform Deceptive Trade Practices Act): Actual damages, injunctive relief prohibiting Defendant from continuing the deceptive trade practices described herein, and reasonable attorneys' fees pursuant to O.C.G.A. § 10-1-373;</w:t>
      </w:r>
    </w:p>
    <w:p>
      <w:pPr>
        <w:spacing w:line="276" w:lineRule="auto" w:before="0" w:after="120"/>
        <w:ind w:left="432"/>
        <w:jc w:val="both"/>
      </w:pPr>
      <w:r>
        <w:rPr>
          <w:rFonts w:ascii="Times New Roman" w:hAnsi="Times New Roman"/>
          <w:color w:val="000000"/>
          <w:sz w:val="22"/>
        </w:rPr>
        <w:t>(e) On all Counts: Consequential damages of approximately $1,200,000, representing the cost of the replacement workforce management platform and lost business revenue, as quantified by Greenleaf Accounting Group;</w:t>
      </w:r>
    </w:p>
    <w:p>
      <w:pPr>
        <w:spacing w:line="276" w:lineRule="auto" w:before="0" w:after="120"/>
        <w:ind w:left="432"/>
        <w:jc w:val="both"/>
      </w:pPr>
      <w:r>
        <w:rPr>
          <w:rFonts w:ascii="Times New Roman" w:hAnsi="Times New Roman"/>
          <w:color w:val="000000"/>
          <w:sz w:val="22"/>
        </w:rPr>
        <w:t>(f) Pre-judgment interest at the applicable rate from the date of each payment made by Pinnacle to DataCore, and post-judgment interest at the applicable legal rate;</w:t>
      </w:r>
    </w:p>
    <w:p>
      <w:pPr>
        <w:spacing w:line="276" w:lineRule="auto" w:before="0" w:after="120"/>
        <w:ind w:left="432"/>
        <w:jc w:val="both"/>
      </w:pPr>
      <w:r>
        <w:rPr>
          <w:rFonts w:ascii="Times New Roman" w:hAnsi="Times New Roman"/>
          <w:color w:val="000000"/>
          <w:sz w:val="22"/>
        </w:rPr>
        <w:t>(g) Reasonable attorneys' fees and costs of litigation incurred in prosecuting this action;</w:t>
      </w:r>
    </w:p>
    <w:p>
      <w:pPr>
        <w:spacing w:line="276" w:lineRule="auto" w:before="0" w:after="120"/>
        <w:ind w:left="432"/>
        <w:jc w:val="both"/>
      </w:pPr>
      <w:r>
        <w:rPr>
          <w:rFonts w:ascii="Times New Roman" w:hAnsi="Times New Roman"/>
          <w:color w:val="000000"/>
          <w:sz w:val="22"/>
        </w:rPr>
        <w:t>(h) Such other and further relief as this Court deems just, equitable, and proper.</w:t>
      </w:r>
    </w:p>
    <w:p>
      <w:pPr>
        <w:keepNext/>
        <w:spacing w:line="276" w:lineRule="auto" w:before="360" w:after="120"/>
        <w:jc w:val="left"/>
      </w:pPr>
      <w:r>
        <w:rPr>
          <w:rFonts w:ascii="Times New Roman" w:hAnsi="Times New Roman"/>
          <w:b/>
          <w:color w:val="000000"/>
          <w:sz w:val="22"/>
          <w:u w:val="single"/>
        </w:rPr>
        <w:t>X. DEMAND FOR JURY TRIAL</w:t>
      </w:r>
    </w:p>
    <w:p>
      <w:pPr>
        <w:spacing w:line="276" w:lineRule="auto" w:before="0" w:after="120"/>
        <w:jc w:val="both"/>
      </w:pPr>
      <w:r>
        <w:rPr>
          <w:rFonts w:ascii="Times New Roman" w:hAnsi="Times New Roman"/>
          <w:color w:val="000000"/>
          <w:sz w:val="22"/>
        </w:rPr>
        <w:t>Plaintiff Pinnacle Staffing Solutions, Inc. hereby demands a trial by jury on all issues and claims so triable as a matter of right pursuant to the Seventh Amendment to the United States Constitution and Rule 38 of the Federal Rules of Civil Procedure.</w:t>
      </w:r>
    </w:p>
    <w:p>
      <w:pPr>
        <w:spacing w:line="240" w:lineRule="auto" w:before="20" w:after="20"/>
        <w:jc w:val="both"/>
      </w:pPr>
      <w:r>
        <w:rPr>
          <w:rFonts w:ascii="Times New Roman" w:hAnsi="Times New Roman"/>
          <w:color w:val="000000"/>
          <w:sz w:val="22"/>
        </w:rPr>
        <w:t>Respectfully submitted,</w:t>
      </w:r>
    </w:p>
    <w:p>
      <w:pPr>
        <w:spacing w:line="240" w:lineRule="auto" w:before="20" w:after="20"/>
        <w:jc w:val="both"/>
      </w:pPr>
      <w:r>
        <w:rPr>
          <w:rFonts w:ascii="Times New Roman" w:hAnsi="Times New Roman"/>
          <w:b/>
          <w:color w:val="000000"/>
          <w:sz w:val="22"/>
        </w:rPr>
        <w:t>ASHFORD, CLEMENT &amp; YATES LLP</w:t>
      </w:r>
    </w:p>
    <w:p>
      <w:pPr>
        <w:spacing w:line="240" w:lineRule="auto" w:before="20" w:after="20"/>
        <w:jc w:val="left"/>
      </w:pPr>
      <w:r>
        <w:rPr>
          <w:rFonts w:ascii="Times New Roman" w:hAnsi="Times New Roman"/>
          <w:color w:val="000000"/>
          <w:sz w:val="22"/>
        </w:rPr>
        <w:t>By: /s/ Katherine Ashford</w:t>
      </w:r>
    </w:p>
    <w:p>
      <w:pPr>
        <w:spacing w:line="240" w:lineRule="auto" w:before="20" w:after="20"/>
        <w:jc w:val="both"/>
      </w:pPr>
      <w:r>
        <w:rPr>
          <w:rFonts w:ascii="Times New Roman" w:hAnsi="Times New Roman"/>
          <w:color w:val="000000"/>
          <w:sz w:val="22"/>
        </w:rPr>
        <w:t>Katherine "Kate" Ashford Georgia Bar No. 482910 Daniel Reeves Georgia Bar No. 517346 191 Peachtree Street NE, Suite 3600 Atlanta, Georgia 30303 Telephone: (404) 555-7200 Facsimile: (404) 555-7201</w:t>
      </w:r>
    </w:p>
    <w:p>
      <w:pPr>
        <w:spacing w:line="240" w:lineRule="auto" w:before="20" w:after="20"/>
        <w:jc w:val="left"/>
      </w:pPr>
      <w:r>
        <w:rPr>
          <w:rFonts w:ascii="Times New Roman" w:hAnsi="Times New Roman"/>
          <w:color w:val="000000"/>
          <w:sz w:val="22"/>
        </w:rPr>
        <w:t>Email: kashford@ashfordclementyates.com</w:t>
      </w:r>
    </w:p>
    <w:p>
      <w:pPr>
        <w:spacing w:line="240" w:lineRule="auto" w:before="20" w:after="20"/>
        <w:jc w:val="left"/>
      </w:pPr>
      <w:r>
        <w:rPr>
          <w:rFonts w:ascii="Times New Roman" w:hAnsi="Times New Roman"/>
          <w:color w:val="000000"/>
          <w:sz w:val="22"/>
        </w:rPr>
        <w:t>Email: dreeves@ashfordclementyates.com</w:t>
      </w:r>
    </w:p>
    <w:p>
      <w:pPr>
        <w:spacing w:line="240" w:lineRule="auto" w:before="20" w:after="20"/>
        <w:jc w:val="both"/>
      </w:pPr>
      <w:r>
        <w:rPr>
          <w:rFonts w:ascii="Times New Roman" w:hAnsi="Times New Roman"/>
          <w:i/>
          <w:color w:val="000000"/>
          <w:sz w:val="22"/>
        </w:rPr>
        <w:t>Attorneys for Plaintiff Pinnacle Staffing Solutions, Inc.</w:t>
      </w:r>
    </w:p>
    <w:p>
      <w:pPr>
        <w:spacing w:line="240" w:lineRule="auto" w:before="20" w:after="20"/>
        <w:jc w:val="both"/>
      </w:pPr>
      <w:r>
        <w:rPr>
          <w:rFonts w:ascii="Times New Roman" w:hAnsi="Times New Roman"/>
          <w:color w:val="000000"/>
          <w:sz w:val="22"/>
        </w:rPr>
        <w:t>Dated: March 22, 2024</w:t>
      </w:r>
    </w:p>
    <w:p>
      <w:r>
        <w:br w:type="page"/>
      </w:r>
    </w:p>
    <w:p>
      <w:pPr>
        <w:keepNext/>
        <w:spacing w:line="276" w:lineRule="auto" w:before="360" w:after="120"/>
        <w:jc w:val="left"/>
      </w:pPr>
      <w:r>
        <w:rPr>
          <w:rFonts w:ascii="Times New Roman" w:hAnsi="Times New Roman"/>
          <w:b/>
          <w:color w:val="000000"/>
          <w:sz w:val="22"/>
          <w:u w:val="single"/>
        </w:rPr>
        <w:t>VERIFICATION</w:t>
      </w:r>
    </w:p>
    <w:p>
      <w:pPr>
        <w:spacing w:line="276" w:lineRule="auto" w:before="0" w:after="120"/>
        <w:jc w:val="both"/>
      </w:pPr>
      <w:r>
        <w:rPr>
          <w:rFonts w:ascii="Times New Roman" w:hAnsi="Times New Roman"/>
          <w:color w:val="000000"/>
          <w:sz w:val="22"/>
        </w:rPr>
        <w:t>I, Margaret "Meg" Holliday, hereby declare under penalty of perjury pursuant to 28 U.S.C. § 1746 that I am the Chief Executive Officer of Pinnacle Staffing Solutions, Inc., the Plaintiff in the above-captioned action. I have read the foregoing Complaint and am familiar with the facts set forth therein. The factual allegations contained in the Complaint are true and correct to the best of my knowledge, information, and belief, formed after reasonable inquiry.</w:t>
      </w:r>
    </w:p>
    <w:p>
      <w:pPr>
        <w:spacing w:line="276" w:lineRule="auto" w:before="240" w:after="20"/>
        <w:jc w:val="both"/>
      </w:pPr>
      <w:r>
        <w:rPr>
          <w:rFonts w:ascii="Times New Roman" w:hAnsi="Times New Roman"/>
          <w:color w:val="000000"/>
          <w:sz w:val="22"/>
        </w:rPr>
        <w:t>________________________________________</w:t>
      </w:r>
    </w:p>
    <w:p>
      <w:pPr>
        <w:spacing w:line="240" w:lineRule="auto" w:before="20" w:after="20"/>
        <w:jc w:val="both"/>
      </w:pPr>
      <w:r>
        <w:rPr>
          <w:rFonts w:ascii="Times New Roman" w:hAnsi="Times New Roman"/>
          <w:color w:val="000000"/>
          <w:sz w:val="22"/>
        </w:rPr>
        <w:t>Margaret "Meg" Holliday Chief Executive Officer Pinnacle Staffing Solutions, Inc.</w:t>
      </w:r>
    </w:p>
    <w:p>
      <w:pPr>
        <w:spacing w:line="240" w:lineRule="auto" w:before="20" w:after="20"/>
        <w:jc w:val="both"/>
      </w:pPr>
      <w:r>
        <w:rPr>
          <w:rFonts w:ascii="Times New Roman" w:hAnsi="Times New Roman"/>
          <w:color w:val="000000"/>
          <w:sz w:val="22"/>
        </w:rPr>
        <w:t>Dated: March 22, 2024</w:t>
      </w:r>
    </w:p>
    <w:p>
      <w:r>
        <w:br w:type="page"/>
      </w:r>
    </w:p>
    <w:p>
      <w:pPr>
        <w:keepNext/>
        <w:spacing w:line="276" w:lineRule="auto" w:before="360" w:after="120"/>
        <w:jc w:val="left"/>
      </w:pPr>
      <w:r>
        <w:rPr>
          <w:rFonts w:ascii="Times New Roman" w:hAnsi="Times New Roman"/>
          <w:b/>
          <w:color w:val="000000"/>
          <w:sz w:val="22"/>
          <w:u w:val="single"/>
        </w:rPr>
        <w:t>EXHIBITS LIST</w:t>
      </w:r>
    </w:p>
    <w:p>
      <w:pPr>
        <w:spacing w:line="276" w:lineRule="auto" w:before="0" w:after="120"/>
        <w:jc w:val="both"/>
      </w:pPr>
      <w:r>
        <w:rPr>
          <w:rFonts w:ascii="Times New Roman" w:hAnsi="Times New Roman"/>
          <w:color w:val="000000"/>
          <w:sz w:val="22"/>
        </w:rPr>
        <w:t>The following exhibits are referenced in the foregoing Complaint and are attached hereto or filed contemporaneously herewith:</w:t>
      </w:r>
    </w:p>
    <w:p>
      <w:pPr>
        <w:spacing w:line="276" w:lineRule="auto" w:before="0" w:after="120"/>
        <w:jc w:val="both"/>
      </w:pPr>
      <w:r>
        <w:rPr>
          <w:rFonts w:ascii="Times New Roman" w:hAnsi="Times New Roman"/>
          <w:b/>
          <w:color w:val="000000"/>
          <w:sz w:val="22"/>
        </w:rPr>
        <w:t>Exhibit A</w:t>
      </w:r>
      <w:r>
        <w:rPr>
          <w:rFonts w:ascii="Times New Roman" w:hAnsi="Times New Roman"/>
          <w:color w:val="000000"/>
          <w:sz w:val="22"/>
        </w:rPr>
        <w:t xml:space="preserve"> — Email from Victor Sousa (DataCore Systems, Inc.) to Cheryl Nance (Pinnacle Staffing Solutions, Inc.), dated January 10, 2022, regarding TalentBridge payroll platform integration capabilities.</w:t>
      </w:r>
    </w:p>
    <w:p>
      <w:pPr>
        <w:spacing w:line="276" w:lineRule="auto" w:before="0" w:after="120"/>
        <w:jc w:val="both"/>
      </w:pPr>
      <w:r>
        <w:rPr>
          <w:rFonts w:ascii="Times New Roman" w:hAnsi="Times New Roman"/>
          <w:b/>
          <w:color w:val="000000"/>
          <w:sz w:val="22"/>
        </w:rPr>
        <w:t>Exhibit B</w:t>
      </w:r>
      <w:r>
        <w:rPr>
          <w:rFonts w:ascii="Times New Roman" w:hAnsi="Times New Roman"/>
          <w:color w:val="000000"/>
          <w:sz w:val="22"/>
        </w:rPr>
        <w:t xml:space="preserve"> — Email from Victor Sousa (DataCore Systems, Inc.) to Cheryl Nance (Pinnacle Staffing Solutions, Inc.), dated February 14, 2022, with attached "Statement of Work Capabilities" document describing TalentBridge performance specifications.</w:t>
      </w:r>
    </w:p>
    <w:p>
      <w:pPr>
        <w:spacing w:line="276" w:lineRule="auto" w:before="0" w:after="120"/>
        <w:jc w:val="both"/>
      </w:pPr>
      <w:r>
        <w:rPr>
          <w:rFonts w:ascii="Times New Roman" w:hAnsi="Times New Roman"/>
          <w:b/>
          <w:color w:val="000000"/>
          <w:sz w:val="22"/>
        </w:rPr>
        <w:t>Exhibit C</w:t>
      </w:r>
      <w:r>
        <w:rPr>
          <w:rFonts w:ascii="Times New Roman" w:hAnsi="Times New Roman"/>
          <w:color w:val="000000"/>
          <w:sz w:val="22"/>
        </w:rPr>
        <w:t xml:space="preserve"> — Master Services Agreement between Pinnacle Staffing Solutions, Inc. and DataCore Systems, Inc., dated March 15, 2022.</w:t>
      </w:r>
    </w:p>
    <w:p>
      <w:pPr>
        <w:spacing w:line="276" w:lineRule="auto" w:before="0" w:after="120"/>
        <w:jc w:val="both"/>
      </w:pPr>
      <w:r>
        <w:rPr>
          <w:rFonts w:ascii="Times New Roman" w:hAnsi="Times New Roman"/>
          <w:b/>
          <w:color w:val="000000"/>
          <w:sz w:val="22"/>
        </w:rPr>
        <w:t>Exhibit D</w:t>
      </w:r>
      <w:r>
        <w:rPr>
          <w:rFonts w:ascii="Times New Roman" w:hAnsi="Times New Roman"/>
          <w:color w:val="000000"/>
          <w:sz w:val="22"/>
        </w:rPr>
        <w:t xml:space="preserve"> — Email from Anil Subramanian (DataCore Systems, Inc.) to Cheryl Nance (Pinnacle Staffing Solutions, Inc.), dated January 12, 2023, acknowledging TalentBridge performance limitations.</w:t>
      </w:r>
    </w:p>
    <w:p>
      <w:pPr>
        <w:spacing w:line="276" w:lineRule="auto" w:before="0" w:after="120"/>
        <w:jc w:val="both"/>
      </w:pPr>
      <w:r>
        <w:rPr>
          <w:rFonts w:ascii="Times New Roman" w:hAnsi="Times New Roman"/>
          <w:b/>
          <w:color w:val="000000"/>
          <w:sz w:val="22"/>
        </w:rPr>
        <w:t>Exhibit E</w:t>
      </w:r>
      <w:r>
        <w:rPr>
          <w:rFonts w:ascii="Times New Roman" w:hAnsi="Times New Roman"/>
          <w:color w:val="000000"/>
          <w:sz w:val="22"/>
        </w:rPr>
        <w:t xml:space="preserve"> — Formal notice letter from Pinnacle Staffing Solutions, Inc. to DataCore Systems, Inc., dated December 5, 2022, identifying platform deficiencies and demanding cure.</w:t>
      </w:r>
    </w:p>
    <w:p>
      <w:pPr>
        <w:spacing w:line="276" w:lineRule="auto" w:before="0" w:after="120"/>
        <w:jc w:val="both"/>
      </w:pPr>
      <w:r>
        <w:rPr>
          <w:rFonts w:ascii="Times New Roman" w:hAnsi="Times New Roman"/>
          <w:b/>
          <w:color w:val="000000"/>
          <w:sz w:val="22"/>
        </w:rPr>
        <w:t>Exhibit F</w:t>
      </w:r>
      <w:r>
        <w:rPr>
          <w:rFonts w:ascii="Times New Roman" w:hAnsi="Times New Roman"/>
          <w:color w:val="000000"/>
          <w:sz w:val="22"/>
        </w:rPr>
        <w:t xml:space="preserve"> — Formal termination notice from Pinnacle Staffing Solutions, Inc. to DataCore Systems, Inc., dated January 15, 2024, terminating the Master Services Agreement.</w:t>
      </w:r>
    </w:p>
    <w:p>
      <w:pPr>
        <w:keepNext/>
        <w:spacing w:line="276" w:lineRule="auto" w:before="360" w:after="120"/>
        <w:jc w:val="left"/>
      </w:pPr>
      <w:r>
        <w:rPr>
          <w:rFonts w:ascii="Times New Roman" w:hAnsi="Times New Roman"/>
          <w:b/>
          <w:color w:val="000000"/>
          <w:sz w:val="22"/>
          <w:u w:val="single"/>
        </w:rPr>
        <w:t>CERTIFICATE OF SERVICE</w:t>
      </w:r>
    </w:p>
    <w:p>
      <w:pPr>
        <w:spacing w:line="276" w:lineRule="auto" w:before="0" w:after="120"/>
        <w:jc w:val="both"/>
      </w:pPr>
      <w:r>
        <w:rPr>
          <w:rFonts w:ascii="Times New Roman" w:hAnsi="Times New Roman"/>
          <w:color w:val="000000"/>
          <w:sz w:val="22"/>
        </w:rPr>
        <w:t>I hereby certify that on March 22, 2024, I electronically filed the foregoing Complaint and Demand for Jury Trial with the Clerk of Court using the CM/ECF system, which will send notification of such filing to all counsel of record. I further certify that a copy of the foregoing, together with all exhibits, was served upon Defendant DataCore Systems, Inc. by certified mail, return receipt requested, and by overnight courier to:</w:t>
      </w:r>
    </w:p>
    <w:p>
      <w:pPr>
        <w:spacing w:line="276" w:lineRule="auto" w:before="0" w:after="120"/>
        <w:ind w:left="432"/>
        <w:jc w:val="both"/>
      </w:pPr>
      <w:r>
        <w:rPr>
          <w:rFonts w:ascii="Times New Roman" w:hAnsi="Times New Roman"/>
          <w:color w:val="000000"/>
          <w:sz w:val="22"/>
        </w:rPr>
        <w:t>DataCore Systems, Inc.</w:t>
      </w:r>
    </w:p>
    <w:p>
      <w:pPr>
        <w:spacing w:line="240" w:lineRule="auto" w:before="20" w:after="20"/>
        <w:ind w:left="432"/>
        <w:jc w:val="left"/>
      </w:pPr>
      <w:r>
        <w:rPr>
          <w:rFonts w:ascii="Times New Roman" w:hAnsi="Times New Roman"/>
          <w:color w:val="000000"/>
          <w:sz w:val="22"/>
        </w:rPr>
        <w:t>Attn: General Counsel</w:t>
      </w:r>
    </w:p>
    <w:p>
      <w:pPr>
        <w:spacing w:line="276" w:lineRule="auto" w:before="0" w:after="120"/>
        <w:ind w:left="432"/>
        <w:jc w:val="both"/>
      </w:pPr>
      <w:r>
        <w:rPr>
          <w:rFonts w:ascii="Times New Roman" w:hAnsi="Times New Roman"/>
          <w:color w:val="000000"/>
          <w:sz w:val="22"/>
        </w:rPr>
        <w:t>750 Innovation Drive, Suite 300 Austin, Texas 78759</w:t>
      </w:r>
    </w:p>
    <w:p>
      <w:pPr>
        <w:spacing w:line="276" w:lineRule="auto" w:before="0" w:after="120"/>
        <w:jc w:val="both"/>
      </w:pPr>
      <w:r>
        <w:rPr>
          <w:rFonts w:ascii="Times New Roman" w:hAnsi="Times New Roman"/>
          <w:color w:val="000000"/>
          <w:sz w:val="22"/>
        </w:rPr>
        <w:t>and to:</w:t>
      </w:r>
    </w:p>
    <w:p>
      <w:pPr>
        <w:spacing w:line="276" w:lineRule="auto" w:before="0" w:after="120"/>
        <w:ind w:left="432"/>
        <w:jc w:val="both"/>
      </w:pPr>
      <w:r>
        <w:rPr>
          <w:rFonts w:ascii="Times New Roman" w:hAnsi="Times New Roman"/>
          <w:color w:val="000000"/>
          <w:sz w:val="22"/>
        </w:rPr>
        <w:t>DataCore Systems, Inc.</w:t>
      </w:r>
    </w:p>
    <w:p>
      <w:pPr>
        <w:spacing w:line="240" w:lineRule="auto" w:before="20" w:after="20"/>
        <w:ind w:left="432"/>
        <w:jc w:val="left"/>
      </w:pPr>
      <w:r>
        <w:rPr>
          <w:rFonts w:ascii="Times New Roman" w:hAnsi="Times New Roman"/>
          <w:color w:val="000000"/>
          <w:sz w:val="22"/>
        </w:rPr>
        <w:t>Attn: Victor Sousa, Vice President of Sales — Southeast Region</w:t>
      </w:r>
    </w:p>
    <w:p>
      <w:pPr>
        <w:spacing w:line="276" w:lineRule="auto" w:before="0" w:after="120"/>
        <w:ind w:left="432"/>
        <w:jc w:val="both"/>
      </w:pPr>
      <w:r>
        <w:rPr>
          <w:rFonts w:ascii="Times New Roman" w:hAnsi="Times New Roman"/>
          <w:color w:val="000000"/>
          <w:sz w:val="22"/>
        </w:rPr>
        <w:t>100 Techwood Drive NW Atlanta, Georgia 30318</w:t>
      </w:r>
    </w:p>
    <w:p>
      <w:pPr>
        <w:spacing w:line="240" w:lineRule="auto" w:before="20" w:after="20"/>
        <w:jc w:val="both"/>
      </w:pPr>
      <w:r>
        <w:rPr>
          <w:rFonts w:ascii="Times New Roman" w:hAnsi="Times New Roman"/>
          <w:color w:val="000000"/>
          <w:sz w:val="22"/>
        </w:rPr>
        <w:t>/s/ Katherine Ashford Katherine "Kate" Ashford Georgia Bar No. 482910 ASHFORD, CLEMENT &amp; YATES LLP 191 Peachtree Street NE, Suite 3600 Atlanta, Georgia 30303</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COMPLAINT AND DEMAND FOR JURY TRIAL</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Pinnacle Staffing Solutions, Inc. v. DataCore Systems, Inc. — Case No. 1:24-cv-01287-RWS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