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before="20" w:after="20"/>
        <w:jc w:val="center"/>
      </w:pPr>
      <w:r>
        <w:rPr>
          <w:rFonts w:ascii="Times New Roman" w:hAnsi="Times New Roman"/>
          <w:color w:val="000000"/>
          <w:sz w:val="22"/>
        </w:rPr>
        <w:t>UNITED STATES DISTRICT COURT NORTHERN DISTRICT OF GEORGIA ATLANTA DIVISION</w:t>
      </w:r>
    </w:p>
    <w:p>
      <w:pPr>
        <w:spacing w:line="276" w:lineRule="auto" w:before="0" w:after="120"/>
        <w:jc w:val="both"/>
      </w:pPr>
      <w:r>
        <w:rPr>
          <w:rFonts w:ascii="Times New Roman" w:hAnsi="Times New Roman"/>
          <w:color w:val="000000"/>
          <w:sz w:val="22"/>
        </w:rPr>
        <w:t>&amp;nbsp;</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r>
              <w:rPr>
                <w:rFonts w:ascii="Times New Roman" w:hAnsi="Times New Roman"/>
                <w:b/>
                <w:color w:val="000000"/>
                <w:sz w:val="18"/>
              </w:rPr>
              <w:t>PINNACLE STAFFING SOLUTIONS, INC.,</w:t>
            </w:r>
          </w:p>
        </w:tc>
        <w:tc>
          <w:tcPr>
            <w:tcW w:type="dxa" w:w="4320"/>
          </w:tcPr>
          <w:p>
            <w:pPr>
              <w:spacing w:line="276" w:lineRule="auto" w:before="20" w:after="20"/>
            </w:pPr>
            <w:r>
              <w:rPr>
                <w:b/>
              </w:rPr>
            </w:r>
          </w:p>
        </w:tc>
      </w:tr>
      <w:tr>
        <w:tc>
          <w:tcPr>
            <w:tcW w:type="dxa" w:w="4320"/>
          </w:tcPr>
          <w:p>
            <w:pPr>
              <w:spacing w:line="276" w:lineRule="auto" w:before="20" w:after="20"/>
            </w:pPr>
            <w:r/>
            <w:r>
              <w:rPr>
                <w:rFonts w:ascii="Times New Roman" w:hAnsi="Times New Roman"/>
                <w:color w:val="000000"/>
                <w:sz w:val="18"/>
              </w:rPr>
              <w:t>&lt;!-- indent:2 --&gt;Plaintiff,&lt;!-- /indent --&gt;</w:t>
            </w:r>
          </w:p>
        </w:tc>
        <w:tc>
          <w:tcPr>
            <w:tcW w:type="dxa" w:w="4320"/>
          </w:tcPr>
          <w:p>
            <w:pPr>
              <w:spacing w:line="276" w:lineRule="auto" w:before="20" w:after="20"/>
            </w:pPr>
            <w:r/>
            <w:r>
              <w:rPr>
                <w:rFonts w:ascii="Times New Roman" w:hAnsi="Times New Roman"/>
                <w:b/>
                <w:color w:val="000000"/>
                <w:sz w:val="18"/>
              </w:rPr>
              <w:t>Civil Action No. 1:24-cv-01287-RWS</w:t>
            </w:r>
          </w:p>
        </w:tc>
      </w:tr>
      <w:tr>
        <w:tc>
          <w:tcPr>
            <w:tcW w:type="dxa" w:w="4320"/>
          </w:tcPr>
          <w:p>
            <w:pPr>
              <w:spacing w:line="276" w:lineRule="auto" w:before="20" w:after="20"/>
            </w:pPr>
            <w:r/>
            <w:r>
              <w:rPr>
                <w:rFonts w:ascii="Times New Roman" w:hAnsi="Times New Roman"/>
                <w:color w:val="000000"/>
                <w:sz w:val="18"/>
              </w:rPr>
              <w:t>v.</w:t>
            </w:r>
          </w:p>
        </w:tc>
        <w:tc>
          <w:tcPr>
            <w:tcW w:type="dxa" w:w="4320"/>
          </w:tcPr>
          <w:p>
            <w:pPr>
              <w:spacing w:line="276" w:lineRule="auto" w:before="20" w:after="20"/>
            </w:pPr>
            <w:r/>
          </w:p>
        </w:tc>
      </w:tr>
      <w:tr>
        <w:tc>
          <w:tcPr>
            <w:tcW w:type="dxa" w:w="4320"/>
          </w:tcPr>
          <w:p>
            <w:pPr>
              <w:spacing w:line="276" w:lineRule="auto" w:before="20" w:after="20"/>
            </w:pPr>
            <w:r/>
            <w:r>
              <w:rPr>
                <w:rFonts w:ascii="Times New Roman" w:hAnsi="Times New Roman"/>
                <w:b/>
                <w:color w:val="000000"/>
                <w:sz w:val="18"/>
              </w:rPr>
              <w:t>DATACORE SYSTEMS, INC.,</w:t>
            </w:r>
          </w:p>
        </w:tc>
        <w:tc>
          <w:tcPr>
            <w:tcW w:type="dxa" w:w="4320"/>
          </w:tcPr>
          <w:p>
            <w:pPr>
              <w:spacing w:line="276" w:lineRule="auto" w:before="20" w:after="20"/>
            </w:pPr>
            <w:r/>
          </w:p>
        </w:tc>
      </w:tr>
      <w:tr>
        <w:tc>
          <w:tcPr>
            <w:tcW w:type="dxa" w:w="4320"/>
          </w:tcPr>
          <w:p>
            <w:pPr>
              <w:spacing w:line="276" w:lineRule="auto" w:before="20" w:after="20"/>
            </w:pPr>
            <w:r/>
            <w:r>
              <w:rPr>
                <w:rFonts w:ascii="Times New Roman" w:hAnsi="Times New Roman"/>
                <w:color w:val="000000"/>
                <w:sz w:val="18"/>
              </w:rPr>
              <w:t>&lt;!-- indent:2 --&gt;Defendant.&lt;!-- /indent --&gt;</w:t>
            </w:r>
          </w:p>
        </w:tc>
        <w:tc>
          <w:tcPr>
            <w:tcW w:type="dxa" w:w="4320"/>
          </w:tcPr>
          <w:p>
            <w:pPr>
              <w:spacing w:line="276" w:lineRule="auto" w:before="20" w:after="20"/>
            </w:pPr>
            <w:r/>
          </w:p>
        </w:tc>
      </w:tr>
    </w:tbl>
    <w:p/>
    <w:p>
      <w:pPr>
        <w:spacing w:line="276" w:lineRule="auto" w:before="0" w:after="120"/>
        <w:jc w:val="both"/>
      </w:pPr>
      <w:r>
        <w:rPr>
          <w:rFonts w:ascii="Times New Roman" w:hAnsi="Times New Roman"/>
          <w:color w:val="000000"/>
          <w:sz w:val="22"/>
        </w:rPr>
        <w:t>&amp;nbsp;</w:t>
      </w:r>
    </w:p>
    <w:p>
      <w:pPr>
        <w:spacing w:line="276" w:lineRule="auto" w:before="0" w:after="120"/>
        <w:jc w:val="center"/>
      </w:pPr>
      <w:r>
        <w:rPr>
          <w:rFonts w:ascii="Times New Roman" w:hAnsi="Times New Roman"/>
          <w:b/>
          <w:color w:val="000000"/>
          <w:sz w:val="22"/>
        </w:rPr>
        <w:t>DECLARATION OF THOMAS WHITFORD IN SUPPORT OF</w:t>
      </w:r>
      <w:r>
        <w:rPr>
          <w:rFonts w:ascii="Times New Roman" w:hAnsi="Times New Roman"/>
          <w:color w:val="000000"/>
          <w:sz w:val="22"/>
        </w:rPr>
        <w:t xml:space="preserve"> </w:t>
      </w:r>
      <w:r>
        <w:rPr>
          <w:rFonts w:ascii="Times New Roman" w:hAnsi="Times New Roman"/>
          <w:b/>
          <w:color w:val="000000"/>
          <w:sz w:val="22"/>
        </w:rPr>
        <w:t>DEFENDANT DATACORE SYSTEMS, INC.'S MOTION TO DISMISS</w:t>
      </w:r>
    </w:p>
    <w:p>
      <w:pPr>
        <w:spacing w:line="276" w:lineRule="auto" w:before="0" w:after="120"/>
        <w:jc w:val="both"/>
      </w:pPr>
      <w:r>
        <w:rPr>
          <w:rFonts w:ascii="Times New Roman" w:hAnsi="Times New Roman"/>
          <w:color w:val="000000"/>
          <w:sz w:val="22"/>
        </w:rPr>
        <w:t>&amp;nbsp;</w:t>
      </w:r>
    </w:p>
    <w:p>
      <w:pPr>
        <w:spacing w:line="276" w:lineRule="auto" w:before="20" w:after="20"/>
        <w:ind w:left="432" w:hanging="432"/>
        <w:jc w:val="both"/>
      </w:pPr>
      <w:r>
        <w:rPr>
          <w:rFonts w:ascii="Times New Roman" w:hAnsi="Times New Roman"/>
          <w:color w:val="000000"/>
          <w:sz w:val="22"/>
        </w:rPr>
        <w:t xml:space="preserve">1.  I, Thomas Whitford, declare as follows under penalty of perjury pursuant to 28 U.S.C. § 1746. I am a partner at the law firm of Braxton Cole LLP, headquartered at 2100 Ross Avenue, Suite 4500, Dallas, Texas 75201. I am lead counsel for Defendant DataCore Systems, Inc. ("DataCore" or "Defendant") in this action. I am duly licensed to practice law in the State of Texas and have been admitted </w:t>
      </w:r>
      <w:r>
        <w:rPr>
          <w:rFonts w:ascii="Times New Roman" w:hAnsi="Times New Roman"/>
          <w:i/>
          <w:color w:val="000000"/>
          <w:sz w:val="22"/>
        </w:rPr>
        <w:t>pro hac vice</w:t>
      </w:r>
      <w:r>
        <w:rPr>
          <w:rFonts w:ascii="Times New Roman" w:hAnsi="Times New Roman"/>
          <w:color w:val="000000"/>
          <w:sz w:val="22"/>
        </w:rPr>
        <w:t xml:space="preserve"> in this matter by Order of this Court entered on April 29, 2024. Shannon Pryor, a partner in Braxton Cole LLP's Atlanta, Georgia office, serves as local counsel for Defendant DataCore Systems, Inc. in this action. I have personal knowledge of the facts stated in this declaration unless otherwise indicated, and if called as a witness, I could and would competently testify thereto.</w:t>
      </w:r>
    </w:p>
    <w:p>
      <w:pPr>
        <w:spacing w:line="276" w:lineRule="auto" w:before="20" w:after="20"/>
        <w:ind w:left="432" w:hanging="432"/>
        <w:jc w:val="both"/>
      </w:pPr>
      <w:r>
        <w:rPr>
          <w:rFonts w:ascii="Times New Roman" w:hAnsi="Times New Roman"/>
          <w:color w:val="000000"/>
          <w:sz w:val="22"/>
        </w:rPr>
        <w:t>2.  I submit this declaration in support of DataCore's Motion to Dismiss Plaintiff Pinnacle Staffing Solutions, Inc.'s ("Pinnacle" or "Plaintiff") Complaint, filed pursuant to Federal Rules of Civil Procedure 12(b)(1) (lack of subject matter jurisdiction), 12(b)(2) (lack of personal jurisdiction), 12(b)(3) (improper venue), and 12(b)(6) (failure to state a claim upon which relief can be granted). The purpose of this declaration is twofold: first, to authenticate certain documents referenced in and attached to the Motion to Dismiss as exhibits; and second, to provide the Court with relevant information regarding DataCore's corporate structure, domicile, and contacts that bear on the jurisdictional and venue arguments set forth in the Motion.</w:t>
      </w:r>
    </w:p>
    <w:p>
      <w:pPr>
        <w:spacing w:line="276" w:lineRule="auto" w:before="20" w:after="20"/>
        <w:ind w:left="432" w:hanging="432"/>
        <w:jc w:val="both"/>
      </w:pPr>
      <w:r>
        <w:rPr>
          <w:rFonts w:ascii="Times New Roman" w:hAnsi="Times New Roman"/>
          <w:color w:val="000000"/>
          <w:sz w:val="22"/>
        </w:rPr>
        <w:t>3.  The facts set forth in this declaration are based on my personal knowledge, my review of DataCore's business records that have been made available to me in the course of my representation, and information provided to me by DataCore's officers and employees. Where any facts are stated on information and belief rather than personal knowledge, that basis is so stated.</w:t>
      </w:r>
    </w:p>
    <w:p>
      <w:pPr>
        <w:spacing w:line="276" w:lineRule="auto" w:before="20" w:after="20"/>
        <w:ind w:left="432" w:hanging="432"/>
        <w:jc w:val="both"/>
      </w:pPr>
      <w:r>
        <w:rPr>
          <w:rFonts w:ascii="Times New Roman" w:hAnsi="Times New Roman"/>
          <w:color w:val="000000"/>
          <w:sz w:val="22"/>
        </w:rPr>
        <w:t>4.  DataCore Systems, Inc. is a corporation duly organized and existing under the laws of the State of Delaware. DataCore was incorporated in the State of Delaware on September 12, 2014. DataCore's principal place of business is located at 750 Innovation Drive, Suite 300, Austin, Texas 78759. DataCore's corporate headquarters, executive leadership team, and principal business operations are all situated at the Austin, Texas location. DataCore's Chief Executive Officer, Rajesh Narayan, maintains his primary office at the Austin headquarters, where he directs the strategic, operational, and administrative affairs of the company. The Austin headquarters serves as the hub for DataCore's day-to-day business operations, including engineering, product development, customer support, human resources, finance, and corporate administration.</w:t>
      </w:r>
    </w:p>
    <w:p>
      <w:pPr>
        <w:spacing w:line="276" w:lineRule="auto" w:before="20" w:after="20"/>
        <w:ind w:left="432" w:hanging="432"/>
        <w:jc w:val="both"/>
      </w:pPr>
      <w:r>
        <w:rPr>
          <w:rFonts w:ascii="Times New Roman" w:hAnsi="Times New Roman"/>
          <w:color w:val="000000"/>
          <w:sz w:val="22"/>
        </w:rPr>
        <w:t xml:space="preserve">5.  As noted above, DataCore is incorporated in the State of Delaware. DataCore is also duly registered and authorized to transact business in the State of Texas, where its principal operations are conducted. Attached hereto as </w:t>
      </w:r>
      <w:r>
        <w:rPr>
          <w:rFonts w:ascii="Times New Roman" w:hAnsi="Times New Roman"/>
          <w:b/>
          <w:color w:val="000000"/>
          <w:sz w:val="22"/>
        </w:rPr>
        <w:t>Exhibit A</w:t>
      </w:r>
      <w:r>
        <w:rPr>
          <w:rFonts w:ascii="Times New Roman" w:hAnsi="Times New Roman"/>
          <w:color w:val="000000"/>
          <w:sz w:val="22"/>
        </w:rPr>
        <w:t xml:space="preserve"> is a true and correct copy of the Certificate of Incorporation of DataCore Systems, Inc., filed with the Secretary of State of the State of Delaware, which I obtained from DataCore's corporate records maintained at its Austin, Texas headquarters. Attached hereto as </w:t>
      </w:r>
      <w:r>
        <w:rPr>
          <w:rFonts w:ascii="Times New Roman" w:hAnsi="Times New Roman"/>
          <w:b/>
          <w:color w:val="000000"/>
          <w:sz w:val="22"/>
        </w:rPr>
        <w:t>Exhibit B</w:t>
      </w:r>
      <w:r>
        <w:rPr>
          <w:rFonts w:ascii="Times New Roman" w:hAnsi="Times New Roman"/>
          <w:color w:val="000000"/>
          <w:sz w:val="22"/>
        </w:rPr>
        <w:t xml:space="preserve"> is a true and correct copy of DataCore's Certificate of Authority to transact business in the State of Texas, issued by the Texas Secretary of State, which I likewise obtained from DataCore's corporate records.</w:t>
      </w:r>
    </w:p>
    <w:p>
      <w:pPr>
        <w:spacing w:line="276" w:lineRule="auto" w:before="20" w:after="20"/>
        <w:ind w:left="432" w:hanging="432"/>
        <w:jc w:val="both"/>
      </w:pPr>
      <w:r>
        <w:rPr>
          <w:rFonts w:ascii="Times New Roman" w:hAnsi="Times New Roman"/>
          <w:color w:val="000000"/>
          <w:sz w:val="22"/>
        </w:rPr>
        <w:t>6.  Based on my review of DataCore's corporate records and information provided to me by DataCore's officers, DataCore's corporate officers — including its Chief Executive Officer, Rajesh Narayan; its Chief Financial Officer; and its General Counsel — are all based at and maintain their respective offices at DataCore's Austin, Texas headquarters. DataCore's Board of Directors holds its regular and special meetings in Austin, Texas, or, when circumstances require, by videoconference initiated from Austin, Texas. DataCore's primary banking and financial relationships, including its principal corporate depository accounts and lines of credit, are maintained with financial institutions located in the State of Texas. DataCore's books and records, corporate minute books, and financial records are maintained at the Austin headquarters. DataCore does not maintain its principal place of business, corporate headquarters, or primary offices in the State of Georgia. To the best of my knowledge and based on the information provided to me, DataCore's corporate decision-making, strategic planning, and executive management functions are centralized in Austin, Texas.</w:t>
      </w:r>
    </w:p>
    <w:p>
      <w:pPr>
        <w:spacing w:line="276" w:lineRule="auto" w:before="20" w:after="20"/>
        <w:ind w:left="432" w:hanging="432"/>
        <w:jc w:val="both"/>
      </w:pPr>
      <w:r>
        <w:rPr>
          <w:rFonts w:ascii="Times New Roman" w:hAnsi="Times New Roman"/>
          <w:color w:val="000000"/>
          <w:sz w:val="22"/>
        </w:rPr>
        <w:t>7.  DataCore is a national software-as-a-service ("SaaS") provider that serves clients in all fifty states and the District of Columbia through its cloud-based workforce management platform known as TalentBridge. The TalentBridge platform is hosted on cloud servers located in data centers situated in Northern Virginia and Oregon, which are maintained by third-party hosting providers. The TalentBridge platform is not hosted on, nor are its servers located in, the State of Georgia. Customer support for the TalentBridge platform is provided remotely from DataCore's Austin, Texas headquarters, where DataCore's customer success and technical support teams are based. DataCore's engineering and product development teams, which are responsible for the design, development, maintenance, and enhancement of the TalentBridge platform, are likewise based in Austin, Texas.</w:t>
      </w:r>
    </w:p>
    <w:p>
      <w:pPr>
        <w:spacing w:line="276" w:lineRule="auto" w:before="20" w:after="20"/>
        <w:ind w:left="432" w:hanging="432"/>
        <w:jc w:val="both"/>
      </w:pPr>
      <w:r>
        <w:rPr>
          <w:rFonts w:ascii="Times New Roman" w:hAnsi="Times New Roman"/>
          <w:color w:val="000000"/>
          <w:sz w:val="22"/>
        </w:rPr>
        <w:t xml:space="preserve">8.  Attached hereto as </w:t>
      </w:r>
      <w:r>
        <w:rPr>
          <w:rFonts w:ascii="Times New Roman" w:hAnsi="Times New Roman"/>
          <w:b/>
          <w:color w:val="000000"/>
          <w:sz w:val="22"/>
        </w:rPr>
        <w:t>Exhibit A</w:t>
      </w:r>
      <w:r>
        <w:rPr>
          <w:rFonts w:ascii="Times New Roman" w:hAnsi="Times New Roman"/>
          <w:color w:val="000000"/>
          <w:sz w:val="22"/>
        </w:rPr>
        <w:t xml:space="preserve"> is a true and correct copy of the Certificate of Incorporation of DataCore Systems, Inc., as filed with the Secretary of State of the State of Delaware on September 12, 2014. I obtained this document directly from DataCore's corporate records maintained at its Austin, Texas headquarters, and I have verified its authenticity against the records available through the Delaware Division of Corporations.</w:t>
      </w:r>
    </w:p>
    <w:p>
      <w:pPr>
        <w:spacing w:line="276" w:lineRule="auto" w:before="20" w:after="20"/>
        <w:ind w:left="432" w:hanging="432"/>
        <w:jc w:val="both"/>
      </w:pPr>
      <w:r>
        <w:rPr>
          <w:rFonts w:ascii="Times New Roman" w:hAnsi="Times New Roman"/>
          <w:color w:val="000000"/>
          <w:sz w:val="22"/>
        </w:rPr>
        <w:t xml:space="preserve">9.  Attached hereto as </w:t>
      </w:r>
      <w:r>
        <w:rPr>
          <w:rFonts w:ascii="Times New Roman" w:hAnsi="Times New Roman"/>
          <w:b/>
          <w:color w:val="000000"/>
          <w:sz w:val="22"/>
        </w:rPr>
        <w:t>Exhibit B</w:t>
      </w:r>
      <w:r>
        <w:rPr>
          <w:rFonts w:ascii="Times New Roman" w:hAnsi="Times New Roman"/>
          <w:color w:val="000000"/>
          <w:sz w:val="22"/>
        </w:rPr>
        <w:t xml:space="preserve"> is a true and correct copy of DataCore's Certificate of Authority to transact business in the State of Texas, issued by the Texas Secretary of State. I obtained this document from DataCore's corporate records maintained at its Austin, Texas headquarters.</w:t>
      </w:r>
    </w:p>
    <w:p>
      <w:pPr>
        <w:spacing w:line="276" w:lineRule="auto" w:before="20" w:after="20"/>
        <w:ind w:left="432" w:hanging="432"/>
        <w:jc w:val="both"/>
      </w:pPr>
      <w:r>
        <w:rPr>
          <w:rFonts w:ascii="Times New Roman" w:hAnsi="Times New Roman"/>
          <w:color w:val="000000"/>
          <w:sz w:val="22"/>
        </w:rPr>
        <w:t xml:space="preserve">10.  Attached hereto as </w:t>
      </w:r>
      <w:r>
        <w:rPr>
          <w:rFonts w:ascii="Times New Roman" w:hAnsi="Times New Roman"/>
          <w:b/>
          <w:color w:val="000000"/>
          <w:sz w:val="22"/>
        </w:rPr>
        <w:t>Exhibit C</w:t>
      </w:r>
      <w:r>
        <w:rPr>
          <w:rFonts w:ascii="Times New Roman" w:hAnsi="Times New Roman"/>
          <w:color w:val="000000"/>
          <w:sz w:val="22"/>
        </w:rPr>
        <w:t xml:space="preserve"> is a true and correct copy of the Master Services Agreement (the "MSA") between Pinnacle Staffing Solutions, Inc. and DataCore Systems, Inc., dated March 15, 2022. The MSA was executed on behalf of DataCore by Victor Sousa, Vice President of Sales, Southeast Region, and on behalf of Pinnacle by Cheryl Nance, Chief Technology Officer. I obtained this copy of the MSA from DataCore's contract management system, and I have confirmed with DataCore's personnel that it is a complete and accurate copy of the agreement as executed by both parties.</w:t>
      </w:r>
    </w:p>
    <w:p>
      <w:pPr>
        <w:spacing w:line="276" w:lineRule="auto" w:before="20" w:after="20"/>
        <w:ind w:left="432" w:hanging="432"/>
        <w:jc w:val="both"/>
      </w:pPr>
      <w:r>
        <w:rPr>
          <w:rFonts w:ascii="Times New Roman" w:hAnsi="Times New Roman"/>
          <w:color w:val="000000"/>
          <w:sz w:val="22"/>
        </w:rPr>
        <w:t>11.  I respectfully direct the Court's attention to the following provisions of the MSA, which are of particular relevance to DataCore's Motion to Dismiss. Section 14.2 of the MSA contains a forum selection clause providing that any disputes arising out of or related to the MSA shall be subject to the exclusive jurisdiction of the state and federal courts located in Travis County, Texas, and that both parties consent to personal jurisdiction in such courts. Section 14.3 of the MSA contains a choice-of-law provision specifying that the MSA shall be governed by and construed in accordance with the laws of the State of Texas, without regard to its conflict-of-laws principles. Section 14.7 of the MSA is an integration clause providing that the MSA constitutes the entire agreement between the parties and supersedes all prior or contemporaneous representations, understandings, or agreements. Section 11.1 of the MSA contains a limitation of liability provision that caps DataCore's aggregate liability to the total fees paid by Pinnacle in the twelve-month period immediately preceding the event giving rise to the claim. Section 11.2 of the MSA contains a mutual waiver of consequential, incidental, indirect, special, and punitive damages. Section 9.4 of the MSA provides a one-year contractual limitations period for any claims arising out of or related to the MSA. These provisions were freely negotiated between sophisticated commercial parties represented by competent counsel, and they reflect the mutual agreement of both Pinnacle and DataCore as to the terms governing their business relationship.</w:t>
      </w:r>
    </w:p>
    <w:p>
      <w:pPr>
        <w:spacing w:line="276" w:lineRule="auto" w:before="20" w:after="20"/>
        <w:ind w:left="432" w:hanging="432"/>
        <w:jc w:val="both"/>
      </w:pPr>
      <w:r>
        <w:rPr>
          <w:rFonts w:ascii="Times New Roman" w:hAnsi="Times New Roman"/>
          <w:color w:val="000000"/>
          <w:sz w:val="22"/>
        </w:rPr>
        <w:t>12.  Based on information provided to me by DataCore's personnel, the MSA was the product of arm's-length negotiations between the parties conducted primarily by email and videoconference between approximately December 2021 and March 2022. The negotiations involved representatives from both DataCore and Pinnacle, including discussions regarding scope of services, pricing, service level commitments, and contractual terms and conditions. The MSA was ultimately executed on March 15, 2022. DataCore's standard terms and conditions, including the forum selection clause, choice-of-law provision, limitation of liability, consequential damages waiver, and one-year contractual limitations period, were presented to Pinnacle in DataCore's initial proposal and were not modified during the negotiation process. Pinnacle had a full and fair opportunity to review, negotiate, and object to these terms prior to execution.</w:t>
      </w:r>
    </w:p>
    <w:p>
      <w:pPr>
        <w:spacing w:line="276" w:lineRule="auto" w:before="20" w:after="20"/>
        <w:ind w:left="432" w:hanging="432"/>
        <w:jc w:val="both"/>
      </w:pPr>
      <w:r>
        <w:rPr>
          <w:rFonts w:ascii="Times New Roman" w:hAnsi="Times New Roman"/>
          <w:color w:val="000000"/>
          <w:sz w:val="22"/>
        </w:rPr>
        <w:t>13.  Pinnacle Staffing Solutions, Inc. is one of approximately 1,400 active DataCore TalentBridge customers nationwide. The MSA executed with Pinnacle was one of many standard-form SaaS subscription agreements entered into by DataCore with customers across the United States in the ordinary course of its business. DataCore's customer base spans all fifty states and includes companies of varying sizes operating in a wide range of industries. No unique or special relationship existed between DataCore and Pinnacle that would distinguish this transaction from DataCore's ordinary course of business conducted from its Austin, Texas headquarters. The terms offered to Pinnacle, including the contractual provisions identified above, were consistent with DataCore's standard commercial terms applicable to its customer base generally.</w:t>
      </w:r>
    </w:p>
    <w:p>
      <w:pPr>
        <w:spacing w:line="276" w:lineRule="auto" w:before="20" w:after="20"/>
        <w:ind w:left="432" w:hanging="432"/>
        <w:jc w:val="both"/>
      </w:pPr>
      <w:r>
        <w:rPr>
          <w:rFonts w:ascii="Times New Roman" w:hAnsi="Times New Roman"/>
          <w:color w:val="000000"/>
          <w:sz w:val="22"/>
        </w:rPr>
        <w:t>14.  The TalentBridge platform was implemented for Pinnacle between approximately March 2022 and June 2022, with implementation completed on or about June 30, 2022. The implementation was managed by DataCore's implementation team based in Austin, Texas, and was delivered remotely via DataCore's cloud infrastructure. Data migration, system configuration, and user training were all conducted through remote electronic means, consistent with DataCore's standard implementation methodology for its SaaS customers.</w:t>
      </w:r>
    </w:p>
    <w:p>
      <w:pPr>
        <w:spacing w:line="276" w:lineRule="auto" w:before="20" w:after="20"/>
        <w:ind w:left="432" w:hanging="432"/>
        <w:jc w:val="both"/>
      </w:pPr>
      <w:r>
        <w:rPr>
          <w:rFonts w:ascii="Times New Roman" w:hAnsi="Times New Roman"/>
          <w:color w:val="000000"/>
          <w:sz w:val="22"/>
        </w:rPr>
        <w:t xml:space="preserve">15.  Plaintiff Pinnacle Staffing Solutions, Inc. filed its Complaint in this action on March 22, 2024, alleging four causes of action against DataCore: Breach of Contract (Count I), Fraudulent Inducement (Count II), Negligent Misrepresentation (Count III), and Violation of the Georgia Uniform Deceptive Trade Practices Act, O.C.G.A. § 10-1-370 </w:t>
      </w:r>
      <w:r>
        <w:rPr>
          <w:rFonts w:ascii="Times New Roman" w:hAnsi="Times New Roman"/>
          <w:i/>
          <w:color w:val="000000"/>
          <w:sz w:val="22"/>
        </w:rPr>
        <w:t>et seq.</w:t>
      </w:r>
      <w:r>
        <w:rPr>
          <w:rFonts w:ascii="Times New Roman" w:hAnsi="Times New Roman"/>
          <w:color w:val="000000"/>
          <w:sz w:val="22"/>
        </w:rPr>
        <w:t xml:space="preserve"> (Count IV). DataCore denies the material allegations set forth in the Complaint and respectfully submits that each of Plaintiff's claims is subject to dismissal for the reasons set forth in DataCore's Motion to Dismiss and the accompanying memorandum of law.</w:t>
      </w:r>
    </w:p>
    <w:p>
      <w:pPr>
        <w:spacing w:line="276" w:lineRule="auto" w:before="20" w:after="20"/>
        <w:ind w:left="432" w:hanging="432"/>
        <w:jc w:val="both"/>
      </w:pPr>
      <w:r>
        <w:rPr>
          <w:rFonts w:ascii="Times New Roman" w:hAnsi="Times New Roman"/>
          <w:color w:val="000000"/>
          <w:sz w:val="22"/>
        </w:rPr>
        <w:t>16.  I declare under penalty of perjury under the laws of the United States of America that the foregoing is true and correct. Executed on May 20, 2024, in Austin, Texas.</w:t>
      </w:r>
    </w:p>
    <w:p>
      <w:pPr>
        <w:spacing w:line="276" w:lineRule="auto" w:before="0" w:after="120"/>
        <w:jc w:val="both"/>
      </w:pPr>
      <w:r>
        <w:rPr>
          <w:rFonts w:ascii="Times New Roman" w:hAnsi="Times New Roman"/>
          <w:color w:val="000000"/>
          <w:sz w:val="22"/>
        </w:rPr>
        <w:t>&amp;nbsp;</w:t>
      </w:r>
    </w:p>
    <w:p>
      <w:pPr>
        <w:spacing w:line="276" w:lineRule="auto" w:before="240" w:after="20"/>
        <w:jc w:val="both"/>
      </w:pPr>
      <w:r>
        <w:rPr>
          <w:rFonts w:ascii="Times New Roman" w:hAnsi="Times New Roman"/>
          <w:color w:val="000000"/>
          <w:sz w:val="22"/>
        </w:rPr>
        <w:t>________________________________________</w:t>
      </w:r>
    </w:p>
    <w:p>
      <w:pPr>
        <w:spacing w:line="240" w:lineRule="auto" w:before="20" w:after="20"/>
        <w:jc w:val="both"/>
      </w:pPr>
      <w:r>
        <w:rPr>
          <w:rFonts w:ascii="Times New Roman" w:hAnsi="Times New Roman"/>
          <w:color w:val="000000"/>
          <w:sz w:val="22"/>
        </w:rPr>
        <w:t>Thomas Whitford Partner, Braxton Cole LLP 2100 Ross Avenue, Suite 4500 Dallas, Texas 75201 Telephone: (214) 558-7200</w:t>
      </w:r>
    </w:p>
    <w:p>
      <w:pPr>
        <w:spacing w:line="240" w:lineRule="auto" w:before="20" w:after="20"/>
        <w:jc w:val="left"/>
      </w:pPr>
      <w:r>
        <w:rPr>
          <w:rFonts w:ascii="Times New Roman" w:hAnsi="Times New Roman"/>
          <w:color w:val="000000"/>
          <w:sz w:val="22"/>
        </w:rPr>
        <w:t>Email: twhitford@braxtoncole.com</w:t>
      </w:r>
    </w:p>
    <w:p>
      <w:pPr>
        <w:spacing w:line="240" w:lineRule="auto" w:before="20" w:after="20"/>
        <w:jc w:val="both"/>
      </w:pPr>
      <w:r>
        <w:rPr>
          <w:rFonts w:ascii="Times New Roman" w:hAnsi="Times New Roman"/>
          <w:color w:val="000000"/>
          <w:sz w:val="22"/>
        </w:rPr>
        <w:t>Counsel for Defendant DataCore Systems, Inc.</w:t>
      </w:r>
    </w:p>
    <w:p>
      <w:r>
        <w:br w:type="page"/>
      </w:r>
    </w:p>
    <w:p>
      <w:pPr>
        <w:spacing w:line="276" w:lineRule="auto" w:before="0" w:after="120"/>
        <w:jc w:val="center"/>
      </w:pPr>
      <w:r>
        <w:rPr>
          <w:rFonts w:ascii="Times New Roman" w:hAnsi="Times New Roman"/>
          <w:b/>
          <w:color w:val="000000"/>
          <w:sz w:val="22"/>
        </w:rPr>
        <w:t>EXHIBIT LIST</w:t>
      </w:r>
    </w:p>
    <w:p>
      <w:pPr>
        <w:spacing w:line="276" w:lineRule="auto" w:before="0" w:after="120"/>
        <w:jc w:val="both"/>
      </w:pPr>
      <w:r>
        <w:rPr>
          <w:rFonts w:ascii="Times New Roman" w:hAnsi="Times New Roman"/>
          <w:color w:val="000000"/>
          <w:sz w:val="22"/>
        </w:rPr>
        <w:t>&amp;nbsp;</w:t>
      </w:r>
    </w:p>
    <w:p>
      <w:pPr>
        <w:spacing w:line="276" w:lineRule="auto" w:before="0" w:after="120"/>
        <w:jc w:val="both"/>
      </w:pPr>
      <w:r>
        <w:rPr>
          <w:rFonts w:ascii="Times New Roman" w:hAnsi="Times New Roman"/>
          <w:color w:val="000000"/>
          <w:sz w:val="22"/>
        </w:rPr>
        <w:t>The following exhibits are attached to and incorporated by reference in the Declaration of Thomas Whitford:</w:t>
      </w:r>
    </w:p>
    <w:p>
      <w:pPr>
        <w:spacing w:line="276" w:lineRule="auto" w:before="0" w:after="120"/>
        <w:jc w:val="both"/>
      </w:pPr>
      <w:r>
        <w:rPr>
          <w:rFonts w:ascii="Times New Roman" w:hAnsi="Times New Roman"/>
          <w:b/>
          <w:color w:val="000000"/>
          <w:sz w:val="22"/>
        </w:rPr>
        <w:t>Exhibit A:</w:t>
      </w:r>
      <w:r>
        <w:rPr>
          <w:rFonts w:ascii="Times New Roman" w:hAnsi="Times New Roman"/>
          <w:color w:val="000000"/>
          <w:sz w:val="22"/>
        </w:rPr>
        <w:t xml:space="preserve"> Certificate of Incorporation — DataCore Systems, Inc., filed with the Secretary of State of the State of Delaware on September 12, 2014.</w:t>
      </w:r>
    </w:p>
    <w:p>
      <w:pPr>
        <w:spacing w:line="276" w:lineRule="auto" w:before="0" w:after="120"/>
        <w:jc w:val="both"/>
      </w:pPr>
      <w:r>
        <w:rPr>
          <w:rFonts w:ascii="Times New Roman" w:hAnsi="Times New Roman"/>
          <w:b/>
          <w:color w:val="000000"/>
          <w:sz w:val="22"/>
        </w:rPr>
        <w:t>Exhibit B:</w:t>
      </w:r>
      <w:r>
        <w:rPr>
          <w:rFonts w:ascii="Times New Roman" w:hAnsi="Times New Roman"/>
          <w:color w:val="000000"/>
          <w:sz w:val="22"/>
        </w:rPr>
        <w:t xml:space="preserve"> Certificate of Authority — DataCore Systems, Inc., issued by the Secretary of State of the State of Texas, authorizing DataCore to transact business in the State of Texas.</w:t>
      </w:r>
    </w:p>
    <w:p>
      <w:pPr>
        <w:spacing w:line="276" w:lineRule="auto" w:before="0" w:after="120"/>
        <w:jc w:val="both"/>
      </w:pPr>
      <w:r>
        <w:rPr>
          <w:rFonts w:ascii="Times New Roman" w:hAnsi="Times New Roman"/>
          <w:b/>
          <w:color w:val="000000"/>
          <w:sz w:val="22"/>
        </w:rPr>
        <w:t>Exhibit C:</w:t>
      </w:r>
      <w:r>
        <w:rPr>
          <w:rFonts w:ascii="Times New Roman" w:hAnsi="Times New Roman"/>
          <w:color w:val="000000"/>
          <w:sz w:val="22"/>
        </w:rPr>
        <w:t xml:space="preserve"> Master Services Agreement between Pinnacle Staffing Solutions, Inc. and DataCore Systems, Inc., dated March 15, 2022.</w:t>
      </w:r>
    </w:p>
    <w:p>
      <w:pPr>
        <w:spacing w:line="276" w:lineRule="auto" w:before="0" w:after="120"/>
        <w:jc w:val="both"/>
      </w:pPr>
      <w:r>
        <w:rPr>
          <w:rFonts w:ascii="Times New Roman" w:hAnsi="Times New Roman"/>
          <w:i/>
          <w:color w:val="000000"/>
          <w:sz w:val="18"/>
        </w:rPr>
        <w:t>Note: The full text of each exhibit is attached separately to this Declaration and filed contemporaneously herewith.</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rPr>
        <w:rFonts w:ascii="Times New Roman" w:hAnsi="Times New Roman"/>
        <w:color w:val="808080"/>
        <w:sz w:val="16"/>
      </w:rPr>
      <w:t>DECLARATION OF THOMAS WHITFORD IN SUPPORT OF DEFENDANT'S MOTION TO DISMISS</w:t>
    </w:r>
  </w:p>
  <w:p>
    <w:pPr>
      <w:pStyle w:val="Footer"/>
      <w:jc w:val="center"/>
    </w:pPr>
    <w:r>
      <w:rPr>
        <w:rFonts w:ascii="Times New Roman" w:hAnsi="Times New Roman"/>
        <w:color w:val="808080"/>
        <w:sz w:val="18"/>
      </w:rPr>
      <w:fldChar w:fldCharType="begin"/>
    </w:r>
    <w:r>
      <w:instrText xml:space="preserve"> PAGE </w:instrText>
    </w:r>
    <w:r>
      <w:fldChar w:fldCharType="separate"/>
    </w:r>
    <w:r>
      <w:rPr>
        <w:rFonts w:ascii="Times New Roman" w:hAnsi="Times New Roman"/>
        <w:color w:val="808080"/>
        <w:sz w:val="18"/>
      </w:rPr>
      <w:t>1</w:t>
    </w:r>
    <w:r>
      <w:fldChar w:fldCharType="end"/>
    </w:r>
    <w:r>
      <w:rPr>
        <w:rFonts w:ascii="Times New Roman" w:hAnsi="Times New Roman"/>
        <w:color w:val="808080"/>
        <w:sz w:val="18"/>
      </w:rPr>
      <w:t xml:space="preserve"> of </w:t>
    </w:r>
    <w:r>
      <w:fldChar w:fldCharType="begin"/>
    </w:r>
    <w:r>
      <w:instrText xml:space="preserve"> NUMPAGES </w:instrText>
    </w:r>
    <w:r>
      <w:fldChar w:fldCharType="separate"/>
    </w:r>
    <w:r>
      <w:rPr>
        <w:rFonts w:ascii="Times New Roman" w:hAnsi="Times New Roman"/>
        <w:color w:val="808080"/>
        <w:sz w:val="18"/>
      </w:rP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color w:val="808080"/>
        <w:sz w:val="18"/>
      </w:rPr>
      <w:t>Case No. 1:24-cv-01287-RWS — Declaration of Thomas Whitford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before="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