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line="276" w:lineRule="auto" w:before="120" w:after="240"/>
        <w:jc w:val="center"/>
      </w:pPr>
      <w:r>
        <w:rPr>
          <w:rFonts w:ascii="Times New Roman" w:hAnsi="Times New Roman"/>
          <w:b/>
          <w:color w:val="000000"/>
          <w:sz w:val="28"/>
          <w:u w:val="single"/>
        </w:rPr>
        <w:t>TECHNOLOGY LICENSE AGREEMENT</w:t>
      </w:r>
    </w:p>
    <w:p>
      <w:pPr>
        <w:spacing w:line="276" w:lineRule="auto" w:before="0" w:after="120"/>
        <w:jc w:val="center"/>
      </w:pPr>
      <w:r>
        <w:rPr>
          <w:rFonts w:ascii="Times New Roman" w:hAnsi="Times New Roman"/>
          <w:b/>
          <w:color w:val="000000"/>
          <w:sz w:val="22"/>
        </w:rPr>
        <w:t>Agreement No. HAS-LIC-2020-0088</w:t>
      </w:r>
    </w:p>
    <w:p>
      <w:pPr>
        <w:spacing w:line="276" w:lineRule="auto" w:before="0" w:after="120"/>
        <w:jc w:val="both"/>
      </w:pPr>
      <w:r>
        <w:rPr>
          <w:rFonts w:ascii="Times New Roman" w:hAnsi="Times New Roman"/>
          <w:color w:val="000000"/>
          <w:sz w:val="22"/>
        </w:rPr>
        <w:t xml:space="preserve">This Technology License Agreement (this "Agreement"), dated as of March 1, 2020 (the "Effective Date"), is entered into by and between </w:t>
      </w:r>
      <w:r>
        <w:rPr>
          <w:rFonts w:ascii="Times New Roman" w:hAnsi="Times New Roman"/>
          <w:b/>
          <w:color w:val="000000"/>
          <w:sz w:val="22"/>
        </w:rPr>
        <w:t>Hendricks Automation Systems, Inc.</w:t>
      </w:r>
      <w:r>
        <w:rPr>
          <w:rFonts w:ascii="Times New Roman" w:hAnsi="Times New Roman"/>
          <w:color w:val="000000"/>
          <w:sz w:val="22"/>
        </w:rPr>
        <w:t xml:space="preserve">, a Massachusetts corporation ("Licensor" or "Hendricks"), with principal offices at 55 Automation Way, Cambridge, MA 02142, and </w:t>
      </w:r>
      <w:r>
        <w:rPr>
          <w:rFonts w:ascii="Times New Roman" w:hAnsi="Times New Roman"/>
          <w:b/>
          <w:color w:val="000000"/>
          <w:sz w:val="22"/>
        </w:rPr>
        <w:t>Apex Industrial Technologies, Inc.</w:t>
      </w:r>
      <w:r>
        <w:rPr>
          <w:rFonts w:ascii="Times New Roman" w:hAnsi="Times New Roman"/>
          <w:color w:val="000000"/>
          <w:sz w:val="22"/>
        </w:rPr>
        <w:t>, a Delaware corporation ("Licensee" or "Apex"), with principal offices at 4200 Crescent Ridge Parkway, Suite 600, Cincinnati, OH 45202. Licensor and Licensee are each referred to herein individually as a "Party" and collectively as the "Parties."</w:t>
      </w:r>
    </w:p>
    <w:p>
      <w:pPr>
        <w:keepNext/>
        <w:spacing w:line="276" w:lineRule="auto" w:before="360" w:after="120"/>
        <w:jc w:val="left"/>
      </w:pPr>
      <w:r>
        <w:rPr>
          <w:rFonts w:ascii="Times New Roman" w:hAnsi="Times New Roman"/>
          <w:b/>
          <w:color w:val="000000"/>
          <w:sz w:val="22"/>
          <w:u w:val="single"/>
        </w:rPr>
        <w:t>RECITALS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Hendricks has developed and owns proprietary predictive maintenance software technology known as the "FlowLogic" predictive maintenance algorithm (the "Licensed Technology"), which enables real-time predictive analytics for fluid control system performance and maintenance scheduling;</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Apex designs and manufactures precision fluid control valves, actuators, and related automation systems for the oil and gas, petrochemical, and water treatment industries, and desires to integrate the Licensed Technology into its product offerings;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Apex has developed and markets the AX-7000 series of intelligent valve actuator systems (the "AX-7000 Product Line"), and Apex intends to embed the FlowLogic algorithm as a core component of the AX-7000 Product Line's predictive maintenance functionality;</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Apex's manufacturing operations rely upon the Crestline ERP Platform v.8.2, provided by Crestline Software Solutions, LLC ("Crestline"), for production scheduling, inventory management, quality control tracking, and order fulfillment, and the integration of the Licensed Technology into the AX-7000 Product Line is facilitated through data interfaces with the Crestline ERP Platform. The Parties acknowledge that data exchange between the FlowLogic algorithm and the Crestline ERP system — including the transfer of real-time sensor telemetry, production batch identifiers, component lifecycle records, and maintenance scheduling data — is integral to the deployment of the Licensed Technology in Apex's production environment, and that the Licensed Technology has been configured and optimized to operate within the Crestline ERP Platform v.8.2 data architecture;</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Hendricks is willing to grant Apex a license to use the Licensed Technology subject to the terms and conditions set forth herein;</w:t>
      </w:r>
    </w:p>
    <w:p>
      <w:pPr>
        <w:spacing w:line="276" w:lineRule="auto" w:before="0" w:after="120"/>
        <w:jc w:val="both"/>
      </w:pPr>
      <w:r>
        <w:rPr>
          <w:rFonts w:ascii="Times New Roman" w:hAnsi="Times New Roman"/>
          <w:b/>
          <w:color w:val="000000"/>
          <w:sz w:val="22"/>
        </w:rPr>
        <w:t>NOW, THEREFORE</w:t>
      </w:r>
      <w:r>
        <w:rPr>
          <w:rFonts w:ascii="Times New Roman" w:hAnsi="Times New Roman"/>
          <w:color w:val="000000"/>
          <w:sz w:val="22"/>
        </w:rPr>
        <w:t>, in consideration of the mutual covenants and agreements hereinafter set forth and for other good and valuable consideration, the receipt and sufficiency of which are hereby acknowledged, the Parties agree as follows:</w:t>
      </w:r>
    </w:p>
    <w:p>
      <w:pPr>
        <w:keepNext/>
        <w:spacing w:line="276" w:lineRule="auto" w:before="360" w:after="120"/>
        <w:jc w:val="left"/>
      </w:pPr>
      <w:r>
        <w:rPr>
          <w:rFonts w:ascii="Times New Roman" w:hAnsi="Times New Roman"/>
          <w:b/>
          <w:color w:val="000000"/>
          <w:sz w:val="22"/>
          <w:u w:val="single"/>
        </w:rPr>
        <w:t>ARTICLE 1 — DEFINITIONS</w:t>
      </w:r>
    </w:p>
    <w:p>
      <w:pPr>
        <w:spacing w:line="276" w:lineRule="auto" w:before="0" w:after="120"/>
        <w:jc w:val="both"/>
      </w:pPr>
      <w:r>
        <w:rPr>
          <w:rFonts w:ascii="Times New Roman" w:hAnsi="Times New Roman"/>
          <w:color w:val="000000"/>
          <w:sz w:val="22"/>
        </w:rPr>
        <w:t>As used in this Agreement, the following terms shall have the meanings set forth below:</w:t>
      </w:r>
    </w:p>
    <w:p>
      <w:pPr>
        <w:spacing w:line="276" w:lineRule="auto" w:before="0" w:after="120"/>
        <w:jc w:val="both"/>
      </w:pPr>
      <w:r>
        <w:rPr>
          <w:rFonts w:ascii="Times New Roman" w:hAnsi="Times New Roman"/>
          <w:b/>
          <w:color w:val="000000"/>
          <w:sz w:val="22"/>
        </w:rPr>
        <w:t>1.1</w:t>
      </w:r>
      <w:r>
        <w:rPr>
          <w:rFonts w:ascii="Times New Roman" w:hAnsi="Times New Roman"/>
          <w:color w:val="000000"/>
          <w:sz w:val="22"/>
        </w:rPr>
        <w:t xml:space="preserve"> "</w:t>
      </w:r>
      <w:r>
        <w:rPr>
          <w:rFonts w:ascii="Times New Roman" w:hAnsi="Times New Roman"/>
          <w:b/>
          <w:color w:val="000000"/>
          <w:sz w:val="22"/>
        </w:rPr>
        <w:t>Affiliate</w:t>
      </w:r>
      <w:r>
        <w:rPr>
          <w:rFonts w:ascii="Times New Roman" w:hAnsi="Times New Roman"/>
          <w:color w:val="000000"/>
          <w:sz w:val="22"/>
        </w:rPr>
        <w:t>" means, with respect to either Party, any entity that directly or indirectly controls, is controlled by, or is under common control with such Party, where "control" means the ownership of fifty percent (50%) or more of the outstanding voting securities or equivalent ownership interest of such entity.</w:t>
      </w:r>
    </w:p>
    <w:p>
      <w:pPr>
        <w:spacing w:line="276" w:lineRule="auto" w:before="0" w:after="120"/>
        <w:jc w:val="both"/>
      </w:pPr>
      <w:r>
        <w:rPr>
          <w:rFonts w:ascii="Times New Roman" w:hAnsi="Times New Roman"/>
          <w:b/>
          <w:color w:val="000000"/>
          <w:sz w:val="22"/>
        </w:rPr>
        <w:t>1.2</w:t>
      </w:r>
      <w:r>
        <w:rPr>
          <w:rFonts w:ascii="Times New Roman" w:hAnsi="Times New Roman"/>
          <w:color w:val="000000"/>
          <w:sz w:val="22"/>
        </w:rPr>
        <w:t xml:space="preserve"> "</w:t>
      </w:r>
      <w:r>
        <w:rPr>
          <w:rFonts w:ascii="Times New Roman" w:hAnsi="Times New Roman"/>
          <w:b/>
          <w:color w:val="000000"/>
          <w:sz w:val="22"/>
        </w:rPr>
        <w:t>AX-7000 Product Line</w:t>
      </w:r>
      <w:r>
        <w:rPr>
          <w:rFonts w:ascii="Times New Roman" w:hAnsi="Times New Roman"/>
          <w:color w:val="000000"/>
          <w:sz w:val="22"/>
        </w:rPr>
        <w:t>" means Apex's line of intelligent valve actuator systems designated as AX-7000, including all variants, successor models, and derivative products incorporating the Licensed Technology.</w:t>
      </w:r>
    </w:p>
    <w:p>
      <w:pPr>
        <w:spacing w:line="276" w:lineRule="auto" w:before="0" w:after="120"/>
        <w:jc w:val="both"/>
      </w:pPr>
      <w:r>
        <w:rPr>
          <w:rFonts w:ascii="Times New Roman" w:hAnsi="Times New Roman"/>
          <w:b/>
          <w:color w:val="000000"/>
          <w:sz w:val="22"/>
        </w:rPr>
        <w:t>1.3</w:t>
      </w:r>
      <w:r>
        <w:rPr>
          <w:rFonts w:ascii="Times New Roman" w:hAnsi="Times New Roman"/>
          <w:color w:val="000000"/>
          <w:sz w:val="22"/>
        </w:rPr>
        <w:t xml:space="preserve"> "</w:t>
      </w:r>
      <w:r>
        <w:rPr>
          <w:rFonts w:ascii="Times New Roman" w:hAnsi="Times New Roman"/>
          <w:b/>
          <w:color w:val="000000"/>
          <w:sz w:val="22"/>
        </w:rPr>
        <w:t>Change of Control</w:t>
      </w:r>
      <w:r>
        <w:rPr>
          <w:rFonts w:ascii="Times New Roman" w:hAnsi="Times New Roman"/>
          <w:color w:val="000000"/>
          <w:sz w:val="22"/>
        </w:rPr>
        <w:t>" means, with respect to Licensee, (a) any merger, consolidation, or reorganization involving Licensee, whether or not Licensee is the surviving entity; (b) the sale, transfer, or other disposition of all or substantially all of Licensee's assets; (c) the acquisition by any person or group of persons of beneficial ownership of more than fifty percent (50%) of the outstanding voting securities of Licensee; or (d) any other transaction or series of related transactions that results in a change in the identity of the person or persons who ultimately control Licensee. For purposes of clarity, a Change of Control shall be deemed to have occurred regardless of the form of transaction, including without limitation forward mergers, reverse mergers, triangular mergers, and any combination thereof.</w:t>
      </w:r>
    </w:p>
    <w:p>
      <w:pPr>
        <w:spacing w:line="276" w:lineRule="auto" w:before="0" w:after="120"/>
        <w:jc w:val="both"/>
      </w:pPr>
      <w:r>
        <w:rPr>
          <w:rFonts w:ascii="Times New Roman" w:hAnsi="Times New Roman"/>
          <w:b/>
          <w:color w:val="000000"/>
          <w:sz w:val="22"/>
        </w:rPr>
        <w:t>1.4</w:t>
      </w:r>
      <w:r>
        <w:rPr>
          <w:rFonts w:ascii="Times New Roman" w:hAnsi="Times New Roman"/>
          <w:color w:val="000000"/>
          <w:sz w:val="22"/>
        </w:rPr>
        <w:t xml:space="preserve"> "</w:t>
      </w:r>
      <w:r>
        <w:rPr>
          <w:rFonts w:ascii="Times New Roman" w:hAnsi="Times New Roman"/>
          <w:b/>
          <w:color w:val="000000"/>
          <w:sz w:val="22"/>
        </w:rPr>
        <w:t>Confidential Information</w:t>
      </w:r>
      <w:r>
        <w:rPr>
          <w:rFonts w:ascii="Times New Roman" w:hAnsi="Times New Roman"/>
          <w:color w:val="000000"/>
          <w:sz w:val="22"/>
        </w:rPr>
        <w:t>" means all proprietary or non-public information disclosed by one Party to the other Party in connection with this Agreement, whether in written, oral, electronic, or other form, including without limitation technical data, trade secrets, know-how, research, product plans, software, developments, inventions, processes, designs, drawings, financial information, and business strategies, subject to the exclusions set forth in Section 6.2.</w:t>
      </w:r>
    </w:p>
    <w:p>
      <w:pPr>
        <w:spacing w:line="276" w:lineRule="auto" w:before="0" w:after="120"/>
        <w:jc w:val="both"/>
      </w:pPr>
      <w:r>
        <w:rPr>
          <w:rFonts w:ascii="Times New Roman" w:hAnsi="Times New Roman"/>
          <w:b/>
          <w:color w:val="000000"/>
          <w:sz w:val="22"/>
        </w:rPr>
        <w:t>1.5</w:t>
      </w:r>
      <w:r>
        <w:rPr>
          <w:rFonts w:ascii="Times New Roman" w:hAnsi="Times New Roman"/>
          <w:color w:val="000000"/>
          <w:sz w:val="22"/>
        </w:rPr>
        <w:t xml:space="preserve"> "</w:t>
      </w:r>
      <w:r>
        <w:rPr>
          <w:rFonts w:ascii="Times New Roman" w:hAnsi="Times New Roman"/>
          <w:b/>
          <w:color w:val="000000"/>
          <w:sz w:val="22"/>
        </w:rPr>
        <w:t>Derivative Works</w:t>
      </w:r>
      <w:r>
        <w:rPr>
          <w:rFonts w:ascii="Times New Roman" w:hAnsi="Times New Roman"/>
          <w:color w:val="000000"/>
          <w:sz w:val="22"/>
        </w:rPr>
        <w:t>" means any modifications, adaptations, enhancements, improvements, translations, or derivative works of or to the Licensed Technology, in whole or in part.</w:t>
      </w:r>
    </w:p>
    <w:p>
      <w:pPr>
        <w:spacing w:line="276" w:lineRule="auto" w:before="0" w:after="120"/>
        <w:jc w:val="both"/>
      </w:pPr>
      <w:r>
        <w:rPr>
          <w:rFonts w:ascii="Times New Roman" w:hAnsi="Times New Roman"/>
          <w:b/>
          <w:color w:val="000000"/>
          <w:sz w:val="22"/>
        </w:rPr>
        <w:t>1.6</w:t>
      </w:r>
      <w:r>
        <w:rPr>
          <w:rFonts w:ascii="Times New Roman" w:hAnsi="Times New Roman"/>
          <w:color w:val="000000"/>
          <w:sz w:val="22"/>
        </w:rPr>
        <w:t xml:space="preserve"> "</w:t>
      </w:r>
      <w:r>
        <w:rPr>
          <w:rFonts w:ascii="Times New Roman" w:hAnsi="Times New Roman"/>
          <w:b/>
          <w:color w:val="000000"/>
          <w:sz w:val="22"/>
        </w:rPr>
        <w:t>Documentation</w:t>
      </w:r>
      <w:r>
        <w:rPr>
          <w:rFonts w:ascii="Times New Roman" w:hAnsi="Times New Roman"/>
          <w:color w:val="000000"/>
          <w:sz w:val="22"/>
        </w:rPr>
        <w:t>" means all technical documentation, user manuals, specifications, application programming interface documentation, and integration guides provided by Licensor to Licensee in connection with the Licensed Technology.</w:t>
      </w:r>
    </w:p>
    <w:p>
      <w:pPr>
        <w:spacing w:line="276" w:lineRule="auto" w:before="0" w:after="120"/>
        <w:jc w:val="both"/>
      </w:pPr>
      <w:r>
        <w:rPr>
          <w:rFonts w:ascii="Times New Roman" w:hAnsi="Times New Roman"/>
          <w:b/>
          <w:color w:val="000000"/>
          <w:sz w:val="22"/>
        </w:rPr>
        <w:t>1.7</w:t>
      </w:r>
      <w:r>
        <w:rPr>
          <w:rFonts w:ascii="Times New Roman" w:hAnsi="Times New Roman"/>
          <w:color w:val="000000"/>
          <w:sz w:val="22"/>
        </w:rPr>
        <w:t xml:space="preserve"> "</w:t>
      </w:r>
      <w:r>
        <w:rPr>
          <w:rFonts w:ascii="Times New Roman" w:hAnsi="Times New Roman"/>
          <w:b/>
          <w:color w:val="000000"/>
          <w:sz w:val="22"/>
        </w:rPr>
        <w:t>Effective Date</w:t>
      </w:r>
      <w:r>
        <w:rPr>
          <w:rFonts w:ascii="Times New Roman" w:hAnsi="Times New Roman"/>
          <w:color w:val="000000"/>
          <w:sz w:val="22"/>
        </w:rPr>
        <w:t>" means March 1, 2020.</w:t>
      </w:r>
    </w:p>
    <w:p>
      <w:pPr>
        <w:spacing w:line="276" w:lineRule="auto" w:before="0" w:after="120"/>
        <w:jc w:val="both"/>
      </w:pPr>
      <w:r>
        <w:rPr>
          <w:rFonts w:ascii="Times New Roman" w:hAnsi="Times New Roman"/>
          <w:b/>
          <w:color w:val="000000"/>
          <w:sz w:val="22"/>
        </w:rPr>
        <w:t>1.8</w:t>
      </w:r>
      <w:r>
        <w:rPr>
          <w:rFonts w:ascii="Times New Roman" w:hAnsi="Times New Roman"/>
          <w:color w:val="000000"/>
          <w:sz w:val="22"/>
        </w:rPr>
        <w:t xml:space="preserve"> "</w:t>
      </w:r>
      <w:r>
        <w:rPr>
          <w:rFonts w:ascii="Times New Roman" w:hAnsi="Times New Roman"/>
          <w:b/>
          <w:color w:val="000000"/>
          <w:sz w:val="22"/>
        </w:rPr>
        <w:t>FlowLogic Algorithm</w:t>
      </w:r>
      <w:r>
        <w:rPr>
          <w:rFonts w:ascii="Times New Roman" w:hAnsi="Times New Roman"/>
          <w:color w:val="000000"/>
          <w:sz w:val="22"/>
        </w:rPr>
        <w:t>" or "</w:t>
      </w:r>
      <w:r>
        <w:rPr>
          <w:rFonts w:ascii="Times New Roman" w:hAnsi="Times New Roman"/>
          <w:b/>
          <w:color w:val="000000"/>
          <w:sz w:val="22"/>
        </w:rPr>
        <w:t>Licensed Technology</w:t>
      </w:r>
      <w:r>
        <w:rPr>
          <w:rFonts w:ascii="Times New Roman" w:hAnsi="Times New Roman"/>
          <w:color w:val="000000"/>
          <w:sz w:val="22"/>
        </w:rPr>
        <w:t>" means the proprietary predictive maintenance software algorithm developed by Hendricks, including all associated source code, object code, algorithms, data models, and Documentation, as more particularly described in Exhibit A attached hereto and incorporated herein by reference.</w:t>
      </w:r>
    </w:p>
    <w:p>
      <w:pPr>
        <w:spacing w:line="276" w:lineRule="auto" w:before="0" w:after="120"/>
        <w:jc w:val="both"/>
      </w:pPr>
      <w:r>
        <w:rPr>
          <w:rFonts w:ascii="Times New Roman" w:hAnsi="Times New Roman"/>
          <w:b/>
          <w:color w:val="000000"/>
          <w:sz w:val="22"/>
        </w:rPr>
        <w:t>1.9</w:t>
      </w:r>
      <w:r>
        <w:rPr>
          <w:rFonts w:ascii="Times New Roman" w:hAnsi="Times New Roman"/>
          <w:color w:val="000000"/>
          <w:sz w:val="22"/>
        </w:rPr>
        <w:t xml:space="preserve"> "</w:t>
      </w:r>
      <w:r>
        <w:rPr>
          <w:rFonts w:ascii="Times New Roman" w:hAnsi="Times New Roman"/>
          <w:b/>
          <w:color w:val="000000"/>
          <w:sz w:val="22"/>
        </w:rPr>
        <w:t>Intellectual Property Rights</w:t>
      </w:r>
      <w:r>
        <w:rPr>
          <w:rFonts w:ascii="Times New Roman" w:hAnsi="Times New Roman"/>
          <w:color w:val="000000"/>
          <w:sz w:val="22"/>
        </w:rPr>
        <w:t>" means all patents, patent applications, copyrights, trade secrets, trademarks, service marks, trade dress, moral rights, and any other intellectual property rights recognized under the laws of any jurisdiction worldwide.</w:t>
      </w:r>
    </w:p>
    <w:p>
      <w:pPr>
        <w:spacing w:line="276" w:lineRule="auto" w:before="0" w:after="120"/>
        <w:jc w:val="both"/>
      </w:pPr>
      <w:r>
        <w:rPr>
          <w:rFonts w:ascii="Times New Roman" w:hAnsi="Times New Roman"/>
          <w:b/>
          <w:color w:val="000000"/>
          <w:sz w:val="22"/>
        </w:rPr>
        <w:t>1.10</w:t>
      </w:r>
      <w:r>
        <w:rPr>
          <w:rFonts w:ascii="Times New Roman" w:hAnsi="Times New Roman"/>
          <w:color w:val="000000"/>
          <w:sz w:val="22"/>
        </w:rPr>
        <w:t xml:space="preserve"> "</w:t>
      </w:r>
      <w:r>
        <w:rPr>
          <w:rFonts w:ascii="Times New Roman" w:hAnsi="Times New Roman"/>
          <w:b/>
          <w:color w:val="000000"/>
          <w:sz w:val="22"/>
        </w:rPr>
        <w:t>License Fee</w:t>
      </w:r>
      <w:r>
        <w:rPr>
          <w:rFonts w:ascii="Times New Roman" w:hAnsi="Times New Roman"/>
          <w:color w:val="000000"/>
          <w:sz w:val="22"/>
        </w:rPr>
        <w:t>" means the fees payable by Licensee to Licensor as set forth in Section 4.1.</w:t>
      </w:r>
    </w:p>
    <w:p>
      <w:pPr>
        <w:spacing w:line="276" w:lineRule="auto" w:before="0" w:after="120"/>
        <w:jc w:val="both"/>
      </w:pPr>
      <w:r>
        <w:rPr>
          <w:rFonts w:ascii="Times New Roman" w:hAnsi="Times New Roman"/>
          <w:b/>
          <w:color w:val="000000"/>
          <w:sz w:val="22"/>
        </w:rPr>
        <w:t>1.11</w:t>
      </w:r>
      <w:r>
        <w:rPr>
          <w:rFonts w:ascii="Times New Roman" w:hAnsi="Times New Roman"/>
          <w:color w:val="000000"/>
          <w:sz w:val="22"/>
        </w:rPr>
        <w:t xml:space="preserve"> "</w:t>
      </w:r>
      <w:r>
        <w:rPr>
          <w:rFonts w:ascii="Times New Roman" w:hAnsi="Times New Roman"/>
          <w:b/>
          <w:color w:val="000000"/>
          <w:sz w:val="22"/>
        </w:rPr>
        <w:t>Licensed Products</w:t>
      </w:r>
      <w:r>
        <w:rPr>
          <w:rFonts w:ascii="Times New Roman" w:hAnsi="Times New Roman"/>
          <w:color w:val="000000"/>
          <w:sz w:val="22"/>
        </w:rPr>
        <w:t>" means products manufactured and sold by Licensee that incorporate or embed the Licensed Technology, currently limited to the AX-7000 Product Line.</w:t>
      </w:r>
    </w:p>
    <w:p>
      <w:pPr>
        <w:spacing w:line="276" w:lineRule="auto" w:before="0" w:after="120"/>
        <w:jc w:val="both"/>
      </w:pPr>
      <w:r>
        <w:rPr>
          <w:rFonts w:ascii="Times New Roman" w:hAnsi="Times New Roman"/>
          <w:b/>
          <w:color w:val="000000"/>
          <w:sz w:val="22"/>
        </w:rPr>
        <w:t>1.12</w:t>
      </w:r>
      <w:r>
        <w:rPr>
          <w:rFonts w:ascii="Times New Roman" w:hAnsi="Times New Roman"/>
          <w:color w:val="000000"/>
          <w:sz w:val="22"/>
        </w:rPr>
        <w:t xml:space="preserve"> "</w:t>
      </w:r>
      <w:r>
        <w:rPr>
          <w:rFonts w:ascii="Times New Roman" w:hAnsi="Times New Roman"/>
          <w:b/>
          <w:color w:val="000000"/>
          <w:sz w:val="22"/>
        </w:rPr>
        <w:t>Net Sales Revenue</w:t>
      </w:r>
      <w:r>
        <w:rPr>
          <w:rFonts w:ascii="Times New Roman" w:hAnsi="Times New Roman"/>
          <w:color w:val="000000"/>
          <w:sz w:val="22"/>
        </w:rPr>
        <w:t>" shall have the meaning set forth in Exhibit B.</w:t>
      </w:r>
    </w:p>
    <w:p>
      <w:pPr>
        <w:spacing w:line="276" w:lineRule="auto" w:before="0" w:after="120"/>
        <w:jc w:val="both"/>
      </w:pPr>
      <w:r>
        <w:rPr>
          <w:rFonts w:ascii="Times New Roman" w:hAnsi="Times New Roman"/>
          <w:b/>
          <w:color w:val="000000"/>
          <w:sz w:val="22"/>
        </w:rPr>
        <w:t>1.13</w:t>
      </w:r>
      <w:r>
        <w:rPr>
          <w:rFonts w:ascii="Times New Roman" w:hAnsi="Times New Roman"/>
          <w:color w:val="000000"/>
          <w:sz w:val="22"/>
        </w:rPr>
        <w:t xml:space="preserve"> "</w:t>
      </w:r>
      <w:r>
        <w:rPr>
          <w:rFonts w:ascii="Times New Roman" w:hAnsi="Times New Roman"/>
          <w:b/>
          <w:color w:val="000000"/>
          <w:sz w:val="22"/>
        </w:rPr>
        <w:t>Royalty</w:t>
      </w:r>
      <w:r>
        <w:rPr>
          <w:rFonts w:ascii="Times New Roman" w:hAnsi="Times New Roman"/>
          <w:color w:val="000000"/>
          <w:sz w:val="22"/>
        </w:rPr>
        <w:t>" means the ongoing royalty payments payable by Licensee to Licensor as set forth in Section 4.2.</w:t>
      </w:r>
    </w:p>
    <w:p>
      <w:pPr>
        <w:spacing w:line="276" w:lineRule="auto" w:before="0" w:after="120"/>
        <w:jc w:val="both"/>
      </w:pPr>
      <w:r>
        <w:rPr>
          <w:rFonts w:ascii="Times New Roman" w:hAnsi="Times New Roman"/>
          <w:b/>
          <w:color w:val="000000"/>
          <w:sz w:val="22"/>
        </w:rPr>
        <w:t>1.14</w:t>
      </w:r>
      <w:r>
        <w:rPr>
          <w:rFonts w:ascii="Times New Roman" w:hAnsi="Times New Roman"/>
          <w:color w:val="000000"/>
          <w:sz w:val="22"/>
        </w:rPr>
        <w:t xml:space="preserve"> "</w:t>
      </w:r>
      <w:r>
        <w:rPr>
          <w:rFonts w:ascii="Times New Roman" w:hAnsi="Times New Roman"/>
          <w:b/>
          <w:color w:val="000000"/>
          <w:sz w:val="22"/>
        </w:rPr>
        <w:t>Term</w:t>
      </w:r>
      <w:r>
        <w:rPr>
          <w:rFonts w:ascii="Times New Roman" w:hAnsi="Times New Roman"/>
          <w:color w:val="000000"/>
          <w:sz w:val="22"/>
        </w:rPr>
        <w:t>" means the period commencing on the Effective Date and expiring on February 28, 2030, unless earlier terminated in accordance with Article 9.</w:t>
      </w:r>
    </w:p>
    <w:p>
      <w:pPr>
        <w:keepNext/>
        <w:spacing w:line="276" w:lineRule="auto" w:before="360" w:after="120"/>
        <w:jc w:val="left"/>
      </w:pPr>
      <w:r>
        <w:rPr>
          <w:rFonts w:ascii="Times New Roman" w:hAnsi="Times New Roman"/>
          <w:b/>
          <w:color w:val="000000"/>
          <w:sz w:val="22"/>
          <w:u w:val="single"/>
        </w:rPr>
        <w:t>ARTICLE 2 — GRANT OF LICENSE</w:t>
      </w:r>
    </w:p>
    <w:p>
      <w:pPr>
        <w:spacing w:line="276" w:lineRule="auto" w:before="0" w:after="120"/>
        <w:jc w:val="both"/>
      </w:pPr>
      <w:r>
        <w:rPr>
          <w:rFonts w:ascii="Times New Roman" w:hAnsi="Times New Roman"/>
          <w:b/>
          <w:color w:val="000000"/>
          <w:sz w:val="22"/>
        </w:rPr>
        <w:t>2.1 License Grant.</w:t>
      </w:r>
      <w:r>
        <w:rPr>
          <w:rFonts w:ascii="Times New Roman" w:hAnsi="Times New Roman"/>
          <w:color w:val="000000"/>
          <w:sz w:val="22"/>
        </w:rPr>
        <w:t xml:space="preserve"> Subject to the terms and conditions of this Agreement, Licensor hereby grants to Licensee a non-exclusive, non-transferable, royalty-bearing license, during the Term, to use, reproduce, and integrate the FlowLogic Algorithm into the AX-7000 Product Line for the purpose of manufacturing, marketing, distributing, and selling Licensed Products worldwide. This license is personal to Licensee and may not be transferred, sublicensed, or assigned except as expressly permitted herein.</w:t>
      </w:r>
    </w:p>
    <w:p>
      <w:pPr>
        <w:spacing w:line="276" w:lineRule="auto" w:before="0" w:after="120"/>
        <w:jc w:val="both"/>
      </w:pPr>
      <w:r>
        <w:rPr>
          <w:rFonts w:ascii="Times New Roman" w:hAnsi="Times New Roman"/>
          <w:b/>
          <w:color w:val="000000"/>
          <w:sz w:val="22"/>
        </w:rPr>
        <w:t>2.2 Scope Limitations.</w:t>
      </w:r>
      <w:r>
        <w:rPr>
          <w:rFonts w:ascii="Times New Roman" w:hAnsi="Times New Roman"/>
          <w:color w:val="000000"/>
          <w:sz w:val="22"/>
        </w:rPr>
        <w:t xml:space="preserve"> The license granted under Section 2.1 is strictly limited to the integration of the Licensed Technology into the AX-7000 Product Line. Any use of the Licensed Technology in other Apex product lines, platforms, or applications requires the prior written consent of Licensor, which consent may be granted or withheld in Licensor's sole discretion. Licensee shall have no right to sublicense the Licensed Technology to any third party without Licensor's prior written approval.</w:t>
      </w:r>
    </w:p>
    <w:p>
      <w:pPr>
        <w:spacing w:line="276" w:lineRule="auto" w:before="0" w:after="120"/>
        <w:jc w:val="both"/>
      </w:pPr>
      <w:r>
        <w:rPr>
          <w:rFonts w:ascii="Times New Roman" w:hAnsi="Times New Roman"/>
          <w:b/>
          <w:color w:val="000000"/>
          <w:sz w:val="22"/>
        </w:rPr>
        <w:t>2.3 Reservation of Rights.</w:t>
      </w:r>
      <w:r>
        <w:rPr>
          <w:rFonts w:ascii="Times New Roman" w:hAnsi="Times New Roman"/>
          <w:color w:val="000000"/>
          <w:sz w:val="22"/>
        </w:rPr>
        <w:t xml:space="preserve"> All rights in and to the Licensed Technology not expressly granted to Licensee under this Agreement are hereby reserved by Licensor. Licensor retains all right, title, and interest in and to the Licensed Technology and all Intellectual Property Rights therein. Nothing in this Agreement shall be construed as granting Licensee any rights by implication, estoppel, or otherwise.</w:t>
      </w:r>
    </w:p>
    <w:p>
      <w:pPr>
        <w:spacing w:line="276" w:lineRule="auto" w:before="0" w:after="120"/>
        <w:jc w:val="both"/>
      </w:pPr>
      <w:r>
        <w:rPr>
          <w:rFonts w:ascii="Times New Roman" w:hAnsi="Times New Roman"/>
          <w:b/>
          <w:color w:val="000000"/>
          <w:sz w:val="22"/>
        </w:rPr>
        <w:t>2.4 No Right to Modify Source Code.</w:t>
      </w:r>
      <w:r>
        <w:rPr>
          <w:rFonts w:ascii="Times New Roman" w:hAnsi="Times New Roman"/>
          <w:color w:val="000000"/>
          <w:sz w:val="22"/>
        </w:rPr>
        <w:t xml:space="preserve"> Licensee shall not reverse engineer, decompile, disassemble, or otherwise attempt to derive the source code of the Licensed Technology, except to the extent such activities are expressly permitted by applicable law notwithstanding a contractual prohibition. Any Derivative Works created by Licensee with Licensor's prior written consent shall be owned exclusively by Licensor, and Licensee hereby assigns all right, title, and interest in such Derivative Works to Licensor.</w:t>
      </w:r>
    </w:p>
    <w:p>
      <w:pPr>
        <w:keepNext/>
        <w:spacing w:line="276" w:lineRule="auto" w:before="360" w:after="120"/>
        <w:jc w:val="left"/>
      </w:pPr>
      <w:r>
        <w:rPr>
          <w:rFonts w:ascii="Times New Roman" w:hAnsi="Times New Roman"/>
          <w:b/>
          <w:color w:val="000000"/>
          <w:sz w:val="22"/>
          <w:u w:val="single"/>
        </w:rPr>
        <w:t>ARTICLE 3 — DELIVERY AND INTEGRATION</w:t>
      </w:r>
    </w:p>
    <w:p>
      <w:pPr>
        <w:spacing w:line="276" w:lineRule="auto" w:before="0" w:after="120"/>
        <w:jc w:val="both"/>
      </w:pPr>
      <w:r>
        <w:rPr>
          <w:rFonts w:ascii="Times New Roman" w:hAnsi="Times New Roman"/>
          <w:b/>
          <w:color w:val="000000"/>
          <w:sz w:val="22"/>
        </w:rPr>
        <w:t>3.1 Delivery.</w:t>
      </w:r>
      <w:r>
        <w:rPr>
          <w:rFonts w:ascii="Times New Roman" w:hAnsi="Times New Roman"/>
          <w:color w:val="000000"/>
          <w:sz w:val="22"/>
        </w:rPr>
        <w:t xml:space="preserve"> Licensor shall deliver to Licensee the Licensed Technology in object code form, together with applicable Documentation and API specifications, within thirty (30) days of the Effective Date. Delivery shall be made via secure electronic transfer to a location designated by Licensee.</w:t>
      </w:r>
    </w:p>
    <w:p>
      <w:pPr>
        <w:spacing w:line="276" w:lineRule="auto" w:before="0" w:after="120"/>
        <w:jc w:val="both"/>
      </w:pPr>
      <w:r>
        <w:rPr>
          <w:rFonts w:ascii="Times New Roman" w:hAnsi="Times New Roman"/>
          <w:b/>
          <w:color w:val="000000"/>
          <w:sz w:val="22"/>
        </w:rPr>
        <w:t>3.2 Integration Support.</w:t>
      </w:r>
      <w:r>
        <w:rPr>
          <w:rFonts w:ascii="Times New Roman" w:hAnsi="Times New Roman"/>
          <w:color w:val="000000"/>
          <w:sz w:val="22"/>
        </w:rPr>
        <w:t xml:space="preserve"> Licensor shall provide Licensee with reasonable technical support for the initial integration of the Licensed Technology into the AX-7000 Product Line, including but not limited to engineering consultation, diagnostic assistance, and compatibility support for data interfaces with Licensee's existing enterprise resource planning systems. In particular, Licensor shall provide integration assistance to ensure compatibility between the Licensed Technology and Licensee's Crestline ERP Platform v.8.2, including configuration of data exchange protocols for production scheduling, quality control, and maintenance telemetry data flows between the FlowLogic Algorithm and the Crestline ERP environment.</w:t>
      </w:r>
    </w:p>
    <w:p>
      <w:pPr>
        <w:spacing w:line="276" w:lineRule="auto" w:before="0" w:after="120"/>
        <w:jc w:val="both"/>
      </w:pPr>
      <w:r>
        <w:rPr>
          <w:rFonts w:ascii="Times New Roman" w:hAnsi="Times New Roman"/>
          <w:b/>
          <w:color w:val="000000"/>
          <w:sz w:val="22"/>
        </w:rPr>
        <w:t>3.3 Updates.</w:t>
      </w:r>
      <w:r>
        <w:rPr>
          <w:rFonts w:ascii="Times New Roman" w:hAnsi="Times New Roman"/>
          <w:color w:val="000000"/>
          <w:sz w:val="22"/>
        </w:rPr>
        <w:t xml:space="preserve"> During the Term, Licensor shall provide Licensee with updates, patches, bug fixes, and new releases of the Licensed Technology at no additional charge, provided that such updates are generally made available by Licensor to its other licensees of the FlowLogic Algorithm. Licensor shall use commercially reasonable efforts to ensure that updates maintain backward compatibility with prior versions of the Licensed Technology.</w:t>
      </w:r>
    </w:p>
    <w:p>
      <w:pPr>
        <w:keepNext/>
        <w:spacing w:line="276" w:lineRule="auto" w:before="360" w:after="120"/>
        <w:jc w:val="left"/>
      </w:pPr>
      <w:r>
        <w:rPr>
          <w:rFonts w:ascii="Times New Roman" w:hAnsi="Times New Roman"/>
          <w:b/>
          <w:color w:val="000000"/>
          <w:sz w:val="22"/>
          <w:u w:val="single"/>
        </w:rPr>
        <w:t>ARTICLE 4 — FEES AND ROYALTIES</w:t>
      </w:r>
    </w:p>
    <w:p>
      <w:pPr>
        <w:spacing w:line="276" w:lineRule="auto" w:before="0" w:after="120"/>
        <w:jc w:val="both"/>
      </w:pPr>
      <w:r>
        <w:rPr>
          <w:rFonts w:ascii="Times New Roman" w:hAnsi="Times New Roman"/>
          <w:b/>
          <w:color w:val="000000"/>
          <w:sz w:val="22"/>
        </w:rPr>
        <w:t>4.1 License Fee.</w:t>
      </w:r>
      <w:r>
        <w:rPr>
          <w:rFonts w:ascii="Times New Roman" w:hAnsi="Times New Roman"/>
          <w:color w:val="000000"/>
          <w:sz w:val="22"/>
        </w:rPr>
        <w:t xml:space="preserve"> In consideration of the license granted hereunder, Licensee shall pay to Licensor an initial, non-refundable license fee of One Million Two Hundred Fifty Thousand Dollars ($1,250,000) (the "License Fee"), payable in two (2) equal installments of Six Hundred Twenty-Five Thousand Dollars ($625,000) each: the first installment due upon execution of this Agreement and the second installment due on the first anniversary of the Effective Date. The License Fee is non-refundable and shall not be credited against Royalty payments.</w:t>
      </w:r>
    </w:p>
    <w:p>
      <w:pPr>
        <w:spacing w:line="276" w:lineRule="auto" w:before="0" w:after="120"/>
        <w:jc w:val="both"/>
      </w:pPr>
      <w:r>
        <w:rPr>
          <w:rFonts w:ascii="Times New Roman" w:hAnsi="Times New Roman"/>
          <w:b/>
          <w:color w:val="000000"/>
          <w:sz w:val="22"/>
        </w:rPr>
        <w:t>4.2 Royalty Payments.</w:t>
      </w:r>
      <w:r>
        <w:rPr>
          <w:rFonts w:ascii="Times New Roman" w:hAnsi="Times New Roman"/>
          <w:color w:val="000000"/>
          <w:sz w:val="22"/>
        </w:rPr>
        <w:t xml:space="preserve"> In addition to the License Fee, Licensee shall pay to Licensor a running royalty equal to three and one-half percent (3.5%) of Net Sales Revenue derived from Licensed Products (as calculated in accordance with Exhibit B) during each calendar quarter of the Term. Royalty payments shall be due and payable within thirty (30) days following the end of each calendar quarter, accompanied by a reasonably detailed written statement of Net Sales Revenue for the applicable quarter.</w:t>
      </w:r>
    </w:p>
    <w:p>
      <w:pPr>
        <w:spacing w:line="276" w:lineRule="auto" w:before="0" w:after="120"/>
        <w:jc w:val="both"/>
      </w:pPr>
      <w:r>
        <w:rPr>
          <w:rFonts w:ascii="Times New Roman" w:hAnsi="Times New Roman"/>
          <w:b/>
          <w:color w:val="000000"/>
          <w:sz w:val="22"/>
        </w:rPr>
        <w:t>4.3 Audit Rights.</w:t>
      </w:r>
      <w:r>
        <w:rPr>
          <w:rFonts w:ascii="Times New Roman" w:hAnsi="Times New Roman"/>
          <w:color w:val="000000"/>
          <w:sz w:val="22"/>
        </w:rPr>
        <w:t xml:space="preserve"> Licensor shall have the right, at its own expense and no more than once per calendar year, to audit Licensee's books and records related to Licensed Product sales for the purpose of verifying the accuracy of Royalty payments, upon thirty (30) days' prior written notice, during Licensee's normal business hours. If any audit reveals an underpayment of Royalties in excess of five percent (5%) for any quarterly period, Licensee shall bear the reasonable costs of such audit and shall promptly pay any deficiency together with interest at the rate of one and one-half percent (1.5%) per month from the date such amounts were originally due.</w:t>
      </w:r>
    </w:p>
    <w:p>
      <w:pPr>
        <w:keepNext/>
        <w:spacing w:line="276" w:lineRule="auto" w:before="360" w:after="120"/>
        <w:jc w:val="left"/>
      </w:pPr>
      <w:r>
        <w:rPr>
          <w:rFonts w:ascii="Times New Roman" w:hAnsi="Times New Roman"/>
          <w:b/>
          <w:color w:val="000000"/>
          <w:sz w:val="22"/>
          <w:u w:val="single"/>
        </w:rPr>
        <w:t>ARTICLE 5 — INTELLECTUAL PROPERTY OWNERSHIP</w:t>
      </w:r>
    </w:p>
    <w:p>
      <w:pPr>
        <w:spacing w:line="276" w:lineRule="auto" w:before="0" w:after="120"/>
        <w:jc w:val="both"/>
      </w:pPr>
      <w:r>
        <w:rPr>
          <w:rFonts w:ascii="Times New Roman" w:hAnsi="Times New Roman"/>
          <w:b/>
          <w:color w:val="000000"/>
          <w:sz w:val="22"/>
        </w:rPr>
        <w:t>5.1 Licensor Ownership.</w:t>
      </w:r>
      <w:r>
        <w:rPr>
          <w:rFonts w:ascii="Times New Roman" w:hAnsi="Times New Roman"/>
          <w:color w:val="000000"/>
          <w:sz w:val="22"/>
        </w:rPr>
        <w:t xml:space="preserve"> The Licensed Technology, including all Intellectual Property Rights therein, is and shall remain the sole and exclusive property of Licensor. Nothing in this Agreement shall be construed as transferring any ownership interest in the Licensed Technology to Licensee. Licensee acknowledges that Licensor's rights in the Licensed Technology are valuable and unique.</w:t>
      </w:r>
    </w:p>
    <w:p>
      <w:pPr>
        <w:spacing w:line="276" w:lineRule="auto" w:before="0" w:after="120"/>
        <w:jc w:val="both"/>
      </w:pPr>
      <w:r>
        <w:rPr>
          <w:rFonts w:ascii="Times New Roman" w:hAnsi="Times New Roman"/>
          <w:b/>
          <w:color w:val="000000"/>
          <w:sz w:val="22"/>
        </w:rPr>
        <w:t>5.2 Licensee Improvements.</w:t>
      </w:r>
      <w:r>
        <w:rPr>
          <w:rFonts w:ascii="Times New Roman" w:hAnsi="Times New Roman"/>
          <w:color w:val="000000"/>
          <w:sz w:val="22"/>
        </w:rPr>
        <w:t xml:space="preserve"> Any improvements, modifications, enhancements, or Derivative Works of the Licensed Technology developed by Licensee, whether with or without Licensor's consent, shall be owned exclusively by Licensor. Licensee hereby irrevocably assigns to Licensor all right, title, and interest in and to any such improvements, modifications, enhancements, or Derivative Works, including all Intellectual Property Rights therein.</w:t>
      </w:r>
    </w:p>
    <w:p>
      <w:pPr>
        <w:spacing w:line="276" w:lineRule="auto" w:before="0" w:after="120"/>
        <w:jc w:val="both"/>
      </w:pPr>
      <w:r>
        <w:rPr>
          <w:rFonts w:ascii="Times New Roman" w:hAnsi="Times New Roman"/>
          <w:b/>
          <w:color w:val="000000"/>
          <w:sz w:val="22"/>
        </w:rPr>
        <w:t>5.3 Licensee's Own Technology.</w:t>
      </w:r>
      <w:r>
        <w:rPr>
          <w:rFonts w:ascii="Times New Roman" w:hAnsi="Times New Roman"/>
          <w:color w:val="000000"/>
          <w:sz w:val="22"/>
        </w:rPr>
        <w:t xml:space="preserve"> Nothing in this Agreement shall affect Licensee's ownership of its own proprietary technology, including the hardware, firmware, and non-FlowLogic software components of the AX-7000 Product Line, provided such technology does not incorporate or constitute a Derivative Work of the Licensed Technology.</w:t>
      </w:r>
    </w:p>
    <w:p>
      <w:pPr>
        <w:keepNext/>
        <w:spacing w:line="276" w:lineRule="auto" w:before="360" w:after="120"/>
        <w:jc w:val="left"/>
      </w:pPr>
      <w:r>
        <w:rPr>
          <w:rFonts w:ascii="Times New Roman" w:hAnsi="Times New Roman"/>
          <w:b/>
          <w:color w:val="000000"/>
          <w:sz w:val="22"/>
          <w:u w:val="single"/>
        </w:rPr>
        <w:t>ARTICLE 6 — CONFIDENTIALITY</w:t>
      </w:r>
    </w:p>
    <w:p>
      <w:pPr>
        <w:spacing w:line="276" w:lineRule="auto" w:before="0" w:after="120"/>
        <w:jc w:val="both"/>
      </w:pPr>
      <w:r>
        <w:rPr>
          <w:rFonts w:ascii="Times New Roman" w:hAnsi="Times New Roman"/>
          <w:b/>
          <w:color w:val="000000"/>
          <w:sz w:val="22"/>
        </w:rPr>
        <w:t>6.1 Obligations.</w:t>
      </w:r>
      <w:r>
        <w:rPr>
          <w:rFonts w:ascii="Times New Roman" w:hAnsi="Times New Roman"/>
          <w:color w:val="000000"/>
          <w:sz w:val="22"/>
        </w:rPr>
        <w:t xml:space="preserve"> Each Party agrees to hold in confidence all Confidential Information of the other Party and to protect such Confidential Information using at least the same degree of care that such receiving Party uses to protect its own confidential information, but in no event less than reasonable care. Each Party shall disclose the other Party's Confidential Information only to those of its employees, agents, and contractors who have a need to know such information for the purposes of this Agreement and who are bound by confidentiality obligations no less restrictive than those set forth herein.</w:t>
      </w:r>
    </w:p>
    <w:p>
      <w:pPr>
        <w:spacing w:line="276" w:lineRule="auto" w:before="0" w:after="120"/>
        <w:jc w:val="both"/>
      </w:pPr>
      <w:r>
        <w:rPr>
          <w:rFonts w:ascii="Times New Roman" w:hAnsi="Times New Roman"/>
          <w:b/>
          <w:color w:val="000000"/>
          <w:sz w:val="22"/>
        </w:rPr>
        <w:t>6.2 Exclusions.</w:t>
      </w:r>
      <w:r>
        <w:rPr>
          <w:rFonts w:ascii="Times New Roman" w:hAnsi="Times New Roman"/>
          <w:color w:val="000000"/>
          <w:sz w:val="22"/>
        </w:rPr>
        <w:t xml:space="preserve"> The obligations of Section 6.1 shall not apply to information that: (a) is or becomes generally available to the public other than through a breach of this Agreement by the receiving Party; (b) was known to the receiving Party prior to disclosure by the disclosing Party without obligation of confidentiality; (c) is independently developed by the receiving Party without use of or reference to the disclosing Party's Confidential Information; (d) is received from a third party without restriction and without breach of any obligation of confidentiality; or (e) is required to be disclosed by law, regulation, or court order, provided the receiving Party gives the disclosing Party prompt written notice and cooperates to obtain a protective order.</w:t>
      </w:r>
    </w:p>
    <w:p>
      <w:pPr>
        <w:spacing w:line="276" w:lineRule="auto" w:before="0" w:after="120"/>
        <w:jc w:val="both"/>
      </w:pPr>
      <w:r>
        <w:rPr>
          <w:rFonts w:ascii="Times New Roman" w:hAnsi="Times New Roman"/>
          <w:b/>
          <w:color w:val="000000"/>
          <w:sz w:val="22"/>
        </w:rPr>
        <w:t>6.3 Duration.</w:t>
      </w:r>
      <w:r>
        <w:rPr>
          <w:rFonts w:ascii="Times New Roman" w:hAnsi="Times New Roman"/>
          <w:color w:val="000000"/>
          <w:sz w:val="22"/>
        </w:rPr>
        <w:t xml:space="preserve"> The confidentiality obligations set forth in this Article 6 shall survive for a period of five (5) years following expiration or termination of this Agreement, except with respect to trade secrets, which shall be protected for so long as they remain trade secrets under applicable law.</w:t>
      </w:r>
    </w:p>
    <w:p>
      <w:pPr>
        <w:keepNext/>
        <w:spacing w:line="276" w:lineRule="auto" w:before="360" w:after="120"/>
        <w:jc w:val="left"/>
      </w:pPr>
      <w:r>
        <w:rPr>
          <w:rFonts w:ascii="Times New Roman" w:hAnsi="Times New Roman"/>
          <w:b/>
          <w:color w:val="000000"/>
          <w:sz w:val="22"/>
          <w:u w:val="single"/>
        </w:rPr>
        <w:t>ARTICLE 7 — REPRESENTATIONS AND WARRANTIES</w:t>
      </w:r>
    </w:p>
    <w:p>
      <w:pPr>
        <w:spacing w:line="276" w:lineRule="auto" w:before="0" w:after="120"/>
        <w:jc w:val="both"/>
      </w:pPr>
      <w:r>
        <w:rPr>
          <w:rFonts w:ascii="Times New Roman" w:hAnsi="Times New Roman"/>
          <w:b/>
          <w:color w:val="000000"/>
          <w:sz w:val="22"/>
        </w:rPr>
        <w:t>7.1 Licensor Representations.</w:t>
      </w:r>
      <w:r>
        <w:rPr>
          <w:rFonts w:ascii="Times New Roman" w:hAnsi="Times New Roman"/>
          <w:color w:val="000000"/>
          <w:sz w:val="22"/>
        </w:rPr>
        <w:t xml:space="preserve"> Licensor represents and warrants to Licensee that: (a) Licensor has full right, power, and authority to enter into this Agreement and to grant the license set forth herein; (b) to Licensor's knowledge as of the Effective Date, the Licensed Technology does not infringe any third-party Intellectual Property Rights; and (c) the Licensed Technology will materially conform to the Documentation for a period of twelve (12) months following delivery under Section 3.1. Licensor's sole obligation for breach of the warranty in clause (c) shall be to use commercially reasonable efforts to correct any material non-conformity.</w:t>
      </w:r>
    </w:p>
    <w:p>
      <w:pPr>
        <w:spacing w:line="276" w:lineRule="auto" w:before="0" w:after="120"/>
        <w:jc w:val="both"/>
      </w:pPr>
      <w:r>
        <w:rPr>
          <w:rFonts w:ascii="Times New Roman" w:hAnsi="Times New Roman"/>
          <w:b/>
          <w:color w:val="000000"/>
          <w:sz w:val="22"/>
        </w:rPr>
        <w:t>7.2 Licensee Representations.</w:t>
      </w:r>
      <w:r>
        <w:rPr>
          <w:rFonts w:ascii="Times New Roman" w:hAnsi="Times New Roman"/>
          <w:color w:val="000000"/>
          <w:sz w:val="22"/>
        </w:rPr>
        <w:t xml:space="preserve"> Licensee represents and warrants to Licensor that: (a) Licensee has full corporate power and authority to enter into this Agreement and to perform its obligations hereunder; (b) Licensee will use the Licensed Technology solely within the scope of the license granted under Article 2; and (c) Licensee will comply with all applicable federal, state, local, and international laws and regulations in the manufacture, marketing, distribution, and sale of Licensed Products.</w:t>
      </w:r>
    </w:p>
    <w:p>
      <w:pPr>
        <w:spacing w:line="276" w:lineRule="auto" w:before="0" w:after="120"/>
        <w:jc w:val="both"/>
      </w:pPr>
      <w:r>
        <w:rPr>
          <w:rFonts w:ascii="Times New Roman" w:hAnsi="Times New Roman"/>
          <w:b/>
          <w:color w:val="000000"/>
          <w:sz w:val="22"/>
        </w:rPr>
        <w:t>7.3 Disclaimer.</w:t>
      </w:r>
      <w:r>
        <w:rPr>
          <w:rFonts w:ascii="Times New Roman" w:hAnsi="Times New Roman"/>
          <w:color w:val="000000"/>
          <w:sz w:val="22"/>
        </w:rPr>
        <w:t xml:space="preserve"> EXCEPT AS EXPRESSLY SET FORTH IN THIS ARTICLE 7, THE LICENSED TECHNOLOGY IS PROVIDED "AS IS" AND LICENSOR MAKES NO OTHER WARRANTIES, WHETHER EXPRESS, IMPLIED, STATUTORY, OR OTHERWISE, INCLUDING WITHOUT LIMITATION ANY IMPLIED WARRANTIES OF MERCHANTABILITY, FITNESS FOR A PARTICULAR PURPOSE, TITLE, OR NON-INFRINGEMENT.</w:t>
      </w:r>
    </w:p>
    <w:p>
      <w:pPr>
        <w:keepNext/>
        <w:spacing w:line="276" w:lineRule="auto" w:before="360" w:after="120"/>
        <w:jc w:val="left"/>
      </w:pPr>
      <w:r>
        <w:rPr>
          <w:rFonts w:ascii="Times New Roman" w:hAnsi="Times New Roman"/>
          <w:b/>
          <w:color w:val="000000"/>
          <w:sz w:val="22"/>
          <w:u w:val="single"/>
        </w:rPr>
        <w:t>ARTICLE 8 — INDEMNIFICATION AND LIMITATION OF LIABILITY</w:t>
      </w:r>
    </w:p>
    <w:p>
      <w:pPr>
        <w:spacing w:line="276" w:lineRule="auto" w:before="0" w:after="120"/>
        <w:jc w:val="both"/>
      </w:pPr>
      <w:r>
        <w:rPr>
          <w:rFonts w:ascii="Times New Roman" w:hAnsi="Times New Roman"/>
          <w:b/>
          <w:color w:val="000000"/>
          <w:sz w:val="22"/>
        </w:rPr>
        <w:t>8.1 Licensor Indemnification.</w:t>
      </w:r>
      <w:r>
        <w:rPr>
          <w:rFonts w:ascii="Times New Roman" w:hAnsi="Times New Roman"/>
          <w:color w:val="000000"/>
          <w:sz w:val="22"/>
        </w:rPr>
        <w:t xml:space="preserve"> Licensor shall indemnify, defend, and hold harmless Licensee and its Affiliates, officers, directors, employees, and agents from and against any and all losses, damages, liabilities, costs, and expenses (including reasonable attorneys' fees) arising out of any third-party claim alleging that the Licensed Technology, as delivered by Licensor and used by Licensee within the scope of the license granted herein, infringes such third party's Intellectual Property Rights, provided that Licensee: (i) gives Licensor prompt written notice of such claim; (ii) grants Licensor sole control of the defense and settlement of such claim; and (iii) provides reasonable cooperation and assistance to Licensor in connection therewith at Licensor's expense.</w:t>
      </w:r>
    </w:p>
    <w:p>
      <w:pPr>
        <w:spacing w:line="276" w:lineRule="auto" w:before="0" w:after="120"/>
        <w:jc w:val="both"/>
      </w:pPr>
      <w:r>
        <w:rPr>
          <w:rFonts w:ascii="Times New Roman" w:hAnsi="Times New Roman"/>
          <w:b/>
          <w:color w:val="000000"/>
          <w:sz w:val="22"/>
        </w:rPr>
        <w:t>8.2 Licensee Indemnification.</w:t>
      </w:r>
      <w:r>
        <w:rPr>
          <w:rFonts w:ascii="Times New Roman" w:hAnsi="Times New Roman"/>
          <w:color w:val="000000"/>
          <w:sz w:val="22"/>
        </w:rPr>
        <w:t xml:space="preserve"> Licensee shall indemnify, defend, and hold harmless Licensor and its Affiliates, officers, directors, employees, and agents from and against any and all losses, damages, liabilities, costs, and expenses (including reasonable attorneys' fees) arising out of any third-party claim related to Licensee's manufacture, sale, distribution, or marketing of Licensed Products, except to the extent such claim is directly caused by a defect in the Licensed Technology as delivered by Licensor.</w:t>
      </w:r>
    </w:p>
    <w:p>
      <w:pPr>
        <w:spacing w:line="276" w:lineRule="auto" w:before="0" w:after="120"/>
        <w:jc w:val="both"/>
      </w:pPr>
      <w:r>
        <w:rPr>
          <w:rFonts w:ascii="Times New Roman" w:hAnsi="Times New Roman"/>
          <w:b/>
          <w:color w:val="000000"/>
          <w:sz w:val="22"/>
        </w:rPr>
        <w:t>8.3 Limitation of Liability.</w:t>
      </w:r>
      <w:r>
        <w:rPr>
          <w:rFonts w:ascii="Times New Roman" w:hAnsi="Times New Roman"/>
          <w:color w:val="000000"/>
          <w:sz w:val="22"/>
        </w:rPr>
        <w:t xml:space="preserve"> IN NO EVENT SHALL EITHER PARTY BE LIABLE TO THE OTHER PARTY FOR ANY INDIRECT, INCIDENTAL, CONSEQUENTIAL, SPECIAL, EXEMPLARY, OR PUNITIVE DAMAGES ARISING OUT OF OR RELATING TO THIS AGREEMENT, REGARDLESS OF THE FORM OF ACTION OR THE THEORY OF LIABILITY, EVEN IF SUCH PARTY HAS BEEN ADVISED OF THE POSSIBILITY OF SUCH DAMAGES. LICENSOR'S TOTAL AGGREGATE LIABILITY UNDER THIS AGREEMENT SHALL NOT EXCEED THE AGGREGATE AMOUNT OF LICENSE FEES AND ROYALTIES ACTUALLY PAID BY LICENSEE TO LICENSOR DURING THE TWELVE (12) MONTH PERIOD IMMEDIATELY PRECEDING THE EVENT GIVING RISE TO SUCH LIABILITY.</w:t>
      </w:r>
    </w:p>
    <w:p>
      <w:pPr>
        <w:keepNext/>
        <w:spacing w:line="276" w:lineRule="auto" w:before="360" w:after="120"/>
        <w:jc w:val="left"/>
      </w:pPr>
      <w:r>
        <w:rPr>
          <w:rFonts w:ascii="Times New Roman" w:hAnsi="Times New Roman"/>
          <w:b/>
          <w:color w:val="000000"/>
          <w:sz w:val="22"/>
          <w:u w:val="single"/>
        </w:rPr>
        <w:t>ARTICLE 9 — TERM AND TERMINATION</w:t>
      </w:r>
    </w:p>
    <w:p>
      <w:pPr>
        <w:spacing w:line="276" w:lineRule="auto" w:before="0" w:after="120"/>
        <w:jc w:val="both"/>
      </w:pPr>
      <w:r>
        <w:rPr>
          <w:rFonts w:ascii="Times New Roman" w:hAnsi="Times New Roman"/>
          <w:b/>
          <w:color w:val="000000"/>
          <w:sz w:val="22"/>
        </w:rPr>
        <w:t>9.1 Termination for Change of Control.</w:t>
      </w:r>
      <w:r>
        <w:rPr>
          <w:rFonts w:ascii="Times New Roman" w:hAnsi="Times New Roman"/>
          <w:color w:val="000000"/>
          <w:sz w:val="22"/>
        </w:rPr>
        <w:t xml:space="preserve"> Notwithstanding any other provision of this Agreement, Licensor shall have the right to terminate this Agreement immediately upon written notice to Licensee in the event that Licensee undergoes a Change of Control (as defined in Section 1.3). The right of termination under this Section 9.1 shall be exercisable at Licensor's sole and absolute discretion, without obligation to justify such decision, and shall not require any prior notice period, cure period, or opportunity for Licensee to obtain Licensor's consent to the applicable Change of Control transaction. Upon delivery of Licensor's written notice of termination under this Section 9.1, termination shall be effective immediately and all rights granted to Licensee under this Agreement shall cease, subject only to Section 9.5.</w:t>
      </w:r>
    </w:p>
    <w:p>
      <w:pPr>
        <w:spacing w:line="276" w:lineRule="auto" w:before="0" w:after="120"/>
        <w:jc w:val="both"/>
      </w:pPr>
      <w:r>
        <w:rPr>
          <w:rFonts w:ascii="Times New Roman" w:hAnsi="Times New Roman"/>
          <w:b/>
          <w:color w:val="000000"/>
          <w:sz w:val="22"/>
        </w:rPr>
        <w:t>9.2 Termination for Breach.</w:t>
      </w:r>
      <w:r>
        <w:rPr>
          <w:rFonts w:ascii="Times New Roman" w:hAnsi="Times New Roman"/>
          <w:color w:val="000000"/>
          <w:sz w:val="22"/>
        </w:rPr>
        <w:t xml:space="preserve"> Either Party may terminate this Agreement by providing sixty (60) days' prior written notice to the other Party in the event that such other Party commits a material breach of any provision of this Agreement and fails to cure such breach within such sixty (60) day notice period. If the breach is cured within the sixty (60) day period, the notice of termination shall be deemed withdrawn.</w:t>
      </w:r>
    </w:p>
    <w:p>
      <w:pPr>
        <w:spacing w:line="276" w:lineRule="auto" w:before="0" w:after="120"/>
        <w:jc w:val="both"/>
      </w:pPr>
      <w:r>
        <w:rPr>
          <w:rFonts w:ascii="Times New Roman" w:hAnsi="Times New Roman"/>
          <w:b/>
          <w:color w:val="000000"/>
          <w:sz w:val="22"/>
        </w:rPr>
        <w:t>9.3 Termination for Insolvency.</w:t>
      </w:r>
      <w:r>
        <w:rPr>
          <w:rFonts w:ascii="Times New Roman" w:hAnsi="Times New Roman"/>
          <w:color w:val="000000"/>
          <w:sz w:val="22"/>
        </w:rPr>
        <w:t xml:space="preserve"> Either Party may terminate this Agreement immediately upon written notice to the other Party if such other Party: (a) becomes insolvent or is unable to pay its debts as they become due; (b) files a voluntary petition in bankruptcy or has an involuntary petition in bankruptcy filed against it that is not dismissed within sixty (60) days; or (c) has a receiver, trustee, or similar officer appointed for all or substantially all of its assets.</w:t>
      </w:r>
    </w:p>
    <w:p>
      <w:pPr>
        <w:spacing w:line="276" w:lineRule="auto" w:before="0" w:after="120"/>
        <w:jc w:val="both"/>
      </w:pPr>
      <w:r>
        <w:rPr>
          <w:rFonts w:ascii="Times New Roman" w:hAnsi="Times New Roman"/>
          <w:b/>
          <w:color w:val="000000"/>
          <w:sz w:val="22"/>
        </w:rPr>
        <w:t>9.4 Expiration.</w:t>
      </w:r>
      <w:r>
        <w:rPr>
          <w:rFonts w:ascii="Times New Roman" w:hAnsi="Times New Roman"/>
          <w:color w:val="000000"/>
          <w:sz w:val="22"/>
        </w:rPr>
        <w:t xml:space="preserve"> Unless earlier terminated in accordance with this Article 9 or renewed by mutual written agreement of the Parties, this Agreement shall expire on February 28, 2030.</w:t>
      </w:r>
    </w:p>
    <w:p>
      <w:pPr>
        <w:spacing w:line="276" w:lineRule="auto" w:before="0" w:after="120"/>
        <w:jc w:val="both"/>
      </w:pPr>
      <w:r>
        <w:rPr>
          <w:rFonts w:ascii="Times New Roman" w:hAnsi="Times New Roman"/>
          <w:b/>
          <w:color w:val="000000"/>
          <w:sz w:val="22"/>
        </w:rPr>
        <w:t>9.5 Effects of Termination.</w:t>
      </w:r>
      <w:r>
        <w:rPr>
          <w:rFonts w:ascii="Times New Roman" w:hAnsi="Times New Roman"/>
          <w:color w:val="000000"/>
          <w:sz w:val="22"/>
        </w:rPr>
        <w:t xml:space="preserve"> Upon termination or expiration of this Agreement for any reason:</w:t>
      </w:r>
    </w:p>
    <w:p>
      <w:pPr>
        <w:spacing w:line="276" w:lineRule="auto" w:before="0" w:after="120"/>
        <w:ind w:left="432"/>
        <w:jc w:val="both"/>
      </w:pPr>
      <w:r>
        <w:rPr>
          <w:rFonts w:ascii="Times New Roman" w:hAnsi="Times New Roman"/>
          <w:color w:val="000000"/>
          <w:sz w:val="22"/>
        </w:rPr>
        <w:t>(a) All rights and licenses granted to Licensee under this Agreement shall immediately cease and terminate;</w:t>
      </w:r>
    </w:p>
    <w:p>
      <w:pPr>
        <w:spacing w:line="276" w:lineRule="auto" w:before="0" w:after="120"/>
        <w:ind w:left="432"/>
        <w:jc w:val="both"/>
      </w:pPr>
      <w:r>
        <w:rPr>
          <w:rFonts w:ascii="Times New Roman" w:hAnsi="Times New Roman"/>
          <w:color w:val="000000"/>
          <w:sz w:val="22"/>
        </w:rPr>
        <w:t>(b) Licensee shall immediately cease all use of the Licensed Technology and shall, within thirty (30) days following the effective date of termination or expiration, return to Licensor or destroy all copies of the Licensed Technology and Documentation in Licensee's possession or control, and shall certify such return or destruction in writing to Licensor, signed by an authorized officer of Licensee;</w:t>
      </w:r>
    </w:p>
    <w:p>
      <w:pPr>
        <w:spacing w:line="276" w:lineRule="auto" w:before="0" w:after="120"/>
        <w:ind w:left="432"/>
        <w:jc w:val="both"/>
      </w:pPr>
      <w:r>
        <w:rPr>
          <w:rFonts w:ascii="Times New Roman" w:hAnsi="Times New Roman"/>
          <w:color w:val="000000"/>
          <w:sz w:val="22"/>
        </w:rPr>
        <w:t>(c) Licensee shall be permitted to sell existing inventory of Licensed Products that were fully manufactured prior to the effective date of termination or expiration for a period of ninety (90) days following such date (the "Sell-Off Period"), subject to continued Royalty payment obligations under Section 4.2 during such Sell-Off Period; provided, however, that Licensee shall not manufacture any new Licensed Products during the Sell-Off Period;</w:t>
      </w:r>
    </w:p>
    <w:p>
      <w:pPr>
        <w:spacing w:line="276" w:lineRule="auto" w:before="0" w:after="120"/>
        <w:ind w:left="432"/>
        <w:jc w:val="both"/>
      </w:pPr>
      <w:r>
        <w:rPr>
          <w:rFonts w:ascii="Times New Roman" w:hAnsi="Times New Roman"/>
          <w:color w:val="000000"/>
          <w:sz w:val="22"/>
        </w:rPr>
        <w:t>(d) All accrued but unpaid License Fees and Royalties shall become immediately due and payable;</w:t>
      </w:r>
    </w:p>
    <w:p>
      <w:pPr>
        <w:spacing w:line="276" w:lineRule="auto" w:before="0" w:after="120"/>
        <w:ind w:left="432"/>
        <w:jc w:val="both"/>
      </w:pPr>
      <w:r>
        <w:rPr>
          <w:rFonts w:ascii="Times New Roman" w:hAnsi="Times New Roman"/>
          <w:color w:val="000000"/>
          <w:sz w:val="22"/>
        </w:rPr>
        <w:t>(e) The following provisions shall survive termination or expiration of this Agreement: Article 1 (Definitions, to the extent necessary to interpret surviving provisions), Article 5 (Intellectual Property Ownership), Article 6 (Confidentiality), Section 7.3 (Disclaimer), Article 8 (Indemnification and Limitation of Liability), this Section 9.5, and Article 11 (Governing Law and Dispute Resolution).</w:t>
      </w:r>
    </w:p>
    <w:p>
      <w:pPr>
        <w:keepNext/>
        <w:spacing w:line="276" w:lineRule="auto" w:before="360" w:after="120"/>
        <w:jc w:val="left"/>
      </w:pPr>
      <w:r>
        <w:rPr>
          <w:rFonts w:ascii="Times New Roman" w:hAnsi="Times New Roman"/>
          <w:b/>
          <w:color w:val="000000"/>
          <w:sz w:val="22"/>
          <w:u w:val="single"/>
        </w:rPr>
        <w:t>ARTICLE 10 — ASSIGNMENT</w:t>
      </w:r>
    </w:p>
    <w:p>
      <w:pPr>
        <w:spacing w:line="276" w:lineRule="auto" w:before="0" w:after="120"/>
        <w:jc w:val="both"/>
      </w:pPr>
      <w:r>
        <w:rPr>
          <w:rFonts w:ascii="Times New Roman" w:hAnsi="Times New Roman"/>
          <w:b/>
          <w:color w:val="000000"/>
          <w:sz w:val="22"/>
        </w:rPr>
        <w:t>10.1 Non-Assignment.</w:t>
      </w:r>
      <w:r>
        <w:rPr>
          <w:rFonts w:ascii="Times New Roman" w:hAnsi="Times New Roman"/>
          <w:color w:val="000000"/>
          <w:sz w:val="22"/>
        </w:rPr>
        <w:t xml:space="preserve"> Licensee shall not assign, transfer, delegate, or otherwise dispose of this Agreement or any of its rights or obligations hereunder, whether by operation of law or otherwise, without the prior written consent of Licensor, which consent may be withheld in Licensor's sole and absolute discretion. Any attempted assignment, transfer, delegation, or disposition in violation of this Section 10.1 shall be null and void and of no force or effect. For purposes of this Section 10.1, a Change of Control of Licensee shall be deemed an assignment by operation of law.</w:t>
      </w:r>
    </w:p>
    <w:p>
      <w:pPr>
        <w:spacing w:line="276" w:lineRule="auto" w:before="0" w:after="120"/>
        <w:jc w:val="both"/>
      </w:pPr>
      <w:r>
        <w:rPr>
          <w:rFonts w:ascii="Times New Roman" w:hAnsi="Times New Roman"/>
          <w:b/>
          <w:color w:val="000000"/>
          <w:sz w:val="22"/>
        </w:rPr>
        <w:t>10.2 Licensor Assignment.</w:t>
      </w:r>
      <w:r>
        <w:rPr>
          <w:rFonts w:ascii="Times New Roman" w:hAnsi="Times New Roman"/>
          <w:color w:val="000000"/>
          <w:sz w:val="22"/>
        </w:rPr>
        <w:t xml:space="preserve"> Licensor may freely assign this Agreement, in whole or in part, to any successor entity or acquirer of all or substantially all of Licensor's assets or business related to the Licensed Technology, upon written notice to Licensee. No such assignment shall relieve Licensor of any obligations arising prior to the effective date of such assignment.</w:t>
      </w:r>
    </w:p>
    <w:p>
      <w:pPr>
        <w:keepNext/>
        <w:spacing w:line="276" w:lineRule="auto" w:before="360" w:after="120"/>
        <w:jc w:val="left"/>
      </w:pPr>
      <w:r>
        <w:rPr>
          <w:rFonts w:ascii="Times New Roman" w:hAnsi="Times New Roman"/>
          <w:b/>
          <w:color w:val="000000"/>
          <w:sz w:val="22"/>
          <w:u w:val="single"/>
        </w:rPr>
        <w:t>ARTICLE 11 — GOVERNING LAW AND DISPUTE RESOLUTION</w:t>
      </w:r>
    </w:p>
    <w:p>
      <w:pPr>
        <w:spacing w:line="276" w:lineRule="auto" w:before="0" w:after="120"/>
        <w:jc w:val="both"/>
      </w:pPr>
      <w:r>
        <w:rPr>
          <w:rFonts w:ascii="Times New Roman" w:hAnsi="Times New Roman"/>
          <w:b/>
          <w:color w:val="000000"/>
          <w:sz w:val="22"/>
        </w:rPr>
        <w:t>11.1 Governing Law.</w:t>
      </w:r>
      <w:r>
        <w:rPr>
          <w:rFonts w:ascii="Times New Roman" w:hAnsi="Times New Roman"/>
          <w:color w:val="000000"/>
          <w:sz w:val="22"/>
        </w:rPr>
        <w:t xml:space="preserve"> This Agreement shall be governed by and construed in accordance with the laws of the Commonwealth of Massachusetts, without regard to its conflict of laws principles.</w:t>
      </w:r>
    </w:p>
    <w:p>
      <w:pPr>
        <w:spacing w:line="276" w:lineRule="auto" w:before="0" w:after="120"/>
        <w:jc w:val="both"/>
      </w:pPr>
      <w:r>
        <w:rPr>
          <w:rFonts w:ascii="Times New Roman" w:hAnsi="Times New Roman"/>
          <w:b/>
          <w:color w:val="000000"/>
          <w:sz w:val="22"/>
        </w:rPr>
        <w:t>11.2 Dispute Resolution.</w:t>
      </w:r>
      <w:r>
        <w:rPr>
          <w:rFonts w:ascii="Times New Roman" w:hAnsi="Times New Roman"/>
          <w:color w:val="000000"/>
          <w:sz w:val="22"/>
        </w:rPr>
        <w:t xml:space="preserve"> Any dispute, controversy, or claim arising out of or relating to this Agreement shall be resolved first through good-faith negotiation between senior executives of the Parties. If such dispute is not resolved within thirty (30) days of written notice of the dispute, either Party may submit the dispute to binding arbitration in Boston, Massachusetts, administered by the American Arbitration Association in accordance with its Commercial Arbitration Rules then in effect. The arbitration shall be conducted before a single arbitrator. Judgment upon the arbitration award may be entered in any court of competent jurisdiction.</w:t>
      </w:r>
    </w:p>
    <w:p>
      <w:pPr>
        <w:spacing w:line="276" w:lineRule="auto" w:before="0" w:after="120"/>
        <w:jc w:val="both"/>
      </w:pPr>
      <w:r>
        <w:rPr>
          <w:rFonts w:ascii="Times New Roman" w:hAnsi="Times New Roman"/>
          <w:b/>
          <w:color w:val="000000"/>
          <w:sz w:val="22"/>
        </w:rPr>
        <w:t>11.3 Injunctive Relief.</w:t>
      </w:r>
      <w:r>
        <w:rPr>
          <w:rFonts w:ascii="Times New Roman" w:hAnsi="Times New Roman"/>
          <w:color w:val="000000"/>
          <w:sz w:val="22"/>
        </w:rPr>
        <w:t xml:space="preserve"> Notwithstanding Section 11.2, either Party may seek injunctive or other equitable relief in any court of competent jurisdiction to prevent irreparable harm, including but not limited to unauthorized use or disclosure of Confidential Information or infringement of Intellectual Property Rights, without the necessity of posting a bond or other security.</w:t>
      </w:r>
    </w:p>
    <w:p>
      <w:pPr>
        <w:keepNext/>
        <w:spacing w:line="276" w:lineRule="auto" w:before="360" w:after="120"/>
        <w:jc w:val="left"/>
      </w:pPr>
      <w:r>
        <w:rPr>
          <w:rFonts w:ascii="Times New Roman" w:hAnsi="Times New Roman"/>
          <w:b/>
          <w:color w:val="000000"/>
          <w:sz w:val="22"/>
          <w:u w:val="single"/>
        </w:rPr>
        <w:t>ARTICLE 12 — MISCELLANEOUS</w:t>
      </w:r>
    </w:p>
    <w:p>
      <w:pPr>
        <w:spacing w:line="276" w:lineRule="auto" w:before="0" w:after="120"/>
        <w:jc w:val="both"/>
      </w:pPr>
      <w:r>
        <w:rPr>
          <w:rFonts w:ascii="Times New Roman" w:hAnsi="Times New Roman"/>
          <w:b/>
          <w:color w:val="000000"/>
          <w:sz w:val="22"/>
        </w:rPr>
        <w:t>12.1 Entire Agreement.</w:t>
      </w:r>
      <w:r>
        <w:rPr>
          <w:rFonts w:ascii="Times New Roman" w:hAnsi="Times New Roman"/>
          <w:color w:val="000000"/>
          <w:sz w:val="22"/>
        </w:rPr>
        <w:t xml:space="preserve"> This Agreement, including all Exhibits attached hereto, constitutes the entire agreement between the Parties with respect to the subject matter hereof and supersedes all prior and contemporaneous agreements, negotiations, representations, warranties, and understandings, whether written or oral, relating to such subject matter.</w:t>
      </w:r>
    </w:p>
    <w:p>
      <w:pPr>
        <w:spacing w:line="276" w:lineRule="auto" w:before="0" w:after="120"/>
        <w:jc w:val="both"/>
      </w:pPr>
      <w:r>
        <w:rPr>
          <w:rFonts w:ascii="Times New Roman" w:hAnsi="Times New Roman"/>
          <w:b/>
          <w:color w:val="000000"/>
          <w:sz w:val="22"/>
        </w:rPr>
        <w:t>12.2 Amendments.</w:t>
      </w:r>
      <w:r>
        <w:rPr>
          <w:rFonts w:ascii="Times New Roman" w:hAnsi="Times New Roman"/>
          <w:color w:val="000000"/>
          <w:sz w:val="22"/>
        </w:rPr>
        <w:t xml:space="preserve"> No amendment, modification, or supplement to this Agreement shall be effective unless made in writing and signed by duly authorized representatives of both Parties.</w:t>
      </w:r>
    </w:p>
    <w:p>
      <w:pPr>
        <w:spacing w:line="276" w:lineRule="auto" w:before="0" w:after="120"/>
        <w:jc w:val="both"/>
      </w:pPr>
      <w:r>
        <w:rPr>
          <w:rFonts w:ascii="Times New Roman" w:hAnsi="Times New Roman"/>
          <w:b/>
          <w:color w:val="000000"/>
          <w:sz w:val="22"/>
        </w:rPr>
        <w:t>12.3 Waiver.</w:t>
      </w:r>
      <w:r>
        <w:rPr>
          <w:rFonts w:ascii="Times New Roman" w:hAnsi="Times New Roman"/>
          <w:color w:val="000000"/>
          <w:sz w:val="22"/>
        </w:rPr>
        <w:t xml:space="preserve"> No waiver of any provision of this Agreement shall be effective unless made in writing and signed by the waiving Party. The failure of either Party to enforce any right or provision of this Agreement shall not constitute a waiver of such right or provision.</w:t>
      </w:r>
    </w:p>
    <w:p>
      <w:pPr>
        <w:spacing w:line="276" w:lineRule="auto" w:before="0" w:after="120"/>
        <w:jc w:val="both"/>
      </w:pPr>
      <w:r>
        <w:rPr>
          <w:rFonts w:ascii="Times New Roman" w:hAnsi="Times New Roman"/>
          <w:b/>
          <w:color w:val="000000"/>
          <w:sz w:val="22"/>
        </w:rPr>
        <w:t>12.4 Severability.</w:t>
      </w:r>
      <w:r>
        <w:rPr>
          <w:rFonts w:ascii="Times New Roman" w:hAnsi="Times New Roman"/>
          <w:color w:val="000000"/>
          <w:sz w:val="22"/>
        </w:rPr>
        <w:t xml:space="preserve"> If any provision of this Agreement is held to be invalid, illegal, or unenforceable by a court of competent jurisdiction, such provision shall be modified to the minimum extent necessary to make it enforceable, and the remaining provisions of this Agreement shall continue in full force and effect.</w:t>
      </w:r>
    </w:p>
    <w:p>
      <w:pPr>
        <w:spacing w:line="276" w:lineRule="auto" w:before="0" w:after="120"/>
        <w:jc w:val="both"/>
      </w:pPr>
      <w:r>
        <w:rPr>
          <w:rFonts w:ascii="Times New Roman" w:hAnsi="Times New Roman"/>
          <w:b/>
          <w:color w:val="000000"/>
          <w:sz w:val="22"/>
        </w:rPr>
        <w:t>12.5 Notices.</w:t>
      </w:r>
      <w:r>
        <w:rPr>
          <w:rFonts w:ascii="Times New Roman" w:hAnsi="Times New Roman"/>
          <w:color w:val="000000"/>
          <w:sz w:val="22"/>
        </w:rPr>
        <w:t xml:space="preserve"> All notices, requests, demands, and other communications required or permitted under this Agreement shall be in writing and shall be deemed duly given when delivered by hand, sent by nationally recognized overnight courier service, or sent by certified mail, return receipt requested, postage prepaid, addressed as follows:</w:t>
      </w:r>
    </w:p>
    <w:p>
      <w:pPr>
        <w:spacing w:line="276" w:lineRule="auto" w:before="0" w:after="120"/>
        <w:ind w:left="432"/>
        <w:jc w:val="both"/>
      </w:pPr>
      <w:r>
        <w:rPr>
          <w:rFonts w:ascii="Times New Roman" w:hAnsi="Times New Roman"/>
          <w:color w:val="000000"/>
          <w:sz w:val="22"/>
        </w:rPr>
        <w:t>If to Licensor:</w:t>
      </w:r>
    </w:p>
    <w:p>
      <w:pPr>
        <w:spacing w:line="276" w:lineRule="auto" w:before="0" w:after="120"/>
        <w:ind w:left="864"/>
        <w:jc w:val="both"/>
      </w:pPr>
      <w:r>
        <w:rPr>
          <w:rFonts w:ascii="Times New Roman" w:hAnsi="Times New Roman"/>
          <w:color w:val="000000"/>
          <w:sz w:val="22"/>
        </w:rPr>
        <w:t>Hendricks Automation Systems, Inc.</w:t>
      </w:r>
    </w:p>
    <w:p>
      <w:pPr>
        <w:spacing w:line="240" w:lineRule="auto" w:before="20" w:after="20"/>
        <w:ind w:left="864"/>
        <w:jc w:val="left"/>
      </w:pPr>
      <w:r>
        <w:rPr>
          <w:rFonts w:ascii="Times New Roman" w:hAnsi="Times New Roman"/>
          <w:color w:val="000000"/>
          <w:sz w:val="22"/>
        </w:rPr>
        <w:t>Attn: Franklin Orr, Vice President, Licensing</w:t>
      </w:r>
    </w:p>
    <w:p>
      <w:pPr>
        <w:spacing w:line="276" w:lineRule="auto" w:before="0" w:after="120"/>
        <w:ind w:left="864"/>
        <w:jc w:val="both"/>
      </w:pPr>
      <w:r>
        <w:rPr>
          <w:rFonts w:ascii="Times New Roman" w:hAnsi="Times New Roman"/>
          <w:color w:val="000000"/>
          <w:sz w:val="22"/>
        </w:rPr>
        <w:t>55 Automation Way Cambridge, MA 02142</w:t>
      </w:r>
    </w:p>
    <w:p>
      <w:pPr>
        <w:spacing w:line="276" w:lineRule="auto" w:before="0" w:after="120"/>
        <w:ind w:left="432"/>
        <w:jc w:val="both"/>
      </w:pPr>
      <w:r>
        <w:rPr>
          <w:rFonts w:ascii="Times New Roman" w:hAnsi="Times New Roman"/>
          <w:color w:val="000000"/>
          <w:sz w:val="22"/>
        </w:rPr>
        <w:t>If to Licensee:</w:t>
      </w:r>
    </w:p>
    <w:p>
      <w:pPr>
        <w:spacing w:line="276" w:lineRule="auto" w:before="0" w:after="120"/>
        <w:ind w:left="864"/>
        <w:jc w:val="both"/>
      </w:pPr>
      <w:r>
        <w:rPr>
          <w:rFonts w:ascii="Times New Roman" w:hAnsi="Times New Roman"/>
          <w:color w:val="000000"/>
          <w:sz w:val="22"/>
        </w:rPr>
        <w:t>Apex Industrial Technologies, Inc.</w:t>
      </w:r>
    </w:p>
    <w:p>
      <w:pPr>
        <w:spacing w:line="240" w:lineRule="auto" w:before="20" w:after="20"/>
        <w:ind w:left="864"/>
        <w:jc w:val="left"/>
      </w:pPr>
      <w:r>
        <w:rPr>
          <w:rFonts w:ascii="Times New Roman" w:hAnsi="Times New Roman"/>
          <w:color w:val="000000"/>
          <w:sz w:val="22"/>
        </w:rPr>
        <w:t>Attn: General Counsel</w:t>
      </w:r>
    </w:p>
    <w:p>
      <w:pPr>
        <w:spacing w:line="276" w:lineRule="auto" w:before="0" w:after="120"/>
        <w:ind w:left="864"/>
        <w:jc w:val="both"/>
      </w:pPr>
      <w:r>
        <w:rPr>
          <w:rFonts w:ascii="Times New Roman" w:hAnsi="Times New Roman"/>
          <w:color w:val="000000"/>
          <w:sz w:val="22"/>
        </w:rPr>
        <w:t>4200 Crescent Ridge Parkway, Suite 600 Cincinnati, OH 45202</w:t>
      </w:r>
    </w:p>
    <w:p>
      <w:pPr>
        <w:spacing w:line="276" w:lineRule="auto" w:before="0" w:after="120"/>
        <w:ind w:left="432"/>
        <w:jc w:val="both"/>
      </w:pPr>
      <w:r>
        <w:rPr>
          <w:rFonts w:ascii="Times New Roman" w:hAnsi="Times New Roman"/>
          <w:color w:val="000000"/>
          <w:sz w:val="22"/>
        </w:rPr>
        <w:t>With a copy (which shall not constitute notice) to:</w:t>
      </w:r>
    </w:p>
    <w:p>
      <w:pPr>
        <w:spacing w:line="276" w:lineRule="auto" w:before="0" w:after="120"/>
        <w:ind w:left="864"/>
        <w:jc w:val="both"/>
      </w:pPr>
      <w:r>
        <w:rPr>
          <w:rFonts w:ascii="Times New Roman" w:hAnsi="Times New Roman"/>
          <w:color w:val="000000"/>
          <w:sz w:val="22"/>
        </w:rPr>
        <w:t>Dr. Miriam Hesse, Chief Technology Officer Apex Industrial Technologies, Inc. 4200 Crescent Ridge Parkway, Suite 600 Cincinnati, OH 45202</w:t>
      </w:r>
    </w:p>
    <w:p>
      <w:pPr>
        <w:spacing w:line="276" w:lineRule="auto" w:before="0" w:after="120"/>
        <w:jc w:val="both"/>
      </w:pPr>
      <w:r>
        <w:rPr>
          <w:rFonts w:ascii="Times New Roman" w:hAnsi="Times New Roman"/>
          <w:color w:val="000000"/>
          <w:sz w:val="22"/>
        </w:rPr>
        <w:t>Either Party may change its address for notices by providing written notice to the other Party in accordance with this Section 12.5.</w:t>
      </w:r>
    </w:p>
    <w:p>
      <w:pPr>
        <w:spacing w:line="276" w:lineRule="auto" w:before="0" w:after="120"/>
        <w:jc w:val="both"/>
      </w:pPr>
      <w:r>
        <w:rPr>
          <w:rFonts w:ascii="Times New Roman" w:hAnsi="Times New Roman"/>
          <w:b/>
          <w:color w:val="000000"/>
          <w:sz w:val="22"/>
        </w:rPr>
        <w:t>12.6 Force Majeure.</w:t>
      </w:r>
      <w:r>
        <w:rPr>
          <w:rFonts w:ascii="Times New Roman" w:hAnsi="Times New Roman"/>
          <w:color w:val="000000"/>
          <w:sz w:val="22"/>
        </w:rPr>
        <w:t xml:space="preserve"> Neither Party shall be liable for any failure or delay in the performance of its obligations under this Agreement (other than payment obligations) to the extent that such failure or delay is caused by circumstances beyond such Party's reasonable control, including but not limited to acts of God, fire, flood, earthquake, epidemic, war, terrorism, labor disputes, government actions, or disruptions in telecommunications or power supply. The affected Party shall provide prompt written notice and shall use commercially reasonable efforts to mitigate the effects of the force majeure event.</w:t>
      </w:r>
    </w:p>
    <w:p>
      <w:pPr>
        <w:spacing w:line="276" w:lineRule="auto" w:before="0" w:after="120"/>
        <w:jc w:val="both"/>
      </w:pPr>
      <w:r>
        <w:rPr>
          <w:rFonts w:ascii="Times New Roman" w:hAnsi="Times New Roman"/>
          <w:b/>
          <w:color w:val="000000"/>
          <w:sz w:val="22"/>
        </w:rPr>
        <w:t>12.7 Independent Contractors.</w:t>
      </w:r>
      <w:r>
        <w:rPr>
          <w:rFonts w:ascii="Times New Roman" w:hAnsi="Times New Roman"/>
          <w:color w:val="000000"/>
          <w:sz w:val="22"/>
        </w:rPr>
        <w:t xml:space="preserve"> The Parties are independent contractors. Nothing in this Agreement shall be construed to create a partnership, joint venture, agency, fiduciary, or employment relationship between the Parties. Neither Party shall have any authority to bind or obligate the other Party.</w:t>
      </w:r>
    </w:p>
    <w:p>
      <w:pPr>
        <w:spacing w:line="276" w:lineRule="auto" w:before="0" w:after="120"/>
        <w:jc w:val="both"/>
      </w:pPr>
      <w:r>
        <w:rPr>
          <w:rFonts w:ascii="Times New Roman" w:hAnsi="Times New Roman"/>
          <w:b/>
          <w:color w:val="000000"/>
          <w:sz w:val="22"/>
        </w:rPr>
        <w:t>12.8 Counterparts.</w:t>
      </w:r>
      <w:r>
        <w:rPr>
          <w:rFonts w:ascii="Times New Roman" w:hAnsi="Times New Roman"/>
          <w:color w:val="000000"/>
          <w:sz w:val="22"/>
        </w:rPr>
        <w:t xml:space="preserve"> This Agreement may be executed in two or more counterparts, each of which shall be deemed an original, and all of which together shall constitute one and the same instrument. Electronic and facsimile signatures shall be deemed original signatures for all purposes.</w:t>
      </w:r>
    </w:p>
    <w:p>
      <w:pPr>
        <w:spacing w:line="276" w:lineRule="auto" w:before="0" w:after="120"/>
        <w:jc w:val="both"/>
      </w:pPr>
      <w:r>
        <w:rPr>
          <w:rFonts w:ascii="Times New Roman" w:hAnsi="Times New Roman"/>
          <w:b/>
          <w:color w:val="000000"/>
          <w:sz w:val="22"/>
        </w:rPr>
        <w:t>IN WITNESS WHEREOF</w:t>
      </w:r>
      <w:r>
        <w:rPr>
          <w:rFonts w:ascii="Times New Roman" w:hAnsi="Times New Roman"/>
          <w:color w:val="000000"/>
          <w:sz w:val="22"/>
        </w:rPr>
        <w:t>, the Parties have caused this Agreement to be executed by their duly authorized representatives as of the Effective Date.</w:t>
      </w:r>
    </w:p>
    <w:p>
      <w:pPr>
        <w:spacing w:line="240" w:lineRule="auto" w:before="20" w:after="20"/>
        <w:jc w:val="both"/>
      </w:pPr>
      <w:r>
        <w:rPr>
          <w:rFonts w:ascii="Times New Roman" w:hAnsi="Times New Roman"/>
          <w:b/>
          <w:color w:val="000000"/>
          <w:sz w:val="22"/>
        </w:rPr>
        <w:t>HENDRICKS AUTOMATION SYSTEMS,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Franklin Orr</w:t>
      </w:r>
    </w:p>
    <w:p>
      <w:pPr>
        <w:spacing w:line="240" w:lineRule="auto" w:before="20" w:after="20"/>
        <w:jc w:val="left"/>
      </w:pPr>
      <w:r>
        <w:rPr>
          <w:rFonts w:ascii="Times New Roman" w:hAnsi="Times New Roman"/>
          <w:color w:val="000000"/>
          <w:sz w:val="22"/>
        </w:rPr>
        <w:t>Title: Vice President, Licensing</w:t>
      </w:r>
    </w:p>
    <w:p>
      <w:pPr>
        <w:spacing w:line="240" w:lineRule="auto" w:before="20" w:after="20"/>
        <w:jc w:val="left"/>
      </w:pPr>
      <w:r>
        <w:rPr>
          <w:rFonts w:ascii="Times New Roman" w:hAnsi="Times New Roman"/>
          <w:color w:val="000000"/>
          <w:sz w:val="22"/>
        </w:rPr>
        <w:t>Date: March 1, 2020</w:t>
      </w:r>
    </w:p>
    <w:p>
      <w:pPr>
        <w:spacing w:line="240" w:lineRule="auto" w:before="20" w:after="20"/>
        <w:jc w:val="both"/>
      </w:pPr>
      <w:r>
        <w:rPr>
          <w:rFonts w:ascii="Times New Roman" w:hAnsi="Times New Roman"/>
          <w:b/>
          <w:color w:val="000000"/>
          <w:sz w:val="22"/>
        </w:rPr>
        <w:t>APEX INDUSTRIAL TECHNOLOGIES,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Robert Fenn</w:t>
      </w:r>
    </w:p>
    <w:p>
      <w:pPr>
        <w:spacing w:line="240" w:lineRule="auto" w:before="20" w:after="20"/>
        <w:jc w:val="left"/>
      </w:pPr>
      <w:r>
        <w:rPr>
          <w:rFonts w:ascii="Times New Roman" w:hAnsi="Times New Roman"/>
          <w:color w:val="000000"/>
          <w:sz w:val="22"/>
        </w:rPr>
        <w:t>Title: General Counsel</w:t>
      </w:r>
    </w:p>
    <w:p>
      <w:pPr>
        <w:spacing w:line="240" w:lineRule="auto" w:before="20" w:after="20"/>
        <w:jc w:val="left"/>
      </w:pPr>
      <w:r>
        <w:rPr>
          <w:rFonts w:ascii="Times New Roman" w:hAnsi="Times New Roman"/>
          <w:color w:val="000000"/>
          <w:sz w:val="22"/>
        </w:rPr>
        <w:t>Date: March 1, 2020</w:t>
      </w:r>
    </w:p>
    <w:p>
      <w:r>
        <w:br w:type="page"/>
      </w:r>
    </w:p>
    <w:p>
      <w:pPr>
        <w:keepNext/>
        <w:spacing w:line="276" w:lineRule="auto" w:before="360" w:after="120"/>
        <w:jc w:val="center"/>
      </w:pPr>
      <w:r>
        <w:rPr>
          <w:rFonts w:ascii="Times New Roman" w:hAnsi="Times New Roman"/>
          <w:b/>
          <w:color w:val="000000"/>
          <w:sz w:val="22"/>
          <w:u w:val="single"/>
        </w:rPr>
        <w:t>EXHIBIT A</w:t>
      </w:r>
    </w:p>
    <w:p>
      <w:pPr>
        <w:spacing w:line="276" w:lineRule="auto" w:before="0" w:after="120"/>
        <w:jc w:val="center"/>
      </w:pPr>
      <w:r>
        <w:rPr>
          <w:rFonts w:ascii="Times New Roman" w:hAnsi="Times New Roman"/>
          <w:b/>
          <w:color w:val="000000"/>
          <w:sz w:val="22"/>
        </w:rPr>
        <w:t>DESCRIPTION OF LICENSED TECHNOLOGY</w:t>
      </w:r>
    </w:p>
    <w:p>
      <w:pPr>
        <w:spacing w:line="276" w:lineRule="auto" w:before="0" w:after="120"/>
        <w:jc w:val="center"/>
      </w:pPr>
      <w:r>
        <w:rPr>
          <w:rFonts w:ascii="Times New Roman" w:hAnsi="Times New Roman"/>
          <w:b/>
          <w:color w:val="000000"/>
          <w:sz w:val="22"/>
        </w:rPr>
        <w:t>FlowLogic Predictive Maintenance Algorithm — Technical Description</w:t>
      </w:r>
    </w:p>
    <w:p>
      <w:pPr>
        <w:spacing w:line="276" w:lineRule="auto" w:before="0" w:after="120"/>
        <w:jc w:val="both"/>
      </w:pPr>
      <w:r>
        <w:rPr>
          <w:rFonts w:ascii="Times New Roman" w:hAnsi="Times New Roman"/>
          <w:color w:val="000000"/>
          <w:sz w:val="22"/>
        </w:rPr>
        <w:t>The Licensed Technology licensed under this Agreement is the FlowLogic Predictive Maintenance Algorithm, a proprietary software algorithm developed by Hendricks Automation Systems, Inc. The FlowLogic Algorithm utilizes machine learning models and statistical analysis techniques for the real-time analysis of fluid control system operating data — including pressure, flow rate, temperature, and vibration sensor inputs — to predict component degradation, anticipate maintenance needs, and identify potential failure modes in industrial fluid control equipment.</w:t>
      </w:r>
    </w:p>
    <w:p>
      <w:pPr>
        <w:spacing w:line="276" w:lineRule="auto" w:before="0" w:after="120"/>
        <w:jc w:val="both"/>
      </w:pPr>
      <w:r>
        <w:rPr>
          <w:rFonts w:ascii="Times New Roman" w:hAnsi="Times New Roman"/>
          <w:color w:val="000000"/>
          <w:sz w:val="22"/>
        </w:rPr>
        <w:t>The Licensed Technology consists of the following key components:</w:t>
      </w:r>
    </w:p>
    <w:p>
      <w:pPr>
        <w:spacing w:line="276" w:lineRule="auto" w:before="0" w:after="120"/>
        <w:ind w:left="432"/>
        <w:jc w:val="both"/>
      </w:pPr>
      <w:r>
        <w:rPr>
          <w:rFonts w:ascii="Times New Roman" w:hAnsi="Times New Roman"/>
          <w:b/>
          <w:color w:val="000000"/>
          <w:sz w:val="22"/>
        </w:rPr>
        <w:t>(i) Data Ingestion Module.</w:t>
      </w:r>
      <w:r>
        <w:rPr>
          <w:rFonts w:ascii="Times New Roman" w:hAnsi="Times New Roman"/>
          <w:color w:val="000000"/>
          <w:sz w:val="22"/>
        </w:rPr>
        <w:t xml:space="preserve"> A configurable data collection layer capable of receiving and processing real-time and batch sensor data from fluid control system instrumentation. The Data Ingestion Module supports standard industrial communication protocols (including OPC-UA, Modbus TCP/IP, and HART) and is designed for compatibility with the Crestline ERP Platform v.8.2 data exchange APIs, enabling bidirectional data transfer between the FlowLogic Algorithm and Licensee's Crestline ERP environment for purposes of production scheduling integration, component lifecycle tracking, and quality control reporting.</w:t>
      </w:r>
    </w:p>
    <w:p>
      <w:pPr>
        <w:spacing w:line="276" w:lineRule="auto" w:before="0" w:after="120"/>
        <w:ind w:left="432"/>
        <w:jc w:val="both"/>
      </w:pPr>
      <w:r>
        <w:rPr>
          <w:rFonts w:ascii="Times New Roman" w:hAnsi="Times New Roman"/>
          <w:b/>
          <w:color w:val="000000"/>
          <w:sz w:val="22"/>
        </w:rPr>
        <w:t>(ii) Predictive Analytics Engine.</w:t>
      </w:r>
      <w:r>
        <w:rPr>
          <w:rFonts w:ascii="Times New Roman" w:hAnsi="Times New Roman"/>
          <w:color w:val="000000"/>
          <w:sz w:val="22"/>
        </w:rPr>
        <w:t xml:space="preserve"> The core algorithmic module employing proprietary ensemble machine learning models to analyze ingested data streams, generate predictive maintenance scores, and forecast component remaining useful life with configurable confidence intervals.</w:t>
      </w:r>
    </w:p>
    <w:p>
      <w:pPr>
        <w:spacing w:line="276" w:lineRule="auto" w:before="0" w:after="120"/>
        <w:ind w:left="432"/>
        <w:jc w:val="both"/>
      </w:pPr>
      <w:r>
        <w:rPr>
          <w:rFonts w:ascii="Times New Roman" w:hAnsi="Times New Roman"/>
          <w:b/>
          <w:color w:val="000000"/>
          <w:sz w:val="22"/>
        </w:rPr>
        <w:t>(iii) Alert and Reporting Module.</w:t>
      </w:r>
      <w:r>
        <w:rPr>
          <w:rFonts w:ascii="Times New Roman" w:hAnsi="Times New Roman"/>
          <w:color w:val="000000"/>
          <w:sz w:val="22"/>
        </w:rPr>
        <w:t xml:space="preserve"> An integrated notification and reporting system that generates maintenance alerts, summary dashboards, and exportable maintenance reports based on the output of the Predictive Analytics Engine.</w:t>
      </w:r>
    </w:p>
    <w:p>
      <w:pPr>
        <w:spacing w:line="276" w:lineRule="auto" w:before="0" w:after="120"/>
        <w:ind w:left="432"/>
        <w:jc w:val="both"/>
      </w:pPr>
      <w:r>
        <w:rPr>
          <w:rFonts w:ascii="Times New Roman" w:hAnsi="Times New Roman"/>
          <w:b/>
          <w:color w:val="000000"/>
          <w:sz w:val="22"/>
        </w:rPr>
        <w:t>(iv) Integration Layer.</w:t>
      </w:r>
      <w:r>
        <w:rPr>
          <w:rFonts w:ascii="Times New Roman" w:hAnsi="Times New Roman"/>
          <w:color w:val="000000"/>
          <w:sz w:val="22"/>
        </w:rPr>
        <w:t xml:space="preserve"> A hardware abstraction and integration layer designed to enable seamless embedding of the FlowLogic Algorithm within Licensee's AX-7000 intelligent valve actuator hardware platform, including firmware hooks, memory allocation specifications, and processor compatibility profiles.</w:t>
      </w:r>
    </w:p>
    <w:p>
      <w:pPr>
        <w:spacing w:line="276" w:lineRule="auto" w:before="0" w:after="120"/>
        <w:jc w:val="both"/>
      </w:pPr>
      <w:r>
        <w:rPr>
          <w:rFonts w:ascii="Times New Roman" w:hAnsi="Times New Roman"/>
          <w:b/>
          <w:color w:val="000000"/>
          <w:sz w:val="22"/>
        </w:rPr>
        <w:t>Version:</w:t>
      </w:r>
      <w:r>
        <w:rPr>
          <w:rFonts w:ascii="Times New Roman" w:hAnsi="Times New Roman"/>
          <w:color w:val="000000"/>
          <w:sz w:val="22"/>
        </w:rPr>
        <w:t xml:space="preserve"> FlowLogic v.3.1 (current as of the Effective Date), together with all subsequent updates delivered by Licensor pursuant to Section 3.3 of the Agreement.</w:t>
      </w:r>
    </w:p>
    <w:p>
      <w:pPr>
        <w:spacing w:line="276" w:lineRule="auto" w:before="0" w:after="120"/>
        <w:jc w:val="both"/>
      </w:pPr>
      <w:r>
        <w:rPr>
          <w:rFonts w:ascii="Times New Roman" w:hAnsi="Times New Roman"/>
          <w:b/>
          <w:color w:val="000000"/>
          <w:sz w:val="22"/>
        </w:rPr>
        <w:t>Delivery Format:</w:t>
      </w:r>
      <w:r>
        <w:rPr>
          <w:rFonts w:ascii="Times New Roman" w:hAnsi="Times New Roman"/>
          <w:color w:val="000000"/>
          <w:sz w:val="22"/>
        </w:rPr>
        <w:t xml:space="preserve"> Object code (compiled binary), API documentation, integration specifications, and technical reference guides.</w:t>
      </w:r>
    </w:p>
    <w:p>
      <w:r>
        <w:br w:type="page"/>
      </w:r>
    </w:p>
    <w:p>
      <w:pPr>
        <w:keepNext/>
        <w:spacing w:line="276" w:lineRule="auto" w:before="360" w:after="120"/>
        <w:jc w:val="center"/>
      </w:pPr>
      <w:r>
        <w:rPr>
          <w:rFonts w:ascii="Times New Roman" w:hAnsi="Times New Roman"/>
          <w:b/>
          <w:color w:val="000000"/>
          <w:sz w:val="22"/>
          <w:u w:val="single"/>
        </w:rPr>
        <w:t>EXHIBIT B</w:t>
      </w:r>
    </w:p>
    <w:p>
      <w:pPr>
        <w:spacing w:line="276" w:lineRule="auto" w:before="0" w:after="120"/>
        <w:jc w:val="center"/>
      </w:pPr>
      <w:r>
        <w:rPr>
          <w:rFonts w:ascii="Times New Roman" w:hAnsi="Times New Roman"/>
          <w:b/>
          <w:color w:val="000000"/>
          <w:sz w:val="22"/>
        </w:rPr>
        <w:t>ROYALTY CALCULATION METHODOLOGY</w:t>
      </w:r>
    </w:p>
    <w:p>
      <w:pPr>
        <w:spacing w:line="276" w:lineRule="auto" w:before="0" w:after="120"/>
        <w:jc w:val="both"/>
      </w:pPr>
      <w:r>
        <w:rPr>
          <w:rFonts w:ascii="Times New Roman" w:hAnsi="Times New Roman"/>
          <w:b/>
          <w:color w:val="000000"/>
          <w:sz w:val="22"/>
        </w:rPr>
        <w:t>1. Net Sales Revenue.</w:t>
      </w:r>
      <w:r>
        <w:rPr>
          <w:rFonts w:ascii="Times New Roman" w:hAnsi="Times New Roman"/>
          <w:color w:val="000000"/>
          <w:sz w:val="22"/>
        </w:rPr>
        <w:t xml:space="preserve"> For purposes of calculating Royalty payments under Section 4.2 of the Agreement, "Net Sales Revenue" shall mean the gross revenue actually received by Licensee from the sale, lease, or other disposition of Licensed Products to unaffiliated third parties, less the following deductions to the extent actually incurred and separately identifiable on Licensee's invoices or accounting records:</w:t>
      </w:r>
    </w:p>
    <w:p>
      <w:pPr>
        <w:spacing w:line="276" w:lineRule="auto" w:before="0" w:after="120"/>
        <w:ind w:left="432"/>
        <w:jc w:val="both"/>
      </w:pPr>
      <w:r>
        <w:rPr>
          <w:rFonts w:ascii="Times New Roman" w:hAnsi="Times New Roman"/>
          <w:color w:val="000000"/>
          <w:sz w:val="22"/>
        </w:rPr>
        <w:t>(a) Trade discounts, credits, and allowances actually granted to customers;</w:t>
      </w:r>
    </w:p>
    <w:p>
      <w:pPr>
        <w:spacing w:line="276" w:lineRule="auto" w:before="0" w:after="120"/>
        <w:ind w:left="432"/>
        <w:jc w:val="both"/>
      </w:pPr>
      <w:r>
        <w:rPr>
          <w:rFonts w:ascii="Times New Roman" w:hAnsi="Times New Roman"/>
          <w:color w:val="000000"/>
          <w:sz w:val="22"/>
        </w:rPr>
        <w:t>(b) Returns and refunds actually credited to customers;</w:t>
      </w:r>
    </w:p>
    <w:p>
      <w:pPr>
        <w:spacing w:line="276" w:lineRule="auto" w:before="0" w:after="120"/>
        <w:ind w:left="432"/>
        <w:jc w:val="both"/>
      </w:pPr>
      <w:r>
        <w:rPr>
          <w:rFonts w:ascii="Times New Roman" w:hAnsi="Times New Roman"/>
          <w:color w:val="000000"/>
          <w:sz w:val="22"/>
        </w:rPr>
        <w:t>(c) Outbound freight, shipping, and insurance charges borne by Licensee;</w:t>
      </w:r>
    </w:p>
    <w:p>
      <w:pPr>
        <w:spacing w:line="276" w:lineRule="auto" w:before="0" w:after="120"/>
        <w:ind w:left="432"/>
        <w:jc w:val="both"/>
      </w:pPr>
      <w:r>
        <w:rPr>
          <w:rFonts w:ascii="Times New Roman" w:hAnsi="Times New Roman"/>
          <w:color w:val="000000"/>
          <w:sz w:val="22"/>
        </w:rPr>
        <w:t>(d) Sales, use, value-added, and excise taxes, customs duties, and other governmental charges imposed on the sale of Licensed Products and separately stated on invoices.</w:t>
      </w:r>
    </w:p>
    <w:p>
      <w:pPr>
        <w:spacing w:line="276" w:lineRule="auto" w:before="0" w:after="120"/>
        <w:jc w:val="both"/>
      </w:pPr>
      <w:r>
        <w:rPr>
          <w:rFonts w:ascii="Times New Roman" w:hAnsi="Times New Roman"/>
          <w:b/>
          <w:color w:val="000000"/>
          <w:sz w:val="22"/>
        </w:rPr>
        <w:t>2. Royalty Rate.</w:t>
      </w:r>
      <w:r>
        <w:rPr>
          <w:rFonts w:ascii="Times New Roman" w:hAnsi="Times New Roman"/>
          <w:color w:val="000000"/>
          <w:sz w:val="22"/>
        </w:rPr>
        <w:t xml:space="preserve"> The Royalty rate applicable to Net Sales Revenue shall be three and one-half percent (3.5%).</w:t>
      </w:r>
    </w:p>
    <w:p>
      <w:pPr>
        <w:spacing w:line="276" w:lineRule="auto" w:before="0" w:after="120"/>
        <w:jc w:val="both"/>
      </w:pPr>
      <w:r>
        <w:rPr>
          <w:rFonts w:ascii="Times New Roman" w:hAnsi="Times New Roman"/>
          <w:b/>
          <w:color w:val="000000"/>
          <w:sz w:val="22"/>
        </w:rPr>
        <w:t>3. Payment Schedule.</w:t>
      </w:r>
      <w:r>
        <w:rPr>
          <w:rFonts w:ascii="Times New Roman" w:hAnsi="Times New Roman"/>
          <w:color w:val="000000"/>
          <w:sz w:val="22"/>
        </w:rPr>
        <w:t xml:space="preserve"> Royalty payments shall be calculated on a calendar quarter basis and shall be due and payable within thirty (30) days following the end of each calendar quarter (i.e., payments due April 30, July 30, October 30, and January 30 of each year). Each payment shall be accompanied by a written statement in reasonable detail setting forth the calculation of Net Sales Revenue and the Royalty due for the applicable quarter.</w:t>
      </w:r>
    </w:p>
    <w:p>
      <w:pPr>
        <w:spacing w:line="276" w:lineRule="auto" w:before="0" w:after="120"/>
        <w:jc w:val="both"/>
      </w:pPr>
      <w:r>
        <w:rPr>
          <w:rFonts w:ascii="Times New Roman" w:hAnsi="Times New Roman"/>
          <w:b/>
          <w:color w:val="000000"/>
          <w:sz w:val="22"/>
        </w:rPr>
        <w:t>4. Sample Calculation.</w:t>
      </w:r>
      <w:r>
        <w:rPr>
          <w:rFonts w:ascii="Times New Roman" w:hAnsi="Times New Roman"/>
          <w:color w:val="000000"/>
          <w:sz w:val="22"/>
        </w:rPr>
        <w:t xml:space="preserve"> For illustrative purposes only: If Licensee's Net Sales Revenue from Licensed Products during a given calendar quarter is Thirteen Million Dollars ($13,000,000), the Royalty payment due for such quarter would be calculated as follows:</w:t>
      </w:r>
    </w:p>
    <w:p>
      <w:pPr>
        <w:spacing w:line="276" w:lineRule="auto" w:before="0" w:after="120"/>
        <w:ind w:left="432"/>
        <w:jc w:val="both"/>
      </w:pPr>
      <w:r>
        <w:rPr>
          <w:rFonts w:ascii="Times New Roman" w:hAnsi="Times New Roman"/>
          <w:color w:val="000000"/>
          <w:sz w:val="22"/>
        </w:rPr>
        <w:t xml:space="preserve">$13,000,000 × 3.5% = </w:t>
      </w:r>
      <w:r>
        <w:rPr>
          <w:rFonts w:ascii="Times New Roman" w:hAnsi="Times New Roman"/>
          <w:b/>
          <w:color w:val="000000"/>
          <w:sz w:val="22"/>
        </w:rPr>
        <w:t>$455,000</w:t>
      </w:r>
    </w:p>
    <w:p>
      <w:pPr>
        <w:spacing w:line="276" w:lineRule="auto" w:before="0" w:after="120"/>
        <w:jc w:val="both"/>
      </w:pPr>
      <w:r>
        <w:rPr>
          <w:rFonts w:ascii="Times New Roman" w:hAnsi="Times New Roman"/>
          <w:b/>
          <w:color w:val="000000"/>
          <w:sz w:val="22"/>
        </w:rPr>
        <w:t>5. Currency.</w:t>
      </w:r>
      <w:r>
        <w:rPr>
          <w:rFonts w:ascii="Times New Roman" w:hAnsi="Times New Roman"/>
          <w:color w:val="000000"/>
          <w:sz w:val="22"/>
        </w:rPr>
        <w:t xml:space="preserve"> All Royalty payments shall be made in United States Dollars. Net Sales Revenue generated in foreign currencies shall be converted to United States Dollars using the average daily exchange rate published by the Federal Reserve for the applicable calendar quarter.</w:t>
      </w:r>
    </w:p>
    <w:p>
      <w:pPr>
        <w:spacing w:line="276" w:lineRule="auto" w:before="0" w:after="120"/>
        <w:jc w:val="both"/>
      </w:pPr>
      <w:r>
        <w:rPr>
          <w:rFonts w:ascii="Times New Roman" w:hAnsi="Times New Roman"/>
          <w:b/>
          <w:color w:val="000000"/>
          <w:sz w:val="22"/>
        </w:rPr>
        <w:t>6. Late Payments.</w:t>
      </w:r>
      <w:r>
        <w:rPr>
          <w:rFonts w:ascii="Times New Roman" w:hAnsi="Times New Roman"/>
          <w:color w:val="000000"/>
          <w:sz w:val="22"/>
        </w:rPr>
        <w:t xml:space="preserve"> Any Royalty payments not received by Licensor within the time periods specified herein shall bear interest at the rate of one and one-half percent (1.5%) per month, or the maximum rate permitted by applicable law, whichever is less, calculated from the original due date until the date of actual payment.</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Technology License Agreement — Hendricks Automation Systems / Apex Industrial Technologies</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Agreement No. HAS-LIC-2020-0088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