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76" w:lineRule="auto" w:before="0" w:after="120"/>
        <w:jc w:val="center"/>
      </w:pPr>
      <w:r>
        <w:rPr>
          <w:rFonts w:ascii="Times New Roman" w:hAnsi="Times New Roman"/>
          <w:b/>
          <w:color w:val="000000"/>
          <w:sz w:val="22"/>
        </w:rPr>
        <w:t>EMPLOYMENT AGREEMENT</w:t>
      </w:r>
    </w:p>
    <w:p>
      <w:pPr>
        <w:spacing w:line="276" w:lineRule="auto" w:before="0" w:after="120"/>
        <w:jc w:val="center"/>
      </w:pPr>
      <w:r>
        <w:rPr>
          <w:rFonts w:ascii="Times New Roman" w:hAnsi="Times New Roman"/>
          <w:b/>
          <w:color w:val="000000"/>
          <w:sz w:val="22"/>
        </w:rPr>
        <w:t>Agreement No. EA-2021-003-MH</w:t>
      </w:r>
    </w:p>
    <w:p>
      <w:pPr>
        <w:spacing w:line="276" w:lineRule="auto" w:before="0" w:after="120"/>
        <w:jc w:val="both"/>
      </w:pPr>
      <w:r>
        <w:rPr>
          <w:rFonts w:ascii="Times New Roman" w:hAnsi="Times New Roman"/>
          <w:color w:val="000000"/>
          <w:sz w:val="22"/>
        </w:rPr>
        <w:t xml:space="preserve">This Employment Agreement (this "Agreement") is entered into as of August 15, 2021 (the "Effective Date"), by and between </w:t>
      </w:r>
      <w:r>
        <w:rPr>
          <w:rFonts w:ascii="Times New Roman" w:hAnsi="Times New Roman"/>
          <w:b/>
          <w:color w:val="000000"/>
          <w:sz w:val="22"/>
        </w:rPr>
        <w:t>Apex Industrial Technologies, Inc.</w:t>
      </w:r>
      <w:r>
        <w:rPr>
          <w:rFonts w:ascii="Times New Roman" w:hAnsi="Times New Roman"/>
          <w:color w:val="000000"/>
          <w:sz w:val="22"/>
        </w:rPr>
        <w:t xml:space="preserve">, a Delaware corporation with its principal offices located at 4200 Crescent Ridge Parkway, Suite 600, Cincinnati, OH 45202 (the "Company" or "Employer"), and </w:t>
      </w:r>
      <w:r>
        <w:rPr>
          <w:rFonts w:ascii="Times New Roman" w:hAnsi="Times New Roman"/>
          <w:b/>
          <w:color w:val="000000"/>
          <w:sz w:val="22"/>
        </w:rPr>
        <w:t>Dr. Miriam Hesse</w:t>
      </w:r>
      <w:r>
        <w:rPr>
          <w:rFonts w:ascii="Times New Roman" w:hAnsi="Times New Roman"/>
          <w:color w:val="000000"/>
          <w:sz w:val="22"/>
        </w:rPr>
        <w:t>, an individual (the "Executive").</w:t>
      </w:r>
    </w:p>
    <w:p>
      <w:r>
        <w:br w:type="page"/>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is engaged in the design and manufacture of precision fluid control valves, actuators, and related automation systems for the oil and gas, petrochemical, and water treatment industries;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desires to employ Executive as its Chief Technology Officer ("CTO") to lead technology development, product innovation, and engineering operations for the Company and its subsidiaries;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Executive possesses specialized expertise in fluid dynamics, predictive maintenance systems, and industrial automation technologies, and desires to serve in such capacity on the terms and conditions set forth herein;</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Executive shall report directly to the Company's Chief Executive Officer, Patricia Langford;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maintains various equity incentive plans, including the Apex Industrial Technologies, Inc. 2021 Equity Incentive Plan, under which Executive may receive equity-based compensation in connection with her employment;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and Executive desire to set forth the terms and conditions of Executive's employment in this Agreement.</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promises, and agreements set forth herein, and for other good and valuable consideration, the receipt and sufficiency of which are hereby acknowledged, the parties agree as follows:</w:t>
      </w:r>
    </w:p>
    <w:p>
      <w:pPr>
        <w:keepNext/>
        <w:spacing w:line="276" w:lineRule="auto" w:before="360" w:after="120"/>
        <w:jc w:val="left"/>
      </w:pPr>
      <w:r>
        <w:rPr>
          <w:rFonts w:ascii="Times New Roman" w:hAnsi="Times New Roman"/>
          <w:b/>
          <w:color w:val="000000"/>
          <w:sz w:val="22"/>
          <w:u w:val="single"/>
        </w:rPr>
        <w:t>Section 1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jc w:val="both"/>
      </w:pPr>
      <w:r>
        <w:rPr>
          <w:rFonts w:ascii="Times New Roman" w:hAnsi="Times New Roman"/>
          <w:b/>
          <w:color w:val="000000"/>
          <w:sz w:val="22"/>
        </w:rPr>
        <w:t>"Affiliate"</w:t>
      </w:r>
      <w:r>
        <w:rPr>
          <w:rFonts w:ascii="Times New Roman" w:hAnsi="Times New Roman"/>
          <w:color w:val="000000"/>
          <w:sz w:val="22"/>
        </w:rPr>
        <w:t xml:space="preserve"> means any entity directly or indirectly controlling, controlled by, or under common control with the Company, where "control" means the possession, directly or indirectly, of the power to direct or cause the direction of the management and policies of such entity, whether through the ownership of voting securities, by contract, or otherwise.</w:t>
      </w:r>
    </w:p>
    <w:p>
      <w:pPr>
        <w:spacing w:line="276" w:lineRule="auto" w:before="0" w:after="120"/>
        <w:jc w:val="both"/>
      </w:pPr>
      <w:r>
        <w:rPr>
          <w:rFonts w:ascii="Times New Roman" w:hAnsi="Times New Roman"/>
          <w:b/>
          <w:color w:val="000000"/>
          <w:sz w:val="22"/>
        </w:rPr>
        <w:t>"Base Salary"</w:t>
      </w:r>
      <w:r>
        <w:rPr>
          <w:rFonts w:ascii="Times New Roman" w:hAnsi="Times New Roman"/>
          <w:color w:val="000000"/>
          <w:sz w:val="22"/>
        </w:rPr>
        <w:t xml:space="preserve"> has the meaning set forth in Section 3.1.</w:t>
      </w:r>
    </w:p>
    <w:p>
      <w:pPr>
        <w:spacing w:line="276" w:lineRule="auto" w:before="0" w:after="120"/>
        <w:jc w:val="both"/>
      </w:pPr>
      <w:r>
        <w:rPr>
          <w:rFonts w:ascii="Times New Roman" w:hAnsi="Times New Roman"/>
          <w:b/>
          <w:color w:val="000000"/>
          <w:sz w:val="22"/>
        </w:rPr>
        <w:t>"Board"</w:t>
      </w:r>
      <w:r>
        <w:rPr>
          <w:rFonts w:ascii="Times New Roman" w:hAnsi="Times New Roman"/>
          <w:color w:val="000000"/>
          <w:sz w:val="22"/>
        </w:rPr>
        <w:t xml:space="preserve"> means the Board of Directors of the Company.</w:t>
      </w:r>
    </w:p>
    <w:p>
      <w:pPr>
        <w:spacing w:line="276" w:lineRule="auto" w:before="0" w:after="120"/>
        <w:jc w:val="both"/>
      </w:pPr>
      <w:r>
        <w:rPr>
          <w:rFonts w:ascii="Times New Roman" w:hAnsi="Times New Roman"/>
          <w:b/>
          <w:color w:val="000000"/>
          <w:sz w:val="22"/>
        </w:rPr>
        <w:t>"Cause"</w:t>
      </w:r>
      <w:r>
        <w:rPr>
          <w:rFonts w:ascii="Times New Roman" w:hAnsi="Times New Roman"/>
          <w:color w:val="000000"/>
          <w:sz w:val="22"/>
        </w:rPr>
        <w:t xml:space="preserve"> means the occurrence of any of the following: (a) Executive's willful misconduct or gross negligence in the performance of her duties; (b) Executive's material breach of any provision of this Agreement; (c) Executive's conviction of, or plea of guilty or nolo contendere to, a felony under federal or state law; (d) Executive's fraud, embezzlement, or dishonesty that materially affects the Company or any Affiliate; or (e) Executive's continued failure to perform her material duties hereunder after written notice from the Board specifying the nature of such failure, and Executive's failure to cure such performance deficiency within thirty (30) days following receipt of such written notice.</w:t>
      </w:r>
    </w:p>
    <w:p>
      <w:pPr>
        <w:spacing w:line="276" w:lineRule="auto" w:before="0" w:after="120"/>
        <w:jc w:val="both"/>
      </w:pPr>
      <w:r>
        <w:rPr>
          <w:rFonts w:ascii="Times New Roman" w:hAnsi="Times New Roman"/>
          <w:b/>
          <w:color w:val="000000"/>
          <w:sz w:val="22"/>
        </w:rPr>
        <w:t>"Change of Control"</w:t>
      </w:r>
      <w:r>
        <w:rPr>
          <w:rFonts w:ascii="Times New Roman" w:hAnsi="Times New Roman"/>
          <w:color w:val="000000"/>
          <w:sz w:val="22"/>
        </w:rPr>
        <w:t xml:space="preserve"> means the occurrence of any of the following events: (i) the consummation of any merger, consolidation, reorganization, or similar business combination involving the Company in which the Company is not the surviving entity or in which the holders of the Company's outstanding voting securities immediately prior to such transaction hold less than fifty percent (50%) of the outstanding voting securities of the surviving or resulting entity immediately following such transaction; (ii) the sale, transfer, or other disposition of all or substantially all of the assets of the Company; (iii) the acquisition by any person or group (within the meaning of Section 13(d)(3) of the Securities Exchange Act of 1934, as amended) of beneficial ownership of more than fifty percent (50%) of the combined voting power of the Company's then-outstanding voting securities; or (iv) during any period of twenty-four (24) consecutive months, the individuals who at the beginning of such period constituted the Board cease for any reason to constitute a majority of the Board.</w:t>
      </w:r>
    </w:p>
    <w:p>
      <w:pPr>
        <w:spacing w:line="276" w:lineRule="auto" w:before="0" w:after="120"/>
        <w:jc w:val="both"/>
      </w:pPr>
      <w:r>
        <w:rPr>
          <w:rFonts w:ascii="Times New Roman" w:hAnsi="Times New Roman"/>
          <w:b/>
          <w:color w:val="000000"/>
          <w:sz w:val="22"/>
        </w:rPr>
        <w:t>"Equity Awards"</w:t>
      </w:r>
      <w:r>
        <w:rPr>
          <w:rFonts w:ascii="Times New Roman" w:hAnsi="Times New Roman"/>
          <w:color w:val="000000"/>
          <w:sz w:val="22"/>
        </w:rPr>
        <w:t xml:space="preserve"> means all stock options, restricted stock units, restricted stock, performance share units, and other equity-based awards granted to Executive by the Company or any Affiliate under any equity incentive plan, including the Apex Industrial Technologies, Inc. 2021 Equity Incentive Plan, as such plan may be amended from time to time.</w:t>
      </w:r>
    </w:p>
    <w:p>
      <w:pPr>
        <w:spacing w:line="276" w:lineRule="auto" w:before="0" w:after="120"/>
        <w:jc w:val="both"/>
      </w:pPr>
      <w:r>
        <w:rPr>
          <w:rFonts w:ascii="Times New Roman" w:hAnsi="Times New Roman"/>
          <w:b/>
          <w:color w:val="000000"/>
          <w:sz w:val="22"/>
        </w:rPr>
        <w:t>"Good Reason"</w:t>
      </w:r>
      <w:r>
        <w:rPr>
          <w:rFonts w:ascii="Times New Roman" w:hAnsi="Times New Roman"/>
          <w:color w:val="000000"/>
          <w:sz w:val="22"/>
        </w:rPr>
        <w:t xml:space="preserve"> means the occurrence of any of the following without Executive's prior written consent: (a) a material diminution in Executive's duties, authority, or responsibilities from those in effect immediately prior to such change; (b) a reduction in Executive's Base Salary by more than ten percent (10%); (c) the relocation of Executive's primary work location by more than fifty (50) miles from the location specified in Section 2.1; or (d) a material breach by the Company of any provision of this Agreement. Executive must provide written notice to the Company within thirty (30) days of the initial occurrence of the condition giving rise to Good Reason, and the Company shall have thirty (30) days following receipt of such notice to cure the condition. If the Company fails to cure within such period, Executive may resign for Good Reason within thirty (30) days following expiration of the cure period.</w:t>
      </w:r>
    </w:p>
    <w:p>
      <w:pPr>
        <w:spacing w:line="276" w:lineRule="auto" w:before="0" w:after="120"/>
        <w:jc w:val="both"/>
      </w:pPr>
      <w:r>
        <w:rPr>
          <w:rFonts w:ascii="Times New Roman" w:hAnsi="Times New Roman"/>
          <w:b/>
          <w:color w:val="000000"/>
          <w:sz w:val="22"/>
        </w:rPr>
        <w:t>"Restrictive Period"</w:t>
      </w:r>
      <w:r>
        <w:rPr>
          <w:rFonts w:ascii="Times New Roman" w:hAnsi="Times New Roman"/>
          <w:color w:val="000000"/>
          <w:sz w:val="22"/>
        </w:rPr>
        <w:t xml:space="preserve"> means the twelve (12)-month period immediately following the termination of Executive's employment with the Company for any reason.</w:t>
      </w:r>
    </w:p>
    <w:p>
      <w:pPr>
        <w:keepNext/>
        <w:spacing w:line="276" w:lineRule="auto" w:before="360" w:after="120"/>
        <w:jc w:val="left"/>
      </w:pPr>
      <w:r>
        <w:rPr>
          <w:rFonts w:ascii="Times New Roman" w:hAnsi="Times New Roman"/>
          <w:b/>
          <w:color w:val="000000"/>
          <w:sz w:val="22"/>
          <w:u w:val="single"/>
        </w:rPr>
        <w:t>Section 2 — Employment and Duties</w:t>
      </w:r>
    </w:p>
    <w:p>
      <w:pPr>
        <w:keepNext/>
        <w:spacing w:line="276" w:lineRule="auto" w:before="200" w:after="80"/>
        <w:ind w:left="0"/>
      </w:pPr>
      <w:r>
        <w:rPr>
          <w:rFonts w:ascii="Times New Roman" w:hAnsi="Times New Roman"/>
          <w:b/>
          <w:color w:val="000000"/>
          <w:sz w:val="22"/>
        </w:rPr>
        <w:t>2.1 Position and Title</w:t>
      </w:r>
    </w:p>
    <w:p>
      <w:pPr>
        <w:spacing w:line="276" w:lineRule="auto" w:before="0" w:after="120"/>
        <w:jc w:val="both"/>
      </w:pPr>
      <w:r>
        <w:rPr>
          <w:rFonts w:ascii="Times New Roman" w:hAnsi="Times New Roman"/>
          <w:color w:val="000000"/>
          <w:sz w:val="22"/>
        </w:rPr>
        <w:t>The Company hereby employs Executive, and Executive hereby accepts employment, as Chief Technology Officer of the Company. Executive shall have such duties, responsibilities, and authority as are customary for a chief technology officer of a company of similar size and character, including oversight of engineering, research and development, product development, and technology strategy. Executive shall report directly to the Chief Executive Officer. Executive's principal work location shall be the Company's offices at 4200 Crescent Ridge Parkway, Suite 600, Cincinnati, OH 45202, or the Company's research and development facility at 780 Innovation Drive, Fairfield, OH 45014.</w:t>
      </w:r>
    </w:p>
    <w:p>
      <w:pPr>
        <w:keepNext/>
        <w:spacing w:line="276" w:lineRule="auto" w:before="200" w:after="80"/>
        <w:ind w:left="0"/>
      </w:pPr>
      <w:r>
        <w:rPr>
          <w:rFonts w:ascii="Times New Roman" w:hAnsi="Times New Roman"/>
          <w:b/>
          <w:color w:val="000000"/>
          <w:sz w:val="22"/>
        </w:rPr>
        <w:t>2.2 Devotion of Time</w:t>
      </w:r>
    </w:p>
    <w:p>
      <w:pPr>
        <w:spacing w:line="276" w:lineRule="auto" w:before="0" w:after="120"/>
        <w:jc w:val="both"/>
      </w:pPr>
      <w:r>
        <w:rPr>
          <w:rFonts w:ascii="Times New Roman" w:hAnsi="Times New Roman"/>
          <w:color w:val="000000"/>
          <w:sz w:val="22"/>
        </w:rPr>
        <w:t>Executive shall devote substantially all of her business time, attention, skill, and energy to the performance of her duties under this Agreement. Notwithstanding the foregoing, Executive shall be permitted to serve on the board of directors of up to two (2) outside nonprofit organizations and to engage in reasonable personal investment activities, provided that such activities do not interfere with the performance of Executive's duties hereunder or create a conflict of interest with the Company.</w:t>
      </w:r>
    </w:p>
    <w:p>
      <w:pPr>
        <w:spacing w:line="276" w:lineRule="auto" w:before="200" w:after="80"/>
        <w:ind w:left="0"/>
        <w:jc w:val="both"/>
      </w:pPr>
      <w:r>
        <w:rPr>
          <w:rFonts w:ascii="Times New Roman" w:hAnsi="Times New Roman"/>
          <w:b/>
          <w:color w:val="000000"/>
          <w:sz w:val="22"/>
        </w:rPr>
        <w:t xml:space="preserve">2.3 Term.  </w:t>
      </w:r>
      <w:r>
        <w:rPr>
          <w:rFonts w:ascii="Times New Roman" w:hAnsi="Times New Roman"/>
          <w:color w:val="000000"/>
          <w:sz w:val="22"/>
        </w:rPr>
        <w:t>Executive's employment under this Agreement shall be "at-will," meaning that either party may terminate the employment relationship at any time, subject to the notice and severance provisions set forth in this Agreement. Employment shall be effective as of the Effective Date and shall continue until terminated in accordance with Section 6.</w:t>
      </w:r>
    </w:p>
    <w:p>
      <w:pPr>
        <w:keepNext/>
        <w:spacing w:line="276" w:lineRule="auto" w:before="360" w:after="120"/>
        <w:jc w:val="left"/>
      </w:pPr>
      <w:r>
        <w:rPr>
          <w:rFonts w:ascii="Times New Roman" w:hAnsi="Times New Roman"/>
          <w:b/>
          <w:color w:val="000000"/>
          <w:sz w:val="22"/>
          <w:u w:val="single"/>
        </w:rPr>
        <w:t>Section 3 — Compensation</w:t>
      </w:r>
    </w:p>
    <w:p>
      <w:pPr>
        <w:keepNext/>
        <w:spacing w:line="276" w:lineRule="auto" w:before="200" w:after="80"/>
        <w:ind w:left="0"/>
      </w:pPr>
      <w:r>
        <w:rPr>
          <w:rFonts w:ascii="Times New Roman" w:hAnsi="Times New Roman"/>
          <w:b/>
          <w:color w:val="000000"/>
          <w:sz w:val="22"/>
        </w:rPr>
        <w:t>3.1 Base Salary</w:t>
      </w:r>
    </w:p>
    <w:p>
      <w:pPr>
        <w:spacing w:line="276" w:lineRule="auto" w:before="0" w:after="120"/>
        <w:jc w:val="both"/>
      </w:pPr>
      <w:r>
        <w:rPr>
          <w:rFonts w:ascii="Times New Roman" w:hAnsi="Times New Roman"/>
          <w:color w:val="000000"/>
          <w:sz w:val="22"/>
        </w:rPr>
        <w:t>The Company shall pay Executive an annual base salary of Three Hundred Eighty-Five Thousand Dollars ($385,000) (the "Base Salary"), payable in accordance with the Company's regular payroll practices. The Base Salary shall be reviewed annually by the Board or the Compensation Committee of the Board, and may be increased but shall not be reduced below $385,000 without Executive's prior written consent (subject to Executive's rights under the Good Reason provisions of this Agreement).</w:t>
      </w:r>
    </w:p>
    <w:p>
      <w:pPr>
        <w:keepNext/>
        <w:spacing w:line="276" w:lineRule="auto" w:before="200" w:after="80"/>
        <w:ind w:left="0"/>
      </w:pPr>
      <w:r>
        <w:rPr>
          <w:rFonts w:ascii="Times New Roman" w:hAnsi="Times New Roman"/>
          <w:b/>
          <w:color w:val="000000"/>
          <w:sz w:val="22"/>
        </w:rPr>
        <w:t>3.2 Annual Bonus</w:t>
      </w:r>
    </w:p>
    <w:p>
      <w:pPr>
        <w:spacing w:line="276" w:lineRule="auto" w:before="0" w:after="120"/>
        <w:jc w:val="both"/>
      </w:pPr>
      <w:r>
        <w:rPr>
          <w:rFonts w:ascii="Times New Roman" w:hAnsi="Times New Roman"/>
          <w:color w:val="000000"/>
          <w:sz w:val="22"/>
        </w:rPr>
        <w:t>Executive shall be eligible for an annual performance bonus with a target equal to sixty percent (60%) of Base Salary (the "Target Bonus"), resulting in an initial Target Bonus of Two Hundred Thirty-One Thousand Dollars ($231,000). The actual bonus payable for any fiscal year may range from zero percent (0%) to one hundred fifty percent (150%) of the Target Bonus, based on Executive's achievement of individual performance objectives and the Company's achievement of corporate performance objectives, as established by the Board or the Compensation Committee. Annual bonuses shall be payable within seventy-five (75) days following the end of the applicable fiscal year, subject to Executive's continued employment through the payment date except as otherwise provided in this Agreement.</w:t>
      </w:r>
    </w:p>
    <w:p>
      <w:pPr>
        <w:keepNext/>
        <w:spacing w:line="276" w:lineRule="auto" w:before="200" w:after="80"/>
        <w:ind w:left="0"/>
      </w:pPr>
      <w:r>
        <w:rPr>
          <w:rFonts w:ascii="Times New Roman" w:hAnsi="Times New Roman"/>
          <w:b/>
          <w:color w:val="000000"/>
          <w:sz w:val="22"/>
        </w:rPr>
        <w:t>3.3 Equity Compensation</w:t>
      </w:r>
    </w:p>
    <w:p>
      <w:pPr>
        <w:spacing w:line="276" w:lineRule="auto" w:before="0" w:after="120"/>
        <w:jc w:val="both"/>
      </w:pPr>
      <w:r>
        <w:rPr>
          <w:rFonts w:ascii="Times New Roman" w:hAnsi="Times New Roman"/>
          <w:color w:val="000000"/>
          <w:sz w:val="22"/>
        </w:rPr>
        <w:t>Executive shall be eligible to receive Equity Awards under the Company's equity incentive plans, as determined by the Board or the Compensation Committee in its discretion. As of the Effective Date, Executive shall receive an initial grant of fifty thousand (50,000) restricted stock units ("RSUs") under the Apex Industrial Technologies, Inc. 2021 Equity Incentive Plan (the "Initial RSU Grant"), vesting in four (4) equal annual installments of twelve thousand five hundred (12,500) RSUs on each of the first four anniversaries of the Effective Date (August 15, 2022, August 15, 2023, August 15, 2024, and August 15, 2025), subject to Executive's continued employment through each applicable vesting date. The Initial RSU Grant shall be subject to the terms and conditions of the applicable award agreement and the 2021 Equity Incentive Plan. Executive may from time to time receive additional or supplemental Equity Awards as determined by the Board or the Compensation Committee. All Equity Awards shall be subject to the terms and conditions set forth in the applicable award agreements, the governing equity incentive plan, and the provisions of this Agreement, including Section 5.4.</w:t>
      </w:r>
    </w:p>
    <w:p>
      <w:pPr>
        <w:spacing w:line="276" w:lineRule="auto" w:before="200" w:after="80"/>
        <w:ind w:left="0"/>
        <w:jc w:val="both"/>
      </w:pPr>
      <w:r>
        <w:rPr>
          <w:rFonts w:ascii="Times New Roman" w:hAnsi="Times New Roman"/>
          <w:b/>
          <w:color w:val="000000"/>
          <w:sz w:val="22"/>
        </w:rPr>
        <w:t xml:space="preserve">3.4 Benefits.  </w:t>
      </w:r>
      <w:r>
        <w:rPr>
          <w:rFonts w:ascii="Times New Roman" w:hAnsi="Times New Roman"/>
          <w:color w:val="000000"/>
          <w:sz w:val="22"/>
        </w:rPr>
        <w:t>Executive shall be entitled to participate in all employee benefit plans, programs, and arrangements generally made available to senior executives of the Company, including health, dental, and vision insurance, life insurance, disability insurance, the Company's 401(k) retirement savings plan, and such other benefit plans as may be maintained by the Company from time to time. Executive shall be entitled to twenty-five (25) days of paid time off per calendar year, accruing in accordance with Company policy.</w:t>
      </w:r>
    </w:p>
    <w:p>
      <w:pPr>
        <w:keepNext/>
        <w:spacing w:line="276" w:lineRule="auto" w:before="200" w:after="80"/>
        <w:ind w:left="0"/>
      </w:pPr>
      <w:r>
        <w:rPr>
          <w:rFonts w:ascii="Times New Roman" w:hAnsi="Times New Roman"/>
          <w:b/>
          <w:color w:val="000000"/>
          <w:sz w:val="22"/>
        </w:rPr>
        <w:t>3.5 Expense Reimbursement</w:t>
      </w:r>
    </w:p>
    <w:p>
      <w:pPr>
        <w:spacing w:line="276" w:lineRule="auto" w:before="0" w:after="120"/>
        <w:jc w:val="both"/>
      </w:pPr>
      <w:r>
        <w:rPr>
          <w:rFonts w:ascii="Times New Roman" w:hAnsi="Times New Roman"/>
          <w:color w:val="000000"/>
          <w:sz w:val="22"/>
        </w:rPr>
        <w:t>The Company shall reimburse Executive for all reasonable and documented business expenses incurred in the performance of her duties, in accordance with the Company's expense reimbursement policy as in effect from time to time, upon submission of appropriate documentation.</w:t>
      </w:r>
    </w:p>
    <w:p>
      <w:pPr>
        <w:keepNext/>
        <w:spacing w:line="276" w:lineRule="auto" w:before="360" w:after="120"/>
        <w:jc w:val="left"/>
      </w:pPr>
      <w:r>
        <w:rPr>
          <w:rFonts w:ascii="Times New Roman" w:hAnsi="Times New Roman"/>
          <w:b/>
          <w:color w:val="000000"/>
          <w:sz w:val="22"/>
          <w:u w:val="single"/>
        </w:rPr>
        <w:t>Section 4 — Confidentiality and Intellectual Property</w:t>
      </w:r>
    </w:p>
    <w:p>
      <w:pPr>
        <w:keepNext/>
        <w:spacing w:line="276" w:lineRule="auto" w:before="200" w:after="80"/>
        <w:ind w:left="0"/>
      </w:pPr>
      <w:r>
        <w:rPr>
          <w:rFonts w:ascii="Times New Roman" w:hAnsi="Times New Roman"/>
          <w:b/>
          <w:color w:val="000000"/>
          <w:sz w:val="22"/>
        </w:rPr>
        <w:t>4.1 Confidential Information</w:t>
      </w:r>
    </w:p>
    <w:p>
      <w:pPr>
        <w:spacing w:line="276" w:lineRule="auto" w:before="0" w:after="120"/>
        <w:jc w:val="both"/>
      </w:pPr>
      <w:r>
        <w:rPr>
          <w:rFonts w:ascii="Times New Roman" w:hAnsi="Times New Roman"/>
          <w:color w:val="000000"/>
          <w:sz w:val="22"/>
        </w:rPr>
        <w:t>Executive acknowledges that in the course of her employment she will have access to, and will develop, create, and be entrusted with, information of a confidential and proprietary nature relating to the Company and its Affiliates, including but not limited to trade secrets, business plans, strategic initiatives, financial information and projections, customer and supplier lists, pricing data, technology, product designs, manufacturing processes, engineering data, software, algorithms, predictive maintenance methodologies, and other proprietary data (collectively, "Confidential Information"). Executive agrees that during the term of her employment and at all times thereafter, she shall not, directly or indirectly, use, disclose, publish, or make accessible any Confidential Information to any person or entity, except as required in the proper performance of her duties or as authorized in writing by the Board. The obligations of confidentiality under this Section 4.1 shall survive termination of Executive's employment indefinitely with respect to trade secrets (as defined under applicable law) and for a period of three (3) years following the date of termination with respect to all other Confidential Information. Confidential Information shall not include information that (a) is or becomes publicly available through no fault of Executive, (b) was known to Executive prior to her employment, or (c) is rightfully received from a third party without restriction on disclosure.</w:t>
      </w:r>
    </w:p>
    <w:p>
      <w:pPr>
        <w:keepNext/>
        <w:spacing w:line="276" w:lineRule="auto" w:before="200" w:after="80"/>
        <w:ind w:left="0"/>
      </w:pPr>
      <w:r>
        <w:rPr>
          <w:rFonts w:ascii="Times New Roman" w:hAnsi="Times New Roman"/>
          <w:b/>
          <w:color w:val="000000"/>
          <w:sz w:val="22"/>
        </w:rPr>
        <w:t>4.2 Intellectual Property Assignment</w:t>
      </w:r>
    </w:p>
    <w:p>
      <w:pPr>
        <w:spacing w:line="276" w:lineRule="auto" w:before="0" w:after="120"/>
        <w:jc w:val="both"/>
      </w:pPr>
      <w:r>
        <w:rPr>
          <w:rFonts w:ascii="Times New Roman" w:hAnsi="Times New Roman"/>
          <w:color w:val="000000"/>
          <w:sz w:val="22"/>
        </w:rPr>
        <w:t>All inventions, discoveries, improvements, developments, designs, works of authorship, software, methods, processes, and other intellectual property (whether or not patentable or copyrightable) conceived, developed, created, or reduced to practice by Executive, alone or jointly with others, during the term of her employment and related to the Company's business or resulting from Executive's use of Company resources (collectively, "Work Product"), shall be the sole and exclusive property of the Company. Executive hereby irrevocably assigns and agrees to assign to the Company all right, title, and interest in and to all such Work Product, including all patents, copyrights, trademarks, trade secrets, and other intellectual property rights therein. Executive agrees to cooperate with the Company, at the Company's expense, in connection with the preparation, filing, and prosecution of any patent or copyright applications and the enforcement of any intellectual property rights related to such Work Product. Pursuant to the Defend Trade Secrets Act of 2016, Executive is hereby notified that she shall not be held criminally or civilly liable under any federal or state trade secret law for the disclosure of a trade secret that is made in confidence to a federal, state, or local government official, or to an attorney, solely for the purpose of reporting or investigating a suspected violation of law, or that is made in a complaint or other document filed in a lawsuit or other proceeding if such filing is made under seal.</w:t>
      </w:r>
    </w:p>
    <w:p>
      <w:pPr>
        <w:keepNext/>
        <w:spacing w:line="276" w:lineRule="auto" w:before="360" w:after="120"/>
        <w:jc w:val="left"/>
      </w:pPr>
      <w:r>
        <w:rPr>
          <w:rFonts w:ascii="Times New Roman" w:hAnsi="Times New Roman"/>
          <w:b/>
          <w:color w:val="000000"/>
          <w:sz w:val="22"/>
          <w:u w:val="single"/>
        </w:rPr>
        <w:t>Section 5 — Change of Control Provisions</w:t>
      </w:r>
    </w:p>
    <w:p>
      <w:pPr>
        <w:keepNext/>
        <w:spacing w:line="276" w:lineRule="auto" w:before="200" w:after="80"/>
        <w:ind w:left="0"/>
      </w:pPr>
      <w:r>
        <w:rPr>
          <w:rFonts w:ascii="Times New Roman" w:hAnsi="Times New Roman"/>
          <w:b/>
          <w:color w:val="000000"/>
          <w:sz w:val="22"/>
        </w:rPr>
        <w:t>5.1 Notice of Change of Control</w:t>
      </w:r>
    </w:p>
    <w:p>
      <w:pPr>
        <w:spacing w:line="276" w:lineRule="auto" w:before="0" w:after="120"/>
        <w:jc w:val="both"/>
      </w:pPr>
      <w:r>
        <w:rPr>
          <w:rFonts w:ascii="Times New Roman" w:hAnsi="Times New Roman"/>
          <w:color w:val="000000"/>
          <w:sz w:val="22"/>
        </w:rPr>
        <w:t>The Company shall provide Executive with written notice of any anticipated Change of Control no later than fifteen (15) business days prior to the expected consummation of such Change of Control, which notice shall describe in reasonable detail the nature of the transaction giving rise to the Change of Control.</w:t>
      </w:r>
    </w:p>
    <w:p>
      <w:pPr>
        <w:keepNext/>
        <w:spacing w:line="276" w:lineRule="auto" w:before="200" w:after="80"/>
        <w:ind w:left="0"/>
      </w:pPr>
      <w:r>
        <w:rPr>
          <w:rFonts w:ascii="Times New Roman" w:hAnsi="Times New Roman"/>
          <w:b/>
          <w:color w:val="000000"/>
          <w:sz w:val="22"/>
        </w:rPr>
        <w:t>5.2 Continuation of Employment</w:t>
      </w:r>
    </w:p>
    <w:p>
      <w:pPr>
        <w:spacing w:line="276" w:lineRule="auto" w:before="0" w:after="120"/>
        <w:jc w:val="both"/>
      </w:pPr>
      <w:r>
        <w:rPr>
          <w:rFonts w:ascii="Times New Roman" w:hAnsi="Times New Roman"/>
          <w:color w:val="000000"/>
          <w:sz w:val="22"/>
        </w:rPr>
        <w:t>Nothing in this Section 5 shall be construed to guarantee Executive's continued employment following a Change of Control. Executive's employment shall remain at-will following a Change of Control, subject to the severance, equity acceleration, and other provisions set forth in this Agreement.</w:t>
      </w:r>
    </w:p>
    <w:p>
      <w:pPr>
        <w:keepNext/>
        <w:spacing w:line="276" w:lineRule="auto" w:before="200" w:after="80"/>
        <w:ind w:left="0"/>
      </w:pPr>
      <w:r>
        <w:rPr>
          <w:rFonts w:ascii="Times New Roman" w:hAnsi="Times New Roman"/>
          <w:b/>
          <w:color w:val="000000"/>
          <w:sz w:val="22"/>
        </w:rPr>
        <w:t>5.3 Change of Control Severance</w:t>
      </w:r>
    </w:p>
    <w:p>
      <w:pPr>
        <w:spacing w:line="276" w:lineRule="auto" w:before="0" w:after="120"/>
        <w:jc w:val="both"/>
      </w:pPr>
      <w:r>
        <w:rPr>
          <w:rFonts w:ascii="Times New Roman" w:hAnsi="Times New Roman"/>
          <w:color w:val="000000"/>
          <w:sz w:val="22"/>
        </w:rPr>
        <w:t>If Executive's employment is terminated by the Company (or any successor) without Cause or by Executive for Good Reason, in either case within the twenty-four (24)-month period immediately following the consummation of a Change of Control (a "Qualifying Termination"), Executive shall be entitled to receive the following, in addition to the Accrued Obligations:</w:t>
      </w:r>
    </w:p>
    <w:p>
      <w:pPr>
        <w:spacing w:line="276" w:lineRule="auto" w:before="0" w:after="120"/>
        <w:ind w:left="432"/>
        <w:jc w:val="both"/>
      </w:pPr>
      <w:r>
        <w:rPr>
          <w:rFonts w:ascii="Times New Roman" w:hAnsi="Times New Roman"/>
          <w:color w:val="000000"/>
          <w:sz w:val="22"/>
        </w:rPr>
        <w:t>(a) a lump-sum cash severance payment equal to two times (2.0x) the sum of (i) Executive's Base Salary and (ii) Executive's Target Bonus, for an aggregate severance amount of One Million Two Hundred Thirty-Two Thousand Dollars ($1,232,000) (calculated as ($385,000 + $231,000) × 2.0);</w:t>
      </w:r>
    </w:p>
    <w:p>
      <w:pPr>
        <w:spacing w:line="276" w:lineRule="auto" w:before="0" w:after="120"/>
        <w:ind w:left="432"/>
        <w:jc w:val="both"/>
      </w:pPr>
      <w:r>
        <w:rPr>
          <w:rFonts w:ascii="Times New Roman" w:hAnsi="Times New Roman"/>
          <w:color w:val="000000"/>
          <w:sz w:val="22"/>
        </w:rPr>
        <w:t>(b) continued coverage under the Company's group health plans at the Company's expense for a period of twenty-four (24) months following the date of termination (or, if continuation under the Company's plans is not permissible, a monthly cash payment equal to the applicable COBRA premium for such coverage);</w:t>
      </w:r>
    </w:p>
    <w:p>
      <w:pPr>
        <w:spacing w:line="276" w:lineRule="auto" w:before="0" w:after="120"/>
        <w:ind w:left="432"/>
        <w:jc w:val="both"/>
      </w:pPr>
      <w:r>
        <w:rPr>
          <w:rFonts w:ascii="Times New Roman" w:hAnsi="Times New Roman"/>
          <w:color w:val="000000"/>
          <w:sz w:val="22"/>
        </w:rPr>
        <w:t>(c) a pro-rata annual bonus for the fiscal year in which the termination occurs, based on actual Company performance for such year, payable at the same time bonuses are paid to other senior executives; and</w:t>
      </w:r>
    </w:p>
    <w:p>
      <w:pPr>
        <w:spacing w:line="276" w:lineRule="auto" w:before="0" w:after="120"/>
        <w:ind w:left="432"/>
        <w:jc w:val="both"/>
      </w:pPr>
      <w:r>
        <w:rPr>
          <w:rFonts w:ascii="Times New Roman" w:hAnsi="Times New Roman"/>
          <w:color w:val="000000"/>
          <w:sz w:val="22"/>
        </w:rPr>
        <w:t>(d) acceleration of all of Executive's then-unvested Equity Awards, to the extent not already accelerated under Section 5.4, such that all such Equity Awards shall immediately vest and, to the extent applicable, become exercisable in full as of the date of the Qualifying Termination.</w:t>
      </w:r>
    </w:p>
    <w:p>
      <w:pPr>
        <w:keepNext/>
        <w:spacing w:line="276" w:lineRule="auto" w:before="200" w:after="80"/>
        <w:ind w:left="0"/>
      </w:pPr>
      <w:r>
        <w:rPr>
          <w:rFonts w:ascii="Times New Roman" w:hAnsi="Times New Roman"/>
          <w:b/>
          <w:color w:val="000000"/>
          <w:sz w:val="22"/>
        </w:rPr>
        <w:t>5.4 Equity Award Acceleration Upon Change of Control</w:t>
      </w:r>
    </w:p>
    <w:p>
      <w:pPr>
        <w:spacing w:line="276" w:lineRule="auto" w:before="0" w:after="120"/>
        <w:jc w:val="both"/>
      </w:pPr>
      <w:r>
        <w:rPr>
          <w:rFonts w:ascii="Times New Roman" w:hAnsi="Times New Roman"/>
          <w:color w:val="000000"/>
          <w:sz w:val="22"/>
        </w:rPr>
        <w:t>Notwithstanding any provision to the contrary in any Equity Award agreement, equity incentive plan, or other agreement between the Company and Executive, upon the consummation of a Change of Control, all of Executive's then-unvested Equity Awards shall immediately and automatically vest and, to the extent applicable, become exercisable in full. For the avoidance of doubt, the acceleration of vesting under this Section 5.4 shall occur automatically upon the consummation of a Change of Control and shall not require any termination of Executive's employment or any other condition or contingency. This Section 5.4 shall supersede and control over any contrary provision in any individual Equity Award agreement or equity incentive plan document.</w:t>
      </w:r>
    </w:p>
    <w:p>
      <w:pPr>
        <w:keepNext/>
        <w:spacing w:line="276" w:lineRule="auto" w:before="200" w:after="80"/>
        <w:ind w:left="0"/>
      </w:pPr>
      <w:r>
        <w:rPr>
          <w:rFonts w:ascii="Times New Roman" w:hAnsi="Times New Roman"/>
          <w:b/>
          <w:color w:val="000000"/>
          <w:sz w:val="22"/>
        </w:rPr>
        <w:t>5.5 Section 280G Provisions</w:t>
      </w:r>
    </w:p>
    <w:p>
      <w:pPr>
        <w:spacing w:line="276" w:lineRule="auto" w:before="0" w:after="120"/>
        <w:jc w:val="both"/>
      </w:pPr>
      <w:r>
        <w:rPr>
          <w:rFonts w:ascii="Times New Roman" w:hAnsi="Times New Roman"/>
          <w:color w:val="000000"/>
          <w:sz w:val="22"/>
        </w:rPr>
        <w:t>If any payment or benefit received or to be received by Executive under this Agreement or any other plan, arrangement, or agreement of the Company (collectively, the "Total Payments") would constitute an "excess parachute payment" within the meaning of Section 280G of the Internal Revenue Code of 1986, as amended (the "Code"), then the Total Payments shall be reduced (but not below zero) to the extent necessary so that no portion of the Total Payments constitutes an excess parachute payment, but only if the net after-tax amount received by Executive after giving effect to such reduction would exceed the net after-tax amount that would be received by Executive without such reduction after taking into account any excise tax imposed under Section 4999 of the Code. Any such reduction shall be applied in the following order: first, to cash severance payments; second, to any other cash payments or benefits; and third, to acceleration of Equity Awards. Executive shall be solely responsible for the payment of any excise taxes imposed under Section 4999 of the Code to the extent that the Total Payments are not reduced pursuant to this Section 5.5.</w:t>
      </w:r>
    </w:p>
    <w:p>
      <w:pPr>
        <w:keepNext/>
        <w:spacing w:line="276" w:lineRule="auto" w:before="200" w:after="80"/>
        <w:ind w:left="0"/>
      </w:pPr>
      <w:r>
        <w:rPr>
          <w:rFonts w:ascii="Times New Roman" w:hAnsi="Times New Roman"/>
          <w:b/>
          <w:color w:val="000000"/>
          <w:sz w:val="22"/>
        </w:rPr>
        <w:t>5.6 No Duplication</w:t>
      </w:r>
    </w:p>
    <w:p>
      <w:pPr>
        <w:spacing w:line="276" w:lineRule="auto" w:before="0" w:after="120"/>
        <w:jc w:val="both"/>
      </w:pPr>
      <w:r>
        <w:rPr>
          <w:rFonts w:ascii="Times New Roman" w:hAnsi="Times New Roman"/>
          <w:color w:val="000000"/>
          <w:sz w:val="22"/>
        </w:rPr>
        <w:t>The severance and acceleration benefits provided under this Section 5 shall not be duplicated with any severance benefits provided under Section 6. In the event of a Qualifying Termination, Executive shall receive the benefits set forth in Section 5.3 in lieu of the severance benefits set forth in Sections 6.2 or 6.3. If Executive receives accelerated vesting of Equity Awards under Section 5.4, the same Equity Awards shall not again vest under Section 5.3(d).</w:t>
      </w:r>
    </w:p>
    <w:p>
      <w:pPr>
        <w:keepNext/>
        <w:spacing w:line="276" w:lineRule="auto" w:before="360" w:after="120"/>
        <w:jc w:val="left"/>
      </w:pPr>
      <w:r>
        <w:rPr>
          <w:rFonts w:ascii="Times New Roman" w:hAnsi="Times New Roman"/>
          <w:b/>
          <w:color w:val="000000"/>
          <w:sz w:val="22"/>
          <w:u w:val="single"/>
        </w:rPr>
        <w:t>Section 6 — Termination of Employment</w:t>
      </w:r>
    </w:p>
    <w:p>
      <w:pPr>
        <w:keepNext/>
        <w:spacing w:line="276" w:lineRule="auto" w:before="200" w:after="80"/>
        <w:ind w:left="0"/>
      </w:pPr>
      <w:r>
        <w:rPr>
          <w:rFonts w:ascii="Times New Roman" w:hAnsi="Times New Roman"/>
          <w:b/>
          <w:color w:val="000000"/>
          <w:sz w:val="22"/>
        </w:rPr>
        <w:t>6.1 Termination by Company for Cause</w:t>
      </w:r>
    </w:p>
    <w:p>
      <w:pPr>
        <w:spacing w:line="276" w:lineRule="auto" w:before="0" w:after="120"/>
        <w:jc w:val="both"/>
      </w:pPr>
      <w:r>
        <w:rPr>
          <w:rFonts w:ascii="Times New Roman" w:hAnsi="Times New Roman"/>
          <w:color w:val="000000"/>
          <w:sz w:val="22"/>
        </w:rPr>
        <w:t>The Company may terminate Executive's employment for Cause at any time. Upon a termination for Cause, Executive shall be entitled to receive only: (a) any accrued but unpaid Base Salary through the date of termination; (b) any accrued but unused paid time off; and (c) any vested benefits to which Executive is entitled under the terms of the applicable benefit plans (collectively, the "Accrued Obligations"). Executive shall not be entitled to any severance, bonus, or equity acceleration upon a termination for Cause.</w:t>
      </w:r>
    </w:p>
    <w:p>
      <w:pPr>
        <w:keepNext/>
        <w:spacing w:line="276" w:lineRule="auto" w:before="200" w:after="80"/>
        <w:ind w:left="0"/>
      </w:pPr>
      <w:r>
        <w:rPr>
          <w:rFonts w:ascii="Times New Roman" w:hAnsi="Times New Roman"/>
          <w:b/>
          <w:color w:val="000000"/>
          <w:sz w:val="22"/>
        </w:rPr>
        <w:t>6.2 Termination by Company Without Cause (Outside Change of Control)</w:t>
      </w:r>
    </w:p>
    <w:p>
      <w:pPr>
        <w:spacing w:line="276" w:lineRule="auto" w:before="0" w:after="120"/>
        <w:jc w:val="both"/>
      </w:pPr>
      <w:r>
        <w:rPr>
          <w:rFonts w:ascii="Times New Roman" w:hAnsi="Times New Roman"/>
          <w:color w:val="000000"/>
          <w:sz w:val="22"/>
        </w:rPr>
        <w:t>The Company may terminate Executive's employment without Cause at any time upon not less than thirty (30) days' prior written notice. If Executive's employment is terminated by the Company without Cause other than during the twenty-four (24)-month period following a Change of Control, Executive shall be entitled to receive: (a) the Accrued Obligations; (b) a severance payment equal to one times (1.0x) Base Salary (Three Hundred Eighty-Five Thousand Dollars ($385,000)), payable in substantially equal installments over twelve (12) months in accordance with the Company's regular payroll practices; and (c) continued coverage under the Company's group health plans at the Company's expense for a period of twelve (12) months following the date of termination, in each case subject to Executive's execution of a release of claims as set forth in Section 6.6.</w:t>
      </w:r>
    </w:p>
    <w:p>
      <w:pPr>
        <w:keepNext/>
        <w:spacing w:line="276" w:lineRule="auto" w:before="200" w:after="80"/>
        <w:ind w:left="0"/>
      </w:pPr>
      <w:r>
        <w:rPr>
          <w:rFonts w:ascii="Times New Roman" w:hAnsi="Times New Roman"/>
          <w:b/>
          <w:color w:val="000000"/>
          <w:sz w:val="22"/>
        </w:rPr>
        <w:t>6.3 Resignation by Executive for Good Reason (Outside Change of Control)</w:t>
      </w:r>
    </w:p>
    <w:p>
      <w:pPr>
        <w:spacing w:line="276" w:lineRule="auto" w:before="0" w:after="120"/>
        <w:jc w:val="both"/>
      </w:pPr>
      <w:r>
        <w:rPr>
          <w:rFonts w:ascii="Times New Roman" w:hAnsi="Times New Roman"/>
          <w:color w:val="000000"/>
          <w:sz w:val="22"/>
        </w:rPr>
        <w:t>Executive may resign for Good Reason at any time following the notice and cure process set forth in the definition of Good Reason. If Executive resigns for Good Reason other than during the twenty-four (24)-month period following a Change of Control, Executive shall be entitled to receive the same severance benefits as set forth in Section 6.2, subject to Executive's execution of a release of claims as set forth in Section 6.6.</w:t>
      </w:r>
    </w:p>
    <w:p>
      <w:pPr>
        <w:keepNext/>
        <w:spacing w:line="276" w:lineRule="auto" w:before="200" w:after="80"/>
        <w:ind w:left="0"/>
      </w:pPr>
      <w:r>
        <w:rPr>
          <w:rFonts w:ascii="Times New Roman" w:hAnsi="Times New Roman"/>
          <w:b/>
          <w:color w:val="000000"/>
          <w:sz w:val="22"/>
        </w:rPr>
        <w:t>6.4 Voluntary Resignation Without Good Reason</w:t>
      </w:r>
    </w:p>
    <w:p>
      <w:pPr>
        <w:spacing w:line="276" w:lineRule="auto" w:before="0" w:after="120"/>
        <w:jc w:val="both"/>
      </w:pPr>
      <w:r>
        <w:rPr>
          <w:rFonts w:ascii="Times New Roman" w:hAnsi="Times New Roman"/>
          <w:color w:val="000000"/>
          <w:sz w:val="22"/>
        </w:rPr>
        <w:t>Executive may resign her employment at any time without Good Reason upon not less than sixty (60) days' prior written notice to the Company. Upon such resignation, Executive shall be entitled to receive only the Accrued Obligations.</w:t>
      </w:r>
    </w:p>
    <w:p>
      <w:pPr>
        <w:keepNext/>
        <w:spacing w:line="276" w:lineRule="auto" w:before="200" w:after="80"/>
        <w:ind w:left="0"/>
      </w:pPr>
      <w:r>
        <w:rPr>
          <w:rFonts w:ascii="Times New Roman" w:hAnsi="Times New Roman"/>
          <w:b/>
          <w:color w:val="000000"/>
          <w:sz w:val="22"/>
        </w:rPr>
        <w:t>6.5 Death or Disability</w:t>
      </w:r>
    </w:p>
    <w:p>
      <w:pPr>
        <w:spacing w:line="276" w:lineRule="auto" w:before="0" w:after="120"/>
        <w:jc w:val="both"/>
      </w:pPr>
      <w:r>
        <w:rPr>
          <w:rFonts w:ascii="Times New Roman" w:hAnsi="Times New Roman"/>
          <w:color w:val="000000"/>
          <w:sz w:val="22"/>
        </w:rPr>
        <w:t>Executive's employment shall terminate automatically upon Executive's death. The Company may terminate Executive's employment upon Executive's Disability, defined as Executive's inability to perform the essential functions of her position, with or without reasonable accommodation, for a period of one hundred eighty (180) consecutive days or two hundred seventy (270) days in any three hundred sixty-five (365)-day period, as certified by a physician mutually agreed upon by the Company and Executive. Upon termination due to death or Disability, Executive (or Executive's estate or legal representative) shall be entitled to receive the Accrued Obligations plus a pro-rata Target Bonus for the fiscal year in which such termination occurs.</w:t>
      </w:r>
    </w:p>
    <w:p>
      <w:pPr>
        <w:keepNext/>
        <w:spacing w:line="276" w:lineRule="auto" w:before="200" w:after="80"/>
        <w:ind w:left="0"/>
      </w:pPr>
      <w:r>
        <w:rPr>
          <w:rFonts w:ascii="Times New Roman" w:hAnsi="Times New Roman"/>
          <w:b/>
          <w:color w:val="000000"/>
          <w:sz w:val="22"/>
        </w:rPr>
        <w:t>6.6 Release Requirement</w:t>
      </w:r>
    </w:p>
    <w:p>
      <w:pPr>
        <w:spacing w:line="276" w:lineRule="auto" w:before="0" w:after="120"/>
        <w:jc w:val="both"/>
      </w:pPr>
      <w:r>
        <w:rPr>
          <w:rFonts w:ascii="Times New Roman" w:hAnsi="Times New Roman"/>
          <w:color w:val="000000"/>
          <w:sz w:val="22"/>
        </w:rPr>
        <w:t>All severance payments and benefits under Sections 5.3, 6.2, and 6.3 of this Agreement (other than the Accrued Obligations) are expressly conditioned upon Executive's execution and non-revocation of a general release of all claims against the Company, its Affiliates, and their respective officers, directors, employees, and agents, in a form reasonably satisfactory to the Company, within sixty (60) days following the date of Executive's termination of employment. For the avoidance of doubt, the equity acceleration provided under Section 5.4 is not conditioned upon the execution of a release of claims and shall operate automatically upon the consummation of a Change of Control as provided therein.</w:t>
      </w:r>
    </w:p>
    <w:p>
      <w:pPr>
        <w:keepNext/>
        <w:spacing w:line="276" w:lineRule="auto" w:before="360" w:after="120"/>
        <w:jc w:val="left"/>
      </w:pPr>
      <w:r>
        <w:rPr>
          <w:rFonts w:ascii="Times New Roman" w:hAnsi="Times New Roman"/>
          <w:b/>
          <w:color w:val="000000"/>
          <w:sz w:val="22"/>
          <w:u w:val="single"/>
        </w:rPr>
        <w:t>Section 7 — Restrictive Covenants</w:t>
      </w:r>
    </w:p>
    <w:p>
      <w:pPr>
        <w:spacing w:line="276" w:lineRule="auto" w:before="200" w:after="80"/>
        <w:ind w:left="0"/>
        <w:jc w:val="both"/>
      </w:pPr>
      <w:r>
        <w:rPr>
          <w:rFonts w:ascii="Times New Roman" w:hAnsi="Times New Roman"/>
          <w:b/>
          <w:color w:val="000000"/>
          <w:sz w:val="22"/>
        </w:rPr>
        <w:t xml:space="preserve">7.1 Non-Competition.  </w:t>
      </w:r>
      <w:r>
        <w:rPr>
          <w:rFonts w:ascii="Times New Roman" w:hAnsi="Times New Roman"/>
          <w:color w:val="000000"/>
          <w:sz w:val="22"/>
        </w:rPr>
        <w:t>During the Restrictive Period, Executive shall not, directly or indirectly, whether as an employee, consultant, officer, director, partner, member, stockholder, or in any other capacity, engage in, provide services to, or have any ownership interest in any business or enterprise that competes with the Company in the design, manufacture, or sale of precision fluid control valves, actuators, or related automation systems within the United States or any country in which the Company conducted business during the twelve (12) months immediately preceding the date of Executive's termination of employment. Notwithstanding the foregoing, passive ownership of less than two percent (2%) of the outstanding equity securities of any publicly traded company shall not constitute a violation of this Section 7.1.</w:t>
      </w:r>
    </w:p>
    <w:p>
      <w:pPr>
        <w:spacing w:line="276" w:lineRule="auto" w:before="200" w:after="80"/>
        <w:ind w:left="0"/>
        <w:jc w:val="both"/>
      </w:pPr>
      <w:r>
        <w:rPr>
          <w:rFonts w:ascii="Times New Roman" w:hAnsi="Times New Roman"/>
          <w:b/>
          <w:color w:val="000000"/>
          <w:sz w:val="22"/>
        </w:rPr>
        <w:t xml:space="preserve">7.2 Non-Solicitation.  </w:t>
      </w:r>
      <w:r>
        <w:rPr>
          <w:rFonts w:ascii="Times New Roman" w:hAnsi="Times New Roman"/>
          <w:color w:val="000000"/>
          <w:sz w:val="22"/>
        </w:rPr>
        <w:t>During the Restrictive Period, Executive shall not, directly or indirectly: (a) solicit, recruit, or encourage any employee of the Company or any Affiliate to terminate his or her employment with the Company or any Affiliate; or (b) solicit, divert, or attempt to solicit or divert any customer, client, or supplier of the Company with whom Executive had material contact during the last twenty-four (24) months of Executive's employment for the purpose of providing products or services competitive with those offered by the Company.</w:t>
      </w:r>
    </w:p>
    <w:p>
      <w:pPr>
        <w:spacing w:line="276" w:lineRule="auto" w:before="200" w:after="80"/>
        <w:ind w:left="0"/>
        <w:jc w:val="both"/>
      </w:pPr>
      <w:r>
        <w:rPr>
          <w:rFonts w:ascii="Times New Roman" w:hAnsi="Times New Roman"/>
          <w:b/>
          <w:color w:val="000000"/>
          <w:sz w:val="22"/>
        </w:rPr>
        <w:t xml:space="preserve">7.3 Enforcement.  </w:t>
      </w:r>
      <w:r>
        <w:rPr>
          <w:rFonts w:ascii="Times New Roman" w:hAnsi="Times New Roman"/>
          <w:color w:val="000000"/>
          <w:sz w:val="22"/>
        </w:rPr>
        <w:t>Executive acknowledges that the restrictions contained in this Section 7 are reasonable and necessary to protect the Company's legitimate business interests and that a breach of any such restriction would cause irreparable harm to the Company for which monetary damages would be inadequate. Accordingly, Executive agrees that the Company shall be entitled to seek injunctive relief, specific performance, and other equitable remedies in addition to any other remedies available at law. If any provision of this Section 7 is determined by a court of competent jurisdiction to be unenforceable by reason of its being extended over too great a time, too large a geographic area, or too great a range of activities, such provision shall be reformed to the maximum extent permitted by applicable law and shall be enforceable as so reformed.</w:t>
      </w:r>
    </w:p>
    <w:p>
      <w:pPr>
        <w:keepNext/>
        <w:spacing w:line="276" w:lineRule="auto" w:before="360" w:after="120"/>
        <w:jc w:val="left"/>
      </w:pPr>
      <w:r>
        <w:rPr>
          <w:rFonts w:ascii="Times New Roman" w:hAnsi="Times New Roman"/>
          <w:b/>
          <w:color w:val="000000"/>
          <w:sz w:val="22"/>
          <w:u w:val="single"/>
        </w:rPr>
        <w:t>Section 8 — General Provisions</w:t>
      </w:r>
    </w:p>
    <w:p>
      <w:pPr>
        <w:keepNext/>
        <w:spacing w:line="276" w:lineRule="auto" w:before="200" w:after="80"/>
        <w:ind w:left="0"/>
      </w:pPr>
      <w:r>
        <w:rPr>
          <w:rFonts w:ascii="Times New Roman" w:hAnsi="Times New Roman"/>
          <w:b/>
          <w:color w:val="000000"/>
          <w:sz w:val="22"/>
        </w:rPr>
        <w:t>8.1 Entire Agreement</w:t>
      </w:r>
    </w:p>
    <w:p>
      <w:pPr>
        <w:spacing w:line="276" w:lineRule="auto" w:before="0" w:after="120"/>
        <w:jc w:val="both"/>
      </w:pPr>
      <w:r>
        <w:rPr>
          <w:rFonts w:ascii="Times New Roman" w:hAnsi="Times New Roman"/>
          <w:color w:val="000000"/>
          <w:sz w:val="22"/>
        </w:rPr>
        <w:t>This Agreement, together with any equity award agreements, the exhibits attached hereto, and any written amendments or supplements hereto (including the Exhibit A Side Letter), constitutes the entire agreement between the parties with respect to the subject matter hereof and supersedes all prior agreements, understandings, negotiations, and discussions, whether oral or written, between the parties concerning Executive's employment. This Agreement may be amended or supplemented by written instruments signed by both parties, including the Exhibit A Side Letter attached hereto and incorporated herein by reference.</w:t>
      </w:r>
    </w:p>
    <w:p>
      <w:pPr>
        <w:keepNext/>
        <w:spacing w:line="276" w:lineRule="auto" w:before="200" w:after="80"/>
        <w:ind w:left="0"/>
      </w:pPr>
      <w:r>
        <w:rPr>
          <w:rFonts w:ascii="Times New Roman" w:hAnsi="Times New Roman"/>
          <w:b/>
          <w:color w:val="000000"/>
          <w:sz w:val="22"/>
        </w:rPr>
        <w:t>8.2 Amendments and Waivers</w:t>
      </w:r>
    </w:p>
    <w:p>
      <w:pPr>
        <w:spacing w:line="276" w:lineRule="auto" w:before="0" w:after="120"/>
        <w:jc w:val="both"/>
      </w:pPr>
      <w:r>
        <w:rPr>
          <w:rFonts w:ascii="Times New Roman" w:hAnsi="Times New Roman"/>
          <w:color w:val="000000"/>
          <w:sz w:val="22"/>
        </w:rPr>
        <w:t>No amendment, modification, or waiver of any provision of this Agreement shall be effective unless set forth in a written instrument signed by both the Company and Executive. No waiver of any breach or default of any provision of this Agreement shall constitute a waiver of any subsequent breach or default or a waiver of the provision itself.</w:t>
      </w:r>
    </w:p>
    <w:p>
      <w:pPr>
        <w:spacing w:line="276" w:lineRule="auto" w:before="200" w:after="80"/>
        <w:ind w:left="0"/>
        <w:jc w:val="both"/>
      </w:pPr>
      <w:r>
        <w:rPr>
          <w:rFonts w:ascii="Times New Roman" w:hAnsi="Times New Roman"/>
          <w:b/>
          <w:color w:val="000000"/>
          <w:sz w:val="22"/>
        </w:rPr>
        <w:t xml:space="preserve">8.3 Assignment.  </w:t>
      </w:r>
      <w:r>
        <w:rPr>
          <w:rFonts w:ascii="Times New Roman" w:hAnsi="Times New Roman"/>
          <w:color w:val="000000"/>
          <w:sz w:val="22"/>
        </w:rPr>
        <w:t>Executive may not assign, delegate, or otherwise transfer this Agreement or any of her rights or obligations hereunder without the prior written consent of the Company. The Company may assign this Agreement to any successor in interest to all or substantially all of the Company's business or assets, whether by merger, consolidation, sale of assets, or otherwise, provided that any such successor expressly assumes and agrees to perform the Company's obligations under this Agreement. This Agreement shall be binding upon and shall inure to the benefit of the parties and their respective heirs, executors, administrators, successors, and permitted assigns.</w:t>
      </w:r>
    </w:p>
    <w:p>
      <w:pPr>
        <w:keepNext/>
        <w:spacing w:line="276" w:lineRule="auto" w:before="200" w:after="80"/>
        <w:ind w:left="0"/>
      </w:pPr>
      <w:r>
        <w:rPr>
          <w:rFonts w:ascii="Times New Roman" w:hAnsi="Times New Roman"/>
          <w:b/>
          <w:color w:val="000000"/>
          <w:sz w:val="22"/>
        </w:rPr>
        <w:t>8.4 Governing Law</w:t>
      </w:r>
    </w:p>
    <w:p>
      <w:pPr>
        <w:spacing w:line="276" w:lineRule="auto" w:before="0" w:after="120"/>
        <w:jc w:val="both"/>
      </w:pPr>
      <w:r>
        <w:rPr>
          <w:rFonts w:ascii="Times New Roman" w:hAnsi="Times New Roman"/>
          <w:color w:val="000000"/>
          <w:sz w:val="22"/>
        </w:rPr>
        <w:t>This Agreement shall be governed by and construed in accordance with the laws of the State of Ohio, without regard to its conflict of law principles.</w:t>
      </w:r>
    </w:p>
    <w:p>
      <w:pPr>
        <w:keepNext/>
        <w:spacing w:line="276" w:lineRule="auto" w:before="200" w:after="80"/>
        <w:ind w:left="0"/>
      </w:pPr>
      <w:r>
        <w:rPr>
          <w:rFonts w:ascii="Times New Roman" w:hAnsi="Times New Roman"/>
          <w:b/>
          <w:color w:val="000000"/>
          <w:sz w:val="22"/>
        </w:rPr>
        <w:t>8.5 Dispute Resolution</w:t>
      </w:r>
    </w:p>
    <w:p>
      <w:pPr>
        <w:spacing w:line="276" w:lineRule="auto" w:before="0" w:after="120"/>
        <w:jc w:val="both"/>
      </w:pPr>
      <w:r>
        <w:rPr>
          <w:rFonts w:ascii="Times New Roman" w:hAnsi="Times New Roman"/>
          <w:color w:val="000000"/>
          <w:sz w:val="22"/>
        </w:rPr>
        <w:t>Any dispute, controversy, or claim arising out of or relating to this Agreement or the breach, termination, or validity thereof shall be resolved by binding arbitration administered by the American Arbitration Association in Cincinnati, Ohio, in accordance with its Employment Arbitration Rules then in effect. The arbitrator shall have the authority to award any remedy or relief that a court of competent jurisdiction could order. The prevailing party in any such arbitration shall be entitled to recover its reasonable attorneys' fees and costs from the non-prevailing party.</w:t>
      </w:r>
    </w:p>
    <w:p>
      <w:pPr>
        <w:spacing w:line="276" w:lineRule="auto" w:before="200" w:after="80"/>
        <w:ind w:left="0"/>
        <w:jc w:val="both"/>
      </w:pPr>
      <w:r>
        <w:rPr>
          <w:rFonts w:ascii="Times New Roman" w:hAnsi="Times New Roman"/>
          <w:b/>
          <w:color w:val="000000"/>
          <w:sz w:val="22"/>
        </w:rPr>
        <w:t xml:space="preserve">8.6 Severability.  </w:t>
      </w:r>
      <w:r>
        <w:rPr>
          <w:rFonts w:ascii="Times New Roman" w:hAnsi="Times New Roman"/>
          <w:color w:val="000000"/>
          <w:sz w:val="22"/>
        </w:rPr>
        <w:t>If any provision of this Agreement (or any portion thereof) is held to be invalid, illegal, or unenforceable by a court of competent jurisdiction, the remaining provisions of this Agreement shall continue in full force and effect, and the invalid, illegal, or unenforceable provision shall be reformed to the minimum extent necessary to render it valid and enforceable.</w:t>
      </w:r>
    </w:p>
    <w:p>
      <w:pPr>
        <w:spacing w:line="276" w:lineRule="auto" w:before="200" w:after="80"/>
        <w:ind w:left="0"/>
        <w:jc w:val="both"/>
      </w:pPr>
      <w:r>
        <w:rPr>
          <w:rFonts w:ascii="Times New Roman" w:hAnsi="Times New Roman"/>
          <w:b/>
          <w:color w:val="000000"/>
          <w:sz w:val="22"/>
        </w:rPr>
        <w:t xml:space="preserve">8.7 Notices.  </w:t>
      </w:r>
      <w:r>
        <w:rPr>
          <w:rFonts w:ascii="Times New Roman" w:hAnsi="Times New Roman"/>
          <w:color w:val="000000"/>
          <w:sz w:val="22"/>
        </w:rPr>
        <w:t>All notices, requests, demands, and other communications required or permitted under this Agreement shall be in writing and shall be delivered as follows:</w:t>
      </w:r>
    </w:p>
    <w:p>
      <w:pPr>
        <w:spacing w:line="276" w:lineRule="auto" w:before="0" w:after="120"/>
        <w:jc w:val="both"/>
      </w:pPr>
      <w:r>
        <w:rPr>
          <w:rFonts w:ascii="Times New Roman" w:hAnsi="Times New Roman"/>
          <w:color w:val="000000"/>
          <w:sz w:val="22"/>
        </w:rPr>
        <w:t>If to the Company:</w:t>
      </w:r>
    </w:p>
    <w:p>
      <w:pPr>
        <w:spacing w:line="276" w:lineRule="auto" w:before="0" w:after="120"/>
        <w:ind w:left="432"/>
        <w:jc w:val="both"/>
      </w:pPr>
      <w:r>
        <w:rPr>
          <w:rFonts w:ascii="Times New Roman" w:hAnsi="Times New Roman"/>
          <w:color w:val="000000"/>
          <w:sz w:val="22"/>
        </w:rPr>
        <w:t>Apex Industrial Technologies, Inc. 4200 Crescent Ridge Parkway, Suite 600 Cincinnati, OH 45202</w:t>
      </w:r>
    </w:p>
    <w:p>
      <w:pPr>
        <w:spacing w:line="240" w:lineRule="auto" w:before="20" w:after="20"/>
        <w:ind w:left="432"/>
        <w:jc w:val="left"/>
      </w:pPr>
      <w:r>
        <w:rPr>
          <w:rFonts w:ascii="Times New Roman" w:hAnsi="Times New Roman"/>
          <w:color w:val="000000"/>
          <w:sz w:val="22"/>
        </w:rPr>
        <w:t>Attention: General Counsel (Robert Fenn)</w:t>
      </w:r>
    </w:p>
    <w:p>
      <w:pPr>
        <w:spacing w:line="276" w:lineRule="auto" w:before="0" w:after="120"/>
        <w:jc w:val="both"/>
      </w:pPr>
      <w:r>
        <w:rPr>
          <w:rFonts w:ascii="Times New Roman" w:hAnsi="Times New Roman"/>
          <w:color w:val="000000"/>
          <w:sz w:val="22"/>
        </w:rPr>
        <w:t>If to Executive:</w:t>
      </w:r>
    </w:p>
    <w:p>
      <w:pPr>
        <w:spacing w:line="276" w:lineRule="auto" w:before="0" w:after="120"/>
        <w:ind w:left="432"/>
        <w:jc w:val="both"/>
      </w:pPr>
      <w:r>
        <w:rPr>
          <w:rFonts w:ascii="Times New Roman" w:hAnsi="Times New Roman"/>
          <w:color w:val="000000"/>
          <w:sz w:val="22"/>
        </w:rPr>
        <w:t>Dr. Miriam Hesse At the address on file with the Company's Human Resources department</w:t>
      </w:r>
    </w:p>
    <w:p>
      <w:pPr>
        <w:spacing w:line="276" w:lineRule="auto" w:before="0" w:after="120"/>
        <w:jc w:val="both"/>
      </w:pPr>
      <w:r>
        <w:rPr>
          <w:rFonts w:ascii="Times New Roman" w:hAnsi="Times New Roman"/>
          <w:color w:val="000000"/>
          <w:sz w:val="22"/>
        </w:rPr>
        <w:t>Notices shall be deemed effective upon (a) personal delivery, (b) one (1) business day after deposit with a nationally recognized overnight courier service, or (c) three (3) business days after mailing by certified mail, return receipt requested, postage prepaid, to the address set forth above or such other address as may be designated by a party in writing.</w:t>
      </w:r>
    </w:p>
    <w:p>
      <w:pPr>
        <w:keepNext/>
        <w:spacing w:line="276" w:lineRule="auto" w:before="200" w:after="80"/>
        <w:ind w:left="0"/>
      </w:pPr>
      <w:r>
        <w:rPr>
          <w:rFonts w:ascii="Times New Roman" w:hAnsi="Times New Roman"/>
          <w:b/>
          <w:color w:val="000000"/>
          <w:sz w:val="22"/>
        </w:rPr>
        <w:t>8.8 Section 409A Compliance</w:t>
      </w:r>
    </w:p>
    <w:p>
      <w:pPr>
        <w:spacing w:line="276" w:lineRule="auto" w:before="0" w:after="120"/>
        <w:jc w:val="both"/>
      </w:pPr>
      <w:r>
        <w:rPr>
          <w:rFonts w:ascii="Times New Roman" w:hAnsi="Times New Roman"/>
          <w:color w:val="000000"/>
          <w:sz w:val="22"/>
        </w:rPr>
        <w:t>The payments and benefits provided under this Agreement are intended to comply with, or be exempt from, the requirements of Section 409A of the Code and the Treasury Regulations promulgated thereunder ("Section 409A"), and this Agreement shall be interpreted and administered accordingly. To the extent that Executive is a "specified employee" within the meaning of Section 409A at the time of her separation from service, any payment or benefit under this Agreement that constitutes "nonqualified deferred compensation" subject to Section 409A and that is payable upon Executive's separation from service shall be delayed and shall not be paid or provided until the date that is six (6) months and one (1) day following the date of Executive's separation from service (or, if earlier, Executive's death), at which time all delayed payments shall be paid in a single lump sum. Each installment payment under this Agreement shall be treated as a separate payment for purposes of Section 409A.</w:t>
      </w:r>
    </w:p>
    <w:p>
      <w:pPr>
        <w:spacing w:line="276" w:lineRule="auto" w:before="200" w:after="80"/>
        <w:ind w:left="0"/>
        <w:jc w:val="both"/>
      </w:pPr>
      <w:r>
        <w:rPr>
          <w:rFonts w:ascii="Times New Roman" w:hAnsi="Times New Roman"/>
          <w:b/>
          <w:color w:val="000000"/>
          <w:sz w:val="22"/>
        </w:rPr>
        <w:t xml:space="preserve">8.9 Counterparts.  </w:t>
      </w:r>
      <w:r>
        <w:rPr>
          <w:rFonts w:ascii="Times New Roman" w:hAnsi="Times New Roman"/>
          <w:color w:val="000000"/>
          <w:sz w:val="22"/>
        </w:rPr>
        <w:t>This Agreement may be executed in one or more counterparts, each of which shall be deemed an original and all of which together shall constitute one and the same instrument.</w:t>
      </w:r>
    </w:p>
    <w:p>
      <w:r>
        <w:br w:type="page"/>
      </w:r>
    </w:p>
    <w:p>
      <w:pPr>
        <w:spacing w:line="276" w:lineRule="auto" w:before="0" w:after="120"/>
        <w:jc w:val="both"/>
      </w:pPr>
      <w:r>
        <w:rPr>
          <w:rFonts w:ascii="Times New Roman" w:hAnsi="Times New Roman"/>
          <w:color w:val="000000"/>
          <w:sz w:val="22"/>
        </w:rPr>
        <w:t>IN WITNESS WHEREOF, the parties have executed this Employment Agreement as of the date first written above.</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Date: August 15, 2021</w:t>
      </w:r>
    </w:p>
    <w:p>
      <w:pPr>
        <w:spacing w:line="240" w:lineRule="auto" w:before="20" w:after="20"/>
        <w:jc w:val="both"/>
      </w:pPr>
      <w:r>
        <w:rPr>
          <w:rFonts w:ascii="Times New Roman" w:hAnsi="Times New Roman"/>
          <w:b/>
          <w:color w:val="000000"/>
          <w:sz w:val="22"/>
        </w:rPr>
        <w:t>EXECUTIVE:</w:t>
      </w:r>
    </w:p>
    <w:p>
      <w:pPr>
        <w:spacing w:line="276" w:lineRule="auto" w:before="240" w:after="20"/>
        <w:jc w:val="both"/>
      </w:pPr>
      <w:r>
        <w:rPr>
          <w:rFonts w:ascii="Times New Roman" w:hAnsi="Times New Roman"/>
          <w:color w:val="000000"/>
          <w:sz w:val="22"/>
        </w:rPr>
        <w:t>________________________________________</w:t>
      </w:r>
    </w:p>
    <w:p>
      <w:pPr>
        <w:spacing w:line="240" w:lineRule="auto" w:before="20" w:after="20"/>
        <w:jc w:val="both"/>
      </w:pPr>
      <w:r>
        <w:rPr>
          <w:rFonts w:ascii="Times New Roman" w:hAnsi="Times New Roman"/>
          <w:color w:val="000000"/>
          <w:sz w:val="22"/>
        </w:rPr>
        <w:t>Dr. Miriam Hesse</w:t>
      </w:r>
    </w:p>
    <w:p>
      <w:pPr>
        <w:spacing w:line="240" w:lineRule="auto" w:before="20" w:after="20"/>
        <w:jc w:val="left"/>
      </w:pPr>
      <w:r>
        <w:rPr>
          <w:rFonts w:ascii="Times New Roman" w:hAnsi="Times New Roman"/>
          <w:color w:val="000000"/>
          <w:sz w:val="22"/>
        </w:rPr>
        <w:t>Date: August 15, 2021</w:t>
      </w:r>
    </w:p>
    <w:p>
      <w:r>
        <w:br w:type="page"/>
      </w:r>
    </w:p>
    <w:p>
      <w:pPr>
        <w:spacing w:line="276" w:lineRule="auto" w:before="0" w:after="120"/>
        <w:jc w:val="center"/>
      </w:pPr>
      <w:r>
        <w:rPr>
          <w:rFonts w:ascii="Times New Roman" w:hAnsi="Times New Roman"/>
          <w:b/>
          <w:color w:val="000000"/>
          <w:sz w:val="22"/>
        </w:rPr>
        <w:t>EXHIBIT A</w:t>
      </w:r>
    </w:p>
    <w:p>
      <w:pPr>
        <w:spacing w:line="276" w:lineRule="auto" w:before="0" w:after="120"/>
        <w:jc w:val="center"/>
      </w:pPr>
      <w:r>
        <w:rPr>
          <w:rFonts w:ascii="Times New Roman" w:hAnsi="Times New Roman"/>
          <w:b/>
          <w:color w:val="000000"/>
          <w:sz w:val="22"/>
        </w:rPr>
        <w:t>SIDE LETTER AGREEMENT</w:t>
      </w:r>
      <w:r>
        <w:rPr>
          <w:rFonts w:ascii="Times New Roman" w:hAnsi="Times New Roman"/>
          <w:color w:val="000000"/>
          <w:sz w:val="22"/>
        </w:rPr>
        <w:t xml:space="preserve"> </w:t>
      </w:r>
      <w:r>
        <w:rPr>
          <w:rFonts w:ascii="Times New Roman" w:hAnsi="Times New Roman"/>
          <w:b/>
          <w:color w:val="000000"/>
          <w:sz w:val="22"/>
        </w:rPr>
        <w:t>RE: TREATMENT OF EQUITY AWARDS IN CONNECTION WITH PROPOSED MERGER</w:t>
      </w:r>
    </w:p>
    <w:p>
      <w:pPr>
        <w:spacing w:line="276" w:lineRule="auto" w:before="0" w:after="120"/>
        <w:jc w:val="both"/>
      </w:pPr>
      <w:r>
        <w:rPr>
          <w:rFonts w:ascii="Times New Roman" w:hAnsi="Times New Roman"/>
          <w:color w:val="000000"/>
          <w:sz w:val="22"/>
        </w:rPr>
        <w:t xml:space="preserve">This Side Letter Agreement (this "Side Letter") is entered into as of March 14, 2025, by and between </w:t>
      </w:r>
      <w:r>
        <w:rPr>
          <w:rFonts w:ascii="Times New Roman" w:hAnsi="Times New Roman"/>
          <w:b/>
          <w:color w:val="000000"/>
          <w:sz w:val="22"/>
        </w:rPr>
        <w:t>Apex Industrial Technologies, Inc.</w:t>
      </w:r>
      <w:r>
        <w:rPr>
          <w:rFonts w:ascii="Times New Roman" w:hAnsi="Times New Roman"/>
          <w:color w:val="000000"/>
          <w:sz w:val="22"/>
        </w:rPr>
        <w:t xml:space="preserve">, a Delaware corporation (the "Company"), and </w:t>
      </w:r>
      <w:r>
        <w:rPr>
          <w:rFonts w:ascii="Times New Roman" w:hAnsi="Times New Roman"/>
          <w:b/>
          <w:color w:val="000000"/>
          <w:sz w:val="22"/>
        </w:rPr>
        <w:t>Dr. Miriam Hesse</w:t>
      </w:r>
      <w:r>
        <w:rPr>
          <w:rFonts w:ascii="Times New Roman" w:hAnsi="Times New Roman"/>
          <w:color w:val="000000"/>
          <w:sz w:val="22"/>
        </w:rPr>
        <w:t xml:space="preserve"> (the "Executive").</w:t>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and Executive are parties to that certain Employment Agreement dated August 15, 2021, referenced as Agreement No. EA-2021-003-MH (the "Employment Agreement"), pursuant to which Executive serves as the Company's Chief Technology Officer;</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Company has entered into that certain Agreement and Plan of Merger, dated as of March 14, 2025 (the "Merger Agreement"), by and among Apex Industrial Technologies, Inc., Voltan Manufacturing Group, Inc., a Delaware corporation ("Parent"), and Voltan Acquisition Sub, Inc., a Delaware corporation and wholly-owned subsidiary of Parent ("Merger Sub"), pursuant to which Merger Sub will merge with and into the Company, with the Company surviving as a wholly-owned subsidiary of Parent (the "Merger");</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Section 3.05 of the Merger Agreement provides that, at the Effective Time of the Merger, each outstanding and unvested restricted stock unit of the Company ("Company RSU") shall be converted into a restricted stock unit of Parent ("Parent RSU"), covering a number of shares of Parent common stock equal to the product of (x) the number of shares of Company common stock subject to such Company RSU immediately prior to the Effective Time and (y) the Exchange Ratio of 0.3142, rounded down to the nearest whole share, and such Parent RSU shall otherwise be subject to the same terms and conditions (including vesting schedule) as applied to the corresponding Company RSU immediately prior to the Effective Time (the "RSU Rollover Treatment");</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Section 5.4 of the Employment Agreement provides that, upon the consummation of a Change of Control (as defined in the Employment Agreement), all of Executive's then-unvested Equity Awards shall immediately and automatically vest and, to the extent applicable, become exercisable in full;</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consummation of the Merger constitutes a "Change of Control" as defined in Section 1 of the Employment Agreement;</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acknowledge that the single-trigger acceleration provision in Section 5.4 of the Employment Agreement and the RSU Rollover Treatment contemplated by Section 3.05 of the Merger Agreement are in direct conflict, in that Section 5.4 would cause all of Executive's unvested Company RSUs to vest immediately upon consummation of the Merger, whereas Section 3.05 of the Merger Agreement contemplates that such unvested Company RSUs would be converted into unvested Parent RSUs on the same vesting schedule;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desire to set forth their understanding regarding the treatment of Executive's unvested Equity Awards in connection with the Merger.</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set forth herein and for other good and valuable consideration, the receipt and sufficiency of which are hereby acknowledged, the parties agree as follows:</w:t>
      </w:r>
    </w:p>
    <w:p>
      <w:pPr>
        <w:keepNext/>
        <w:spacing w:line="276" w:lineRule="auto" w:before="200" w:after="80"/>
        <w:ind w:left="0"/>
      </w:pPr>
      <w:r>
        <w:rPr>
          <w:rFonts w:ascii="Times New Roman" w:hAnsi="Times New Roman"/>
          <w:b/>
          <w:color w:val="000000"/>
          <w:sz w:val="22"/>
        </w:rPr>
        <w:t>Section 1 — Acknowledgment of Conflict</w:t>
      </w:r>
    </w:p>
    <w:p>
      <w:pPr>
        <w:spacing w:line="276" w:lineRule="auto" w:before="0" w:after="120"/>
        <w:jc w:val="both"/>
      </w:pPr>
      <w:r>
        <w:rPr>
          <w:rFonts w:ascii="Times New Roman" w:hAnsi="Times New Roman"/>
          <w:color w:val="000000"/>
          <w:sz w:val="22"/>
        </w:rPr>
        <w:t>The parties acknowledge and agree that Section 5.4 of the Employment Agreement provides for the immediate and automatic vesting of all of Executive's unvested Equity Awards upon the consummation of a Change of Control, and that the RSU Rollover Treatment under Section 3.05 of the Merger Agreement contemplates that unvested Company RSUs will be converted into unvested Parent RSUs subject to the same vesting schedule as applied to the corresponding Company RSUs immediately prior to the Effective Time. The parties further acknowledge that these provisions are in direct conflict and that, absent a resolution of such conflict, the consummation of the Merger would trigger the single-trigger acceleration of Executive's unvested Equity Awards under Section 5.4 of the Employment Agreement, notwithstanding the RSU Rollover Treatment contemplated by the Merger Agreement.</w:t>
      </w:r>
    </w:p>
    <w:p>
      <w:pPr>
        <w:keepNext/>
        <w:spacing w:line="276" w:lineRule="auto" w:before="200" w:after="80"/>
        <w:ind w:left="0"/>
      </w:pPr>
      <w:r>
        <w:rPr>
          <w:rFonts w:ascii="Times New Roman" w:hAnsi="Times New Roman"/>
          <w:b/>
          <w:color w:val="000000"/>
          <w:sz w:val="22"/>
        </w:rPr>
        <w:t>Section 2 — Current Unvested Equity Awards</w:t>
      </w:r>
    </w:p>
    <w:p>
      <w:pPr>
        <w:spacing w:line="276" w:lineRule="auto" w:before="0" w:after="120"/>
        <w:jc w:val="both"/>
      </w:pPr>
      <w:r>
        <w:rPr>
          <w:rFonts w:ascii="Times New Roman" w:hAnsi="Times New Roman"/>
          <w:color w:val="000000"/>
          <w:sz w:val="22"/>
        </w:rPr>
        <w:t>As of the date of this Side Letter, Executive holds forty-five thousand (45,000) unvested restricted stock units granted under the Apex Industrial Technologies, Inc. 2021 Equity Incentive Plan, subject to the applicable award agreements. Based on the Exchange Ratio of 0.3142, these 45,000 Company RSUs would convert into approximately 14,139 Parent RSUs under the RSU Rollover Treatment. If instead accelerated under Section 5.4 of the Employment Agreement, the 45,000 Company RSUs would vest immediately upon consummation of the Merger and would be converted into the right to receive the per-share Merger Consideration at the Exchange Ratio, representing approximately 14,139 shares of Parent common stock with an implied aggregate value of approximately Nine Hundred Sixty-Seven Thousand Two Hundred Thirty Dollars ($967,230) (based on the thirty (30)-day volume-weighted average price of Parent common stock of $68.42 per share as of the date of the Merger Agreement, yielding an implied per-Company-share value of $21.494, multiplied by 45,000 Company RSUs).</w:t>
      </w:r>
    </w:p>
    <w:p>
      <w:pPr>
        <w:keepNext/>
        <w:spacing w:line="276" w:lineRule="auto" w:before="200" w:after="80"/>
        <w:ind w:left="0"/>
      </w:pPr>
      <w:r>
        <w:rPr>
          <w:rFonts w:ascii="Times New Roman" w:hAnsi="Times New Roman"/>
          <w:b/>
          <w:color w:val="000000"/>
          <w:sz w:val="22"/>
        </w:rPr>
        <w:t>Section 3 — Intent to Negotiate Resolution</w:t>
      </w:r>
    </w:p>
    <w:p>
      <w:pPr>
        <w:spacing w:line="276" w:lineRule="auto" w:before="0" w:after="120"/>
        <w:jc w:val="both"/>
      </w:pPr>
      <w:r>
        <w:rPr>
          <w:rFonts w:ascii="Times New Roman" w:hAnsi="Times New Roman"/>
          <w:color w:val="000000"/>
          <w:sz w:val="22"/>
        </w:rPr>
        <w:t>The Company and Executive agree to negotiate in good faith, prior to the Closing Date (as defined in the Merger Agreement, expected to occur on or before August 29, 2025), to resolve the conflict between Section 5.4 of the Employment Agreement and Section 3.05 of the Merger Agreement. Such resolution may take the form of: (a) Executive's waiver of the single-trigger acceleration right under Section 5.4 of the Employment Agreement, in exchange for additional consideration to be mutually agreed upon by the parties; (b) an amendment to the Merger Agreement or to the Employment Agreement effecting a modification of the acceleration or rollover provisions; or (c) such other arrangement as the parties may mutually agree. Pending such resolution, Section 5.4 of the Employment Agreement remains in full force and effect and has not been amended or waived by this Side Letter. Nothing in this Side Letter shall be construed as a waiver, amendment, or modification of Section 5.4 of the Employment Agreement or any other provision of the Employment Agreement.</w:t>
      </w:r>
    </w:p>
    <w:p>
      <w:pPr>
        <w:keepNext/>
        <w:spacing w:line="276" w:lineRule="auto" w:before="200" w:after="80"/>
        <w:ind w:left="0"/>
      </w:pPr>
      <w:r>
        <w:rPr>
          <w:rFonts w:ascii="Times New Roman" w:hAnsi="Times New Roman"/>
          <w:b/>
          <w:color w:val="000000"/>
          <w:sz w:val="22"/>
        </w:rPr>
        <w:t>Section 4 — Merger Agreement Consent Requirements</w:t>
      </w:r>
    </w:p>
    <w:p>
      <w:pPr>
        <w:spacing w:line="276" w:lineRule="auto" w:before="0" w:after="120"/>
        <w:jc w:val="both"/>
      </w:pPr>
      <w:r>
        <w:rPr>
          <w:rFonts w:ascii="Times New Roman" w:hAnsi="Times New Roman"/>
          <w:color w:val="000000"/>
          <w:sz w:val="22"/>
        </w:rPr>
        <w:t>The parties acknowledge that Section 7.03(c) of the Merger Agreement includes, as a condition to the obligation of Parent and Merger Sub to consummate the Merger, that the Company shall have obtained all consents, waivers, and amendments set forth on Schedule 7.03(c) of the Merger Agreement (the "Required Consents") at least five (5) business days prior to the Closing Date. The parties further acknowledge that Executive's consent to the RSU Rollover Treatment, or a waiver by Executive of the single-trigger acceleration right under Section 5.4 of the Employment Agreement, may constitute a Required Consent under Section 7.03(c) of the Merger Agreement. The parties agree to cooperate in good faith to address this consent requirement within the timeframe specified in the Merger Agreement.</w:t>
      </w:r>
    </w:p>
    <w:p>
      <w:pPr>
        <w:keepNext/>
        <w:spacing w:line="276" w:lineRule="auto" w:before="200" w:after="80"/>
        <w:ind w:left="0"/>
      </w:pPr>
      <w:r>
        <w:rPr>
          <w:rFonts w:ascii="Times New Roman" w:hAnsi="Times New Roman"/>
          <w:b/>
          <w:color w:val="000000"/>
          <w:sz w:val="22"/>
        </w:rPr>
        <w:t>Section 5 — No Amendment</w:t>
      </w:r>
    </w:p>
    <w:p>
      <w:pPr>
        <w:spacing w:line="276" w:lineRule="auto" w:before="0" w:after="120"/>
        <w:jc w:val="both"/>
      </w:pPr>
      <w:r>
        <w:rPr>
          <w:rFonts w:ascii="Times New Roman" w:hAnsi="Times New Roman"/>
          <w:color w:val="000000"/>
          <w:sz w:val="22"/>
        </w:rPr>
        <w:t>Except as expressly set forth herein, the Employment Agreement remains in full force and effect and is hereby ratified and confirmed in all respects. Nothing in this Side Letter shall be deemed to amend, modify, supplement, or waive any provision of the Employment Agreement.</w:t>
      </w:r>
    </w:p>
    <w:p>
      <w:pPr>
        <w:keepNext/>
        <w:spacing w:line="276" w:lineRule="auto" w:before="200" w:after="80"/>
        <w:ind w:left="0"/>
      </w:pPr>
      <w:r>
        <w:rPr>
          <w:rFonts w:ascii="Times New Roman" w:hAnsi="Times New Roman"/>
          <w:b/>
          <w:color w:val="000000"/>
          <w:sz w:val="22"/>
        </w:rPr>
        <w:t>Section 6 — Governing Law</w:t>
      </w:r>
    </w:p>
    <w:p>
      <w:pPr>
        <w:spacing w:line="276" w:lineRule="auto" w:before="0" w:after="120"/>
        <w:jc w:val="both"/>
      </w:pPr>
      <w:r>
        <w:rPr>
          <w:rFonts w:ascii="Times New Roman" w:hAnsi="Times New Roman"/>
          <w:color w:val="000000"/>
          <w:sz w:val="22"/>
        </w:rPr>
        <w:t>This Side Letter shall be governed by and construed in accordance with the laws of the State of Ohio, without regard to its conflict of law principles, consistent with Section 8.4 of the Employment Agreement.</w:t>
      </w:r>
    </w:p>
    <w:p>
      <w:pPr>
        <w:keepNext/>
        <w:spacing w:line="276" w:lineRule="auto" w:before="200" w:after="80"/>
        <w:ind w:left="0"/>
      </w:pPr>
      <w:r>
        <w:rPr>
          <w:rFonts w:ascii="Times New Roman" w:hAnsi="Times New Roman"/>
          <w:b/>
          <w:color w:val="000000"/>
          <w:sz w:val="22"/>
        </w:rPr>
        <w:t>Section 7 — Counterparts</w:t>
      </w:r>
    </w:p>
    <w:p>
      <w:pPr>
        <w:spacing w:line="276" w:lineRule="auto" w:before="0" w:after="120"/>
        <w:jc w:val="both"/>
      </w:pPr>
      <w:r>
        <w:rPr>
          <w:rFonts w:ascii="Times New Roman" w:hAnsi="Times New Roman"/>
          <w:color w:val="000000"/>
          <w:sz w:val="22"/>
        </w:rPr>
        <w:t>This Side Letter may be executed in one or more counterparts, each of which shall be deemed an original and all of which together shall constitute one and the same instrument.</w:t>
      </w:r>
    </w:p>
    <w:p>
      <w:pPr>
        <w:spacing w:line="276" w:lineRule="auto" w:before="0" w:after="120"/>
        <w:jc w:val="both"/>
      </w:pPr>
      <w:r>
        <w:rPr>
          <w:rFonts w:ascii="Times New Roman" w:hAnsi="Times New Roman"/>
          <w:color w:val="000000"/>
          <w:sz w:val="22"/>
        </w:rPr>
        <w:t>IN WITNESS WHEREOF, the parties have executed this Side Letter as of the date first written above.</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Robert Fenn</w:t>
      </w:r>
    </w:p>
    <w:p>
      <w:pPr>
        <w:spacing w:line="240" w:lineRule="auto" w:before="20" w:after="20"/>
        <w:jc w:val="left"/>
      </w:pPr>
      <w:r>
        <w:rPr>
          <w:rFonts w:ascii="Times New Roman" w:hAnsi="Times New Roman"/>
          <w:color w:val="000000"/>
          <w:sz w:val="22"/>
        </w:rPr>
        <w:t>Title: General Counsel</w:t>
      </w:r>
    </w:p>
    <w:p>
      <w:pPr>
        <w:spacing w:line="240" w:lineRule="auto" w:before="20" w:after="20"/>
        <w:jc w:val="left"/>
      </w:pPr>
      <w:r>
        <w:rPr>
          <w:rFonts w:ascii="Times New Roman" w:hAnsi="Times New Roman"/>
          <w:color w:val="000000"/>
          <w:sz w:val="22"/>
        </w:rPr>
        <w:t>Date: March 14, 2025</w:t>
      </w:r>
    </w:p>
    <w:p>
      <w:pPr>
        <w:spacing w:line="240" w:lineRule="auto" w:before="20" w:after="20"/>
        <w:jc w:val="both"/>
      </w:pPr>
      <w:r>
        <w:rPr>
          <w:rFonts w:ascii="Times New Roman" w:hAnsi="Times New Roman"/>
          <w:b/>
          <w:color w:val="000000"/>
          <w:sz w:val="22"/>
        </w:rPr>
        <w:t>EXECUTIVE:</w:t>
      </w:r>
    </w:p>
    <w:p>
      <w:pPr>
        <w:spacing w:line="276" w:lineRule="auto" w:before="240" w:after="20"/>
        <w:jc w:val="both"/>
      </w:pPr>
      <w:r>
        <w:rPr>
          <w:rFonts w:ascii="Times New Roman" w:hAnsi="Times New Roman"/>
          <w:color w:val="000000"/>
          <w:sz w:val="22"/>
        </w:rPr>
        <w:t>________________________________________</w:t>
      </w:r>
    </w:p>
    <w:p>
      <w:pPr>
        <w:spacing w:line="240" w:lineRule="auto" w:before="20" w:after="20"/>
        <w:jc w:val="both"/>
      </w:pPr>
      <w:r>
        <w:rPr>
          <w:rFonts w:ascii="Times New Roman" w:hAnsi="Times New Roman"/>
          <w:color w:val="000000"/>
          <w:sz w:val="22"/>
        </w:rPr>
        <w:t>Dr. Miriam Hesse</w:t>
      </w:r>
    </w:p>
    <w:p>
      <w:pPr>
        <w:spacing w:line="240" w:lineRule="auto" w:before="20" w:after="20"/>
        <w:jc w:val="left"/>
      </w:pPr>
      <w:r>
        <w:rPr>
          <w:rFonts w:ascii="Times New Roman" w:hAnsi="Times New Roman"/>
          <w:color w:val="000000"/>
          <w:sz w:val="22"/>
        </w:rPr>
        <w:t>Date: March 14, 2025</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Apex Industrial Technologies, Inc. — Dr. Miriam Hesse — Employment Agreement</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Employment Agreement EA-2021-003-MH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