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c="http://schemas.openxmlformats.org/markup-compatibility/2006" xmlns:r="http://schemas.openxmlformats.org/officeDocument/2006/relationships" xmlns:w="http://schemas.openxmlformats.org/wordprocessingml/2006/main" mc:Ignorable="w14 wp14">
  <w:body>
    <w:p>
      <w:pPr>
        <w:spacing w:line="276" w:lineRule="auto" w:before="0" w:after="120"/>
        <w:jc w:val="center"/>
      </w:pPr>
      <w:r>
        <w:rPr>
          <w:rFonts w:ascii="Times New Roman" w:hAnsi="Times New Roman"/>
          <w:b/>
          <w:color w:val="000000"/>
          <w:sz w:val="22"/>
        </w:rPr>
        <w:t>COMMERCIAL LEASE AGREEMENT</w:t>
      </w:r>
    </w:p>
    <w:p>
      <w:pPr>
        <w:spacing w:line="276" w:lineRule="auto" w:before="0" w:after="120"/>
        <w:jc w:val="center"/>
      </w:pPr>
      <w:r>
        <w:rPr>
          <w:rFonts w:ascii="Times New Roman" w:hAnsi="Times New Roman"/>
          <w:b/>
          <w:color w:val="000000"/>
          <w:sz w:val="22"/>
        </w:rPr>
        <w:t>Lease No. CRR-2018-4200-600</w:t>
      </w:r>
    </w:p>
    <w:p>
      <w:pPr>
        <w:spacing w:line="276" w:lineRule="auto" w:before="0" w:after="120"/>
        <w:jc w:val="center"/>
      </w:pPr>
      <w:r>
        <w:rPr>
          <w:rFonts w:ascii="Times New Roman" w:hAnsi="Times New Roman"/>
          <w:color w:val="000000"/>
          <w:sz w:val="22"/>
        </w:rPr>
        <w:t>Between</w:t>
      </w:r>
    </w:p>
    <w:p>
      <w:pPr>
        <w:spacing w:line="276" w:lineRule="auto" w:before="0" w:after="120"/>
        <w:jc w:val="center"/>
      </w:pPr>
      <w:r>
        <w:rPr>
          <w:rFonts w:ascii="Times New Roman" w:hAnsi="Times New Roman"/>
          <w:b/>
          <w:color w:val="000000"/>
          <w:sz w:val="22"/>
        </w:rPr>
        <w:t>CRESCENT RIDGE REALTY PARTNERS, LP</w:t>
      </w:r>
      <w:r>
        <w:rPr>
          <w:rFonts w:ascii="Times New Roman" w:hAnsi="Times New Roman"/>
          <w:color w:val="000000"/>
          <w:sz w:val="22"/>
        </w:rPr>
        <w:t xml:space="preserve"> an Ohio limited partnership ("Landlord")</w:t>
      </w:r>
    </w:p>
    <w:p>
      <w:pPr>
        <w:spacing w:line="276" w:lineRule="auto" w:before="0" w:after="120"/>
        <w:jc w:val="center"/>
      </w:pPr>
      <w:r>
        <w:rPr>
          <w:rFonts w:ascii="Times New Roman" w:hAnsi="Times New Roman"/>
          <w:color w:val="000000"/>
          <w:sz w:val="22"/>
        </w:rPr>
        <w:t>and</w:t>
      </w:r>
    </w:p>
    <w:p>
      <w:pPr>
        <w:spacing w:line="276" w:lineRule="auto" w:before="0" w:after="120"/>
        <w:jc w:val="center"/>
      </w:pPr>
      <w:r>
        <w:rPr>
          <w:rFonts w:ascii="Times New Roman" w:hAnsi="Times New Roman"/>
          <w:b/>
          <w:color w:val="000000"/>
          <w:sz w:val="22"/>
        </w:rPr>
        <w:t>APEX INDUSTRIAL TECHNOLOGIES, INC.</w:t>
      </w:r>
      <w:r>
        <w:rPr>
          <w:rFonts w:ascii="Times New Roman" w:hAnsi="Times New Roman"/>
          <w:color w:val="000000"/>
          <w:sz w:val="22"/>
        </w:rPr>
        <w:t xml:space="preserve"> a Delaware corporation ("Tenant")</w:t>
      </w:r>
    </w:p>
    <w:p>
      <w:pPr>
        <w:spacing w:line="276" w:lineRule="auto" w:before="0" w:after="120"/>
        <w:jc w:val="center"/>
      </w:pPr>
      <w:r>
        <w:rPr>
          <w:rFonts w:ascii="Times New Roman" w:hAnsi="Times New Roman"/>
          <w:color w:val="000000"/>
          <w:sz w:val="22"/>
        </w:rPr>
        <w:t>Dated as of July 1, 2018</w:t>
      </w:r>
    </w:p>
    <w:p>
      <w:r>
        <w:br w:type="page"/>
      </w:r>
    </w:p>
    <w:p>
      <w:pPr>
        <w:keepNext/>
        <w:spacing w:line="276" w:lineRule="auto" w:before="120" w:after="240"/>
        <w:jc w:val="center"/>
      </w:pPr>
      <w:r>
        <w:rPr>
          <w:rFonts w:ascii="Times New Roman" w:hAnsi="Times New Roman"/>
          <w:b/>
          <w:color w:val="000000"/>
          <w:sz w:val="28"/>
          <w:u w:val="single"/>
        </w:rPr>
        <w:t>SECTION 1 — BASIC LEASE INFORMATION</w:t>
      </w:r>
    </w:p>
    <w:p>
      <w:pPr>
        <w:spacing w:line="276" w:lineRule="auto" w:before="0" w:after="120"/>
        <w:jc w:val="both"/>
      </w:pPr>
      <w:r>
        <w:rPr>
          <w:rFonts w:ascii="Times New Roman" w:hAnsi="Times New Roman"/>
          <w:color w:val="000000"/>
          <w:sz w:val="22"/>
        </w:rPr>
        <w:t>The following is a summary of certain basic terms and conditions of this Lease. Each item below shall be subject to, and is qualified in its entirety by, the more detailed provisions of this Lease, including the Section(s) cross-referenced below. In the event of any conflict between this Section 1 and any other provision of this Lease, the more detailed provision shall control.</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320"/>
        <w:gridCol w:w="4320"/>
      </w:tblGrid>
      <w:tr>
        <w:tc>
          <w:tcPr>
            <w:tcW w:type="dxa" w:w="4320"/>
          </w:tcPr>
          <w:p>
            <w:pPr>
              <w:spacing w:line="276" w:lineRule="auto" w:before="20" w:after="20"/>
            </w:pPr>
            <w:r>
              <w:rPr>
                <w:b/>
              </w:rPr>
            </w:r>
            <w:r>
              <w:rPr>
                <w:rFonts w:ascii="Times New Roman" w:hAnsi="Times New Roman"/>
                <w:b/>
                <w:color w:val="000000"/>
                <w:sz w:val="18"/>
              </w:rPr>
              <w:t>Item</w:t>
            </w:r>
          </w:p>
        </w:tc>
        <w:tc>
          <w:tcPr>
            <w:tcW w:type="dxa" w:w="4320"/>
          </w:tcPr>
          <w:p>
            <w:pPr>
              <w:spacing w:line="276" w:lineRule="auto" w:before="20" w:after="20"/>
            </w:pPr>
            <w:r>
              <w:rPr>
                <w:b/>
              </w:rPr>
            </w:r>
            <w:r>
              <w:rPr>
                <w:rFonts w:ascii="Times New Roman" w:hAnsi="Times New Roman"/>
                <w:b/>
                <w:color w:val="000000"/>
                <w:sz w:val="18"/>
              </w:rPr>
              <w:t>Description</w:t>
            </w:r>
          </w:p>
        </w:tc>
      </w:tr>
      <w:tr>
        <w:tc>
          <w:tcPr>
            <w:tcW w:type="dxa" w:w="4320"/>
          </w:tcPr>
          <w:p>
            <w:pPr>
              <w:spacing w:line="276" w:lineRule="auto" w:before="20" w:after="20"/>
            </w:pPr>
            <w:r/>
            <w:r>
              <w:rPr>
                <w:rFonts w:ascii="Times New Roman" w:hAnsi="Times New Roman"/>
                <w:b/>
                <w:color w:val="000000"/>
                <w:sz w:val="18"/>
              </w:rPr>
              <w:t>Lease Reference Number</w:t>
            </w:r>
          </w:p>
        </w:tc>
        <w:tc>
          <w:tcPr>
            <w:tcW w:type="dxa" w:w="4320"/>
          </w:tcPr>
          <w:p>
            <w:pPr>
              <w:spacing w:line="276" w:lineRule="auto" w:before="20" w:after="20"/>
            </w:pPr>
            <w:r/>
            <w:r>
              <w:rPr>
                <w:rFonts w:ascii="Times New Roman" w:hAnsi="Times New Roman"/>
                <w:color w:val="000000"/>
                <w:sz w:val="18"/>
              </w:rPr>
              <w:t>CRR-2018-4200-600</w:t>
            </w:r>
          </w:p>
        </w:tc>
      </w:tr>
      <w:tr>
        <w:tc>
          <w:tcPr>
            <w:tcW w:type="dxa" w:w="4320"/>
          </w:tcPr>
          <w:p>
            <w:pPr>
              <w:spacing w:line="276" w:lineRule="auto" w:before="20" w:after="20"/>
            </w:pPr>
            <w:r/>
            <w:r>
              <w:rPr>
                <w:rFonts w:ascii="Times New Roman" w:hAnsi="Times New Roman"/>
                <w:b/>
                <w:color w:val="000000"/>
                <w:sz w:val="18"/>
              </w:rPr>
              <w:t>Landlord</w:t>
            </w:r>
          </w:p>
        </w:tc>
        <w:tc>
          <w:tcPr>
            <w:tcW w:type="dxa" w:w="4320"/>
          </w:tcPr>
          <w:p>
            <w:pPr>
              <w:spacing w:line="276" w:lineRule="auto" w:before="20" w:after="20"/>
            </w:pPr>
            <w:r/>
            <w:r>
              <w:rPr>
                <w:rFonts w:ascii="Times New Roman" w:hAnsi="Times New Roman"/>
                <w:color w:val="000000"/>
                <w:sz w:val="18"/>
              </w:rPr>
              <w:t>Crescent Ridge Realty Partners, LP, an Ohio limited partnership, with its principal office at 1600 Crescent Ridge Parkway, Suite 100, Cincinnati, OH 45202</w:t>
            </w:r>
          </w:p>
        </w:tc>
      </w:tr>
      <w:tr>
        <w:tc>
          <w:tcPr>
            <w:tcW w:type="dxa" w:w="4320"/>
          </w:tcPr>
          <w:p>
            <w:pPr>
              <w:spacing w:line="276" w:lineRule="auto" w:before="20" w:after="20"/>
            </w:pPr>
            <w:r/>
            <w:r>
              <w:rPr>
                <w:rFonts w:ascii="Times New Roman" w:hAnsi="Times New Roman"/>
                <w:b/>
                <w:color w:val="000000"/>
                <w:sz w:val="18"/>
              </w:rPr>
              <w:t>Landlord's Property Manager</w:t>
            </w:r>
          </w:p>
        </w:tc>
        <w:tc>
          <w:tcPr>
            <w:tcW w:type="dxa" w:w="4320"/>
          </w:tcPr>
          <w:p>
            <w:pPr>
              <w:spacing w:line="276" w:lineRule="auto" w:before="20" w:after="20"/>
            </w:pPr>
            <w:r/>
            <w:r>
              <w:rPr>
                <w:rFonts w:ascii="Times New Roman" w:hAnsi="Times New Roman"/>
                <w:color w:val="000000"/>
                <w:sz w:val="18"/>
              </w:rPr>
              <w:t>Harmon Property Group, LLC</w:t>
            </w:r>
          </w:p>
        </w:tc>
      </w:tr>
      <w:tr>
        <w:tc>
          <w:tcPr>
            <w:tcW w:type="dxa" w:w="4320"/>
          </w:tcPr>
          <w:p>
            <w:pPr>
              <w:spacing w:line="276" w:lineRule="auto" w:before="20" w:after="20"/>
            </w:pPr>
            <w:r/>
            <w:r>
              <w:rPr>
                <w:rFonts w:ascii="Times New Roman" w:hAnsi="Times New Roman"/>
                <w:b/>
                <w:color w:val="000000"/>
                <w:sz w:val="18"/>
              </w:rPr>
              <w:t>Tenant</w:t>
            </w:r>
          </w:p>
        </w:tc>
        <w:tc>
          <w:tcPr>
            <w:tcW w:type="dxa" w:w="4320"/>
          </w:tcPr>
          <w:p>
            <w:pPr>
              <w:spacing w:line="276" w:lineRule="auto" w:before="20" w:after="20"/>
            </w:pPr>
            <w:r/>
            <w:r>
              <w:rPr>
                <w:rFonts w:ascii="Times New Roman" w:hAnsi="Times New Roman"/>
                <w:color w:val="000000"/>
                <w:sz w:val="18"/>
              </w:rPr>
              <w:t>Apex Industrial Technologies, Inc., a Delaware corporation</w:t>
            </w:r>
          </w:p>
        </w:tc>
      </w:tr>
      <w:tr>
        <w:tc>
          <w:tcPr>
            <w:tcW w:type="dxa" w:w="4320"/>
          </w:tcPr>
          <w:p>
            <w:pPr>
              <w:spacing w:line="276" w:lineRule="auto" w:before="20" w:after="20"/>
            </w:pPr>
            <w:r/>
            <w:r>
              <w:rPr>
                <w:rFonts w:ascii="Times New Roman" w:hAnsi="Times New Roman"/>
                <w:b/>
                <w:color w:val="000000"/>
                <w:sz w:val="18"/>
              </w:rPr>
              <w:t>Tenant's Principal Contact</w:t>
            </w:r>
          </w:p>
        </w:tc>
        <w:tc>
          <w:tcPr>
            <w:tcW w:type="dxa" w:w="4320"/>
          </w:tcPr>
          <w:p>
            <w:pPr>
              <w:spacing w:line="276" w:lineRule="auto" w:before="20" w:after="20"/>
            </w:pPr>
            <w:r/>
            <w:r>
              <w:rPr>
                <w:rFonts w:ascii="Times New Roman" w:hAnsi="Times New Roman"/>
                <w:color w:val="000000"/>
                <w:sz w:val="18"/>
              </w:rPr>
              <w:t>Robert Fenn, General Counsel</w:t>
            </w:r>
          </w:p>
        </w:tc>
      </w:tr>
      <w:tr>
        <w:tc>
          <w:tcPr>
            <w:tcW w:type="dxa" w:w="4320"/>
          </w:tcPr>
          <w:p>
            <w:pPr>
              <w:spacing w:line="276" w:lineRule="auto" w:before="20" w:after="20"/>
            </w:pPr>
            <w:r/>
            <w:r>
              <w:rPr>
                <w:rFonts w:ascii="Times New Roman" w:hAnsi="Times New Roman"/>
                <w:b/>
                <w:color w:val="000000"/>
                <w:sz w:val="18"/>
              </w:rPr>
              <w:t>Premises</w:t>
            </w:r>
            <w:r>
              <w:rPr>
                <w:rFonts w:ascii="Times New Roman" w:hAnsi="Times New Roman"/>
                <w:color w:val="000000"/>
                <w:sz w:val="18"/>
              </w:rPr>
              <w:t xml:space="preserve"> </w:t>
            </w:r>
            <w:r>
              <w:rPr>
                <w:rFonts w:ascii="Times New Roman" w:hAnsi="Times New Roman"/>
                <w:i/>
                <w:color w:val="000000"/>
                <w:sz w:val="18"/>
              </w:rPr>
              <w:t>(Section 3)</w:t>
            </w:r>
          </w:p>
        </w:tc>
        <w:tc>
          <w:tcPr>
            <w:tcW w:type="dxa" w:w="4320"/>
          </w:tcPr>
          <w:p>
            <w:pPr>
              <w:spacing w:line="276" w:lineRule="auto" w:before="20" w:after="20"/>
            </w:pPr>
            <w:r/>
            <w:r>
              <w:rPr>
                <w:rFonts w:ascii="Times New Roman" w:hAnsi="Times New Roman"/>
                <w:color w:val="000000"/>
                <w:sz w:val="18"/>
              </w:rPr>
              <w:t xml:space="preserve">Suite 600, 4200 Crescent Ridge Parkway, Cincinnati, OH 45202 (the "Premises"), consisting of approximately 36,000 rentable square feet on the sixth (6th) floor of the building known as "Crescent Ridge Tower" (the "Building"), as more particularly depicted on the floor plan attached hereto as </w:t>
            </w:r>
            <w:r>
              <w:rPr>
                <w:rFonts w:ascii="Times New Roman" w:hAnsi="Times New Roman"/>
                <w:b/>
                <w:color w:val="000000"/>
                <w:sz w:val="18"/>
              </w:rPr>
              <w:t>Exhibit A</w:t>
            </w:r>
          </w:p>
        </w:tc>
      </w:tr>
      <w:tr>
        <w:tc>
          <w:tcPr>
            <w:tcW w:type="dxa" w:w="4320"/>
          </w:tcPr>
          <w:p>
            <w:pPr>
              <w:spacing w:line="276" w:lineRule="auto" w:before="20" w:after="20"/>
            </w:pPr>
            <w:r/>
            <w:r>
              <w:rPr>
                <w:rFonts w:ascii="Times New Roman" w:hAnsi="Times New Roman"/>
                <w:b/>
                <w:color w:val="000000"/>
                <w:sz w:val="18"/>
              </w:rPr>
              <w:t>Lease Commencement Date</w:t>
            </w:r>
            <w:r>
              <w:rPr>
                <w:rFonts w:ascii="Times New Roman" w:hAnsi="Times New Roman"/>
                <w:color w:val="000000"/>
                <w:sz w:val="18"/>
              </w:rPr>
              <w:t xml:space="preserve"> </w:t>
            </w:r>
            <w:r>
              <w:rPr>
                <w:rFonts w:ascii="Times New Roman" w:hAnsi="Times New Roman"/>
                <w:i/>
                <w:color w:val="000000"/>
                <w:sz w:val="18"/>
              </w:rPr>
              <w:t>(Section 3.2)</w:t>
            </w:r>
          </w:p>
        </w:tc>
        <w:tc>
          <w:tcPr>
            <w:tcW w:type="dxa" w:w="4320"/>
          </w:tcPr>
          <w:p>
            <w:pPr>
              <w:spacing w:line="276" w:lineRule="auto" w:before="20" w:after="20"/>
            </w:pPr>
            <w:r/>
            <w:r>
              <w:rPr>
                <w:rFonts w:ascii="Times New Roman" w:hAnsi="Times New Roman"/>
                <w:color w:val="000000"/>
                <w:sz w:val="18"/>
              </w:rPr>
              <w:t>July 1, 2018</w:t>
            </w:r>
          </w:p>
        </w:tc>
      </w:tr>
      <w:tr>
        <w:tc>
          <w:tcPr>
            <w:tcW w:type="dxa" w:w="4320"/>
          </w:tcPr>
          <w:p>
            <w:pPr>
              <w:spacing w:line="276" w:lineRule="auto" w:before="20" w:after="20"/>
            </w:pPr>
            <w:r/>
            <w:r>
              <w:rPr>
                <w:rFonts w:ascii="Times New Roman" w:hAnsi="Times New Roman"/>
                <w:b/>
                <w:color w:val="000000"/>
                <w:sz w:val="18"/>
              </w:rPr>
              <w:t>Lease Expiration Date</w:t>
            </w:r>
            <w:r>
              <w:rPr>
                <w:rFonts w:ascii="Times New Roman" w:hAnsi="Times New Roman"/>
                <w:color w:val="000000"/>
                <w:sz w:val="18"/>
              </w:rPr>
              <w:t xml:space="preserve"> </w:t>
            </w:r>
            <w:r>
              <w:rPr>
                <w:rFonts w:ascii="Times New Roman" w:hAnsi="Times New Roman"/>
                <w:i/>
                <w:color w:val="000000"/>
                <w:sz w:val="18"/>
              </w:rPr>
              <w:t>(Section 3.2)</w:t>
            </w:r>
          </w:p>
        </w:tc>
        <w:tc>
          <w:tcPr>
            <w:tcW w:type="dxa" w:w="4320"/>
          </w:tcPr>
          <w:p>
            <w:pPr>
              <w:spacing w:line="276" w:lineRule="auto" w:before="20" w:after="20"/>
            </w:pPr>
            <w:r/>
            <w:r>
              <w:rPr>
                <w:rFonts w:ascii="Times New Roman" w:hAnsi="Times New Roman"/>
                <w:color w:val="000000"/>
                <w:sz w:val="18"/>
              </w:rPr>
              <w:t>June 30, 2028</w:t>
            </w:r>
          </w:p>
        </w:tc>
      </w:tr>
      <w:tr>
        <w:tc>
          <w:tcPr>
            <w:tcW w:type="dxa" w:w="4320"/>
          </w:tcPr>
          <w:p>
            <w:pPr>
              <w:spacing w:line="276" w:lineRule="auto" w:before="20" w:after="20"/>
            </w:pPr>
            <w:r/>
            <w:r>
              <w:rPr>
                <w:rFonts w:ascii="Times New Roman" w:hAnsi="Times New Roman"/>
                <w:b/>
                <w:color w:val="000000"/>
                <w:sz w:val="18"/>
              </w:rPr>
              <w:t>Lease Term</w:t>
            </w:r>
            <w:r>
              <w:rPr>
                <w:rFonts w:ascii="Times New Roman" w:hAnsi="Times New Roman"/>
                <w:color w:val="000000"/>
                <w:sz w:val="18"/>
              </w:rPr>
              <w:t xml:space="preserve"> </w:t>
            </w:r>
            <w:r>
              <w:rPr>
                <w:rFonts w:ascii="Times New Roman" w:hAnsi="Times New Roman"/>
                <w:i/>
                <w:color w:val="000000"/>
                <w:sz w:val="18"/>
              </w:rPr>
              <w:t>(Section 3.2)</w:t>
            </w:r>
          </w:p>
        </w:tc>
        <w:tc>
          <w:tcPr>
            <w:tcW w:type="dxa" w:w="4320"/>
          </w:tcPr>
          <w:p>
            <w:pPr>
              <w:spacing w:line="276" w:lineRule="auto" w:before="20" w:after="20"/>
            </w:pPr>
            <w:r/>
            <w:r>
              <w:rPr>
                <w:rFonts w:ascii="Times New Roman" w:hAnsi="Times New Roman"/>
                <w:color w:val="000000"/>
                <w:sz w:val="18"/>
              </w:rPr>
              <w:t>Ten (10) years</w:t>
            </w:r>
          </w:p>
        </w:tc>
      </w:tr>
      <w:tr>
        <w:tc>
          <w:tcPr>
            <w:tcW w:type="dxa" w:w="4320"/>
          </w:tcPr>
          <w:p>
            <w:pPr>
              <w:spacing w:line="276" w:lineRule="auto" w:before="20" w:after="20"/>
            </w:pPr>
            <w:r/>
            <w:r>
              <w:rPr>
                <w:rFonts w:ascii="Times New Roman" w:hAnsi="Times New Roman"/>
                <w:b/>
                <w:color w:val="000000"/>
                <w:sz w:val="18"/>
              </w:rPr>
              <w:t>Annual Base Rent</w:t>
            </w:r>
            <w:r>
              <w:rPr>
                <w:rFonts w:ascii="Times New Roman" w:hAnsi="Times New Roman"/>
                <w:color w:val="000000"/>
                <w:sz w:val="18"/>
              </w:rPr>
              <w:t xml:space="preserve"> </w:t>
            </w:r>
            <w:r>
              <w:rPr>
                <w:rFonts w:ascii="Times New Roman" w:hAnsi="Times New Roman"/>
                <w:i/>
                <w:color w:val="000000"/>
                <w:sz w:val="18"/>
              </w:rPr>
              <w:t>(Section 4)</w:t>
            </w:r>
          </w:p>
        </w:tc>
        <w:tc>
          <w:tcPr>
            <w:tcW w:type="dxa" w:w="4320"/>
          </w:tcPr>
          <w:p>
            <w:pPr>
              <w:spacing w:line="276" w:lineRule="auto" w:before="20" w:after="20"/>
            </w:pPr>
            <w:r/>
            <w:r>
              <w:rPr>
                <w:rFonts w:ascii="Times New Roman" w:hAnsi="Times New Roman"/>
                <w:color w:val="000000"/>
                <w:sz w:val="18"/>
              </w:rPr>
              <w:t>$2,160,000.00 ($180,000.00 per month; $60.00 per rentable square foot per annum), subject to annual escalation per Section 4.2</w:t>
            </w:r>
          </w:p>
        </w:tc>
      </w:tr>
      <w:tr>
        <w:tc>
          <w:tcPr>
            <w:tcW w:type="dxa" w:w="4320"/>
          </w:tcPr>
          <w:p>
            <w:pPr>
              <w:spacing w:line="276" w:lineRule="auto" w:before="20" w:after="20"/>
            </w:pPr>
            <w:r/>
            <w:r>
              <w:rPr>
                <w:rFonts w:ascii="Times New Roman" w:hAnsi="Times New Roman"/>
                <w:b/>
                <w:color w:val="000000"/>
                <w:sz w:val="18"/>
              </w:rPr>
              <w:t>Security Deposit</w:t>
            </w:r>
            <w:r>
              <w:rPr>
                <w:rFonts w:ascii="Times New Roman" w:hAnsi="Times New Roman"/>
                <w:color w:val="000000"/>
                <w:sz w:val="18"/>
              </w:rPr>
              <w:t xml:space="preserve"> </w:t>
            </w:r>
            <w:r>
              <w:rPr>
                <w:rFonts w:ascii="Times New Roman" w:hAnsi="Times New Roman"/>
                <w:i/>
                <w:color w:val="000000"/>
                <w:sz w:val="18"/>
              </w:rPr>
              <w:t>(Section 5)</w:t>
            </w:r>
          </w:p>
        </w:tc>
        <w:tc>
          <w:tcPr>
            <w:tcW w:type="dxa" w:w="4320"/>
          </w:tcPr>
          <w:p>
            <w:pPr>
              <w:spacing w:line="276" w:lineRule="auto" w:before="20" w:after="20"/>
            </w:pPr>
            <w:r/>
            <w:r>
              <w:rPr>
                <w:rFonts w:ascii="Times New Roman" w:hAnsi="Times New Roman"/>
                <w:color w:val="000000"/>
                <w:sz w:val="18"/>
              </w:rPr>
              <w:t>$360,000.00</w:t>
            </w:r>
          </w:p>
        </w:tc>
      </w:tr>
      <w:tr>
        <w:tc>
          <w:tcPr>
            <w:tcW w:type="dxa" w:w="4320"/>
          </w:tcPr>
          <w:p>
            <w:pPr>
              <w:spacing w:line="276" w:lineRule="auto" w:before="20" w:after="20"/>
            </w:pPr>
            <w:r/>
            <w:r>
              <w:rPr>
                <w:rFonts w:ascii="Times New Roman" w:hAnsi="Times New Roman"/>
                <w:b/>
                <w:color w:val="000000"/>
                <w:sz w:val="18"/>
              </w:rPr>
              <w:t>Permitted Use</w:t>
            </w:r>
            <w:r>
              <w:rPr>
                <w:rFonts w:ascii="Times New Roman" w:hAnsi="Times New Roman"/>
                <w:color w:val="000000"/>
                <w:sz w:val="18"/>
              </w:rPr>
              <w:t xml:space="preserve"> </w:t>
            </w:r>
            <w:r>
              <w:rPr>
                <w:rFonts w:ascii="Times New Roman" w:hAnsi="Times New Roman"/>
                <w:i/>
                <w:color w:val="000000"/>
                <w:sz w:val="18"/>
              </w:rPr>
              <w:t>(Section 6)</w:t>
            </w:r>
          </w:p>
        </w:tc>
        <w:tc>
          <w:tcPr>
            <w:tcW w:type="dxa" w:w="4320"/>
          </w:tcPr>
          <w:p>
            <w:pPr>
              <w:spacing w:line="276" w:lineRule="auto" w:before="20" w:after="20"/>
            </w:pPr>
            <w:r/>
            <w:r>
              <w:rPr>
                <w:rFonts w:ascii="Times New Roman" w:hAnsi="Times New Roman"/>
                <w:color w:val="000000"/>
                <w:sz w:val="18"/>
              </w:rPr>
              <w:t>General office, administrative, and engineering design use in connection with Tenant's business of designing and manufacturing precision fluid control systems</w:t>
            </w:r>
          </w:p>
        </w:tc>
      </w:tr>
      <w:tr>
        <w:tc>
          <w:tcPr>
            <w:tcW w:type="dxa" w:w="4320"/>
          </w:tcPr>
          <w:p>
            <w:pPr>
              <w:spacing w:line="276" w:lineRule="auto" w:before="20" w:after="20"/>
            </w:pPr>
            <w:r/>
            <w:r>
              <w:rPr>
                <w:rFonts w:ascii="Times New Roman" w:hAnsi="Times New Roman"/>
                <w:b/>
                <w:color w:val="000000"/>
                <w:sz w:val="18"/>
              </w:rPr>
              <w:t>Parking</w:t>
            </w:r>
            <w:r>
              <w:rPr>
                <w:rFonts w:ascii="Times New Roman" w:hAnsi="Times New Roman"/>
                <w:color w:val="000000"/>
                <w:sz w:val="18"/>
              </w:rPr>
              <w:t xml:space="preserve"> </w:t>
            </w:r>
            <w:r>
              <w:rPr>
                <w:rFonts w:ascii="Times New Roman" w:hAnsi="Times New Roman"/>
                <w:i/>
                <w:color w:val="000000"/>
                <w:sz w:val="18"/>
              </w:rPr>
              <w:t>(Section 18)</w:t>
            </w:r>
          </w:p>
        </w:tc>
        <w:tc>
          <w:tcPr>
            <w:tcW w:type="dxa" w:w="4320"/>
          </w:tcPr>
          <w:p>
            <w:pPr>
              <w:spacing w:line="276" w:lineRule="auto" w:before="20" w:after="20"/>
            </w:pPr>
            <w:r/>
            <w:r>
              <w:rPr>
                <w:rFonts w:ascii="Times New Roman" w:hAnsi="Times New Roman"/>
                <w:color w:val="000000"/>
                <w:sz w:val="18"/>
              </w:rPr>
              <w:t>108 unreserved parking spaces in the Building garage</w:t>
            </w:r>
          </w:p>
        </w:tc>
      </w:tr>
    </w:tbl>
    <w:p/>
    <w:p>
      <w:r>
        <w:br w:type="page"/>
      </w:r>
    </w:p>
    <w:p>
      <w:pPr>
        <w:keepNext/>
        <w:spacing w:line="276" w:lineRule="auto" w:before="120" w:after="240"/>
        <w:jc w:val="center"/>
      </w:pPr>
      <w:r>
        <w:rPr>
          <w:rFonts w:ascii="Times New Roman" w:hAnsi="Times New Roman"/>
          <w:b/>
          <w:color w:val="000000"/>
          <w:sz w:val="28"/>
          <w:u w:val="single"/>
        </w:rPr>
        <w:t>SECTION 2 — DEFINITIONS</w:t>
      </w:r>
    </w:p>
    <w:p>
      <w:pPr>
        <w:spacing w:line="276" w:lineRule="auto" w:before="0" w:after="120"/>
        <w:jc w:val="both"/>
      </w:pPr>
      <w:r>
        <w:rPr>
          <w:rFonts w:ascii="Times New Roman" w:hAnsi="Times New Roman"/>
          <w:color w:val="000000"/>
          <w:sz w:val="22"/>
        </w:rPr>
        <w:t>As used in this Lease, the following terms shall have the meanings set forth below. Capitalized terms used but not otherwise defined herein shall have the meanings ascribed to them in Section 1.</w:t>
      </w:r>
    </w:p>
    <w:p>
      <w:pPr>
        <w:spacing w:line="276" w:lineRule="auto" w:before="0" w:after="120"/>
        <w:jc w:val="both"/>
      </w:pPr>
      <w:r>
        <w:rPr>
          <w:rFonts w:ascii="Times New Roman" w:hAnsi="Times New Roman"/>
          <w:b/>
          <w:color w:val="000000"/>
          <w:sz w:val="22"/>
        </w:rPr>
        <w:t>"Affiliate"</w:t>
      </w:r>
      <w:r>
        <w:rPr>
          <w:rFonts w:ascii="Times New Roman" w:hAnsi="Times New Roman"/>
          <w:color w:val="000000"/>
          <w:sz w:val="22"/>
        </w:rPr>
        <w:t xml:space="preserve"> means, with respect to any party, any entity controlling, controlled by, or under common control with such party. For purposes of this definition, "control" means the ownership, directly or indirectly, of more than fifty percent (50%) of the voting interests of such entity, or the possession of the power to direct or cause the direction of the management and policies of such entity, whether through the ownership of voting securities, by contract, or otherwise.</w:t>
      </w:r>
    </w:p>
    <w:p>
      <w:pPr>
        <w:spacing w:line="276" w:lineRule="auto" w:before="0" w:after="120"/>
        <w:jc w:val="both"/>
      </w:pPr>
      <w:r>
        <w:rPr>
          <w:rFonts w:ascii="Times New Roman" w:hAnsi="Times New Roman"/>
          <w:b/>
          <w:color w:val="000000"/>
          <w:sz w:val="22"/>
        </w:rPr>
        <w:t>"Building"</w:t>
      </w:r>
      <w:r>
        <w:rPr>
          <w:rFonts w:ascii="Times New Roman" w:hAnsi="Times New Roman"/>
          <w:color w:val="000000"/>
          <w:sz w:val="22"/>
        </w:rPr>
        <w:t xml:space="preserve"> means the office building known as Crescent Ridge Tower, located at 4200 Crescent Ridge Parkway, Cincinnati, OH 45202, consisting of approximately 250,000 rentable square feet.</w:t>
      </w:r>
    </w:p>
    <w:p>
      <w:pPr>
        <w:spacing w:line="276" w:lineRule="auto" w:before="0" w:after="120"/>
        <w:jc w:val="both"/>
      </w:pPr>
      <w:r>
        <w:rPr>
          <w:rFonts w:ascii="Times New Roman" w:hAnsi="Times New Roman"/>
          <w:b/>
          <w:color w:val="000000"/>
          <w:sz w:val="22"/>
        </w:rPr>
        <w:t>"Common Areas"</w:t>
      </w:r>
      <w:r>
        <w:rPr>
          <w:rFonts w:ascii="Times New Roman" w:hAnsi="Times New Roman"/>
          <w:color w:val="000000"/>
          <w:sz w:val="22"/>
        </w:rPr>
        <w:t xml:space="preserve"> means all areas and facilities within the Building and the land upon which it is situated that are provided and designated by Landlord from time to time for the general non-exclusive use of Landlord, Tenant, other tenants of the Building, and their respective employees, invitees, and guests, including without limitation lobbies, corridors, stairways, elevators, restrooms, mechanical areas, loading areas, parking facilities, driveways, sidewalks, and landscaped areas.</w:t>
      </w:r>
    </w:p>
    <w:p>
      <w:pPr>
        <w:spacing w:line="276" w:lineRule="auto" w:before="0" w:after="120"/>
        <w:jc w:val="both"/>
      </w:pPr>
      <w:r>
        <w:rPr>
          <w:rFonts w:ascii="Times New Roman" w:hAnsi="Times New Roman"/>
          <w:b/>
          <w:color w:val="000000"/>
          <w:sz w:val="22"/>
        </w:rPr>
        <w:t>"Landlord"</w:t>
      </w:r>
      <w:r>
        <w:rPr>
          <w:rFonts w:ascii="Times New Roman" w:hAnsi="Times New Roman"/>
          <w:color w:val="000000"/>
          <w:sz w:val="22"/>
        </w:rPr>
        <w:t xml:space="preserve"> means Crescent Ridge Realty Partners, LP, an Ohio limited partnership, and its successors and assigns.</w:t>
      </w:r>
    </w:p>
    <w:p>
      <w:pPr>
        <w:spacing w:line="276" w:lineRule="auto" w:before="0" w:after="120"/>
        <w:jc w:val="both"/>
      </w:pPr>
      <w:r>
        <w:rPr>
          <w:rFonts w:ascii="Times New Roman" w:hAnsi="Times New Roman"/>
          <w:b/>
          <w:color w:val="000000"/>
          <w:sz w:val="22"/>
        </w:rPr>
        <w:t>"Lease Year"</w:t>
      </w:r>
      <w:r>
        <w:rPr>
          <w:rFonts w:ascii="Times New Roman" w:hAnsi="Times New Roman"/>
          <w:color w:val="000000"/>
          <w:sz w:val="22"/>
        </w:rPr>
        <w:t xml:space="preserve"> means each twelve (12) month period commencing on July 1 of each calendar year during the Term, with the first Lease Year commencing on the Commencement Date.</w:t>
      </w:r>
    </w:p>
    <w:p>
      <w:pPr>
        <w:spacing w:line="276" w:lineRule="auto" w:before="0" w:after="120"/>
        <w:jc w:val="both"/>
      </w:pPr>
      <w:r>
        <w:rPr>
          <w:rFonts w:ascii="Times New Roman" w:hAnsi="Times New Roman"/>
          <w:b/>
          <w:color w:val="000000"/>
          <w:sz w:val="22"/>
        </w:rPr>
        <w:t>"Permitted Use"</w:t>
      </w:r>
      <w:r>
        <w:rPr>
          <w:rFonts w:ascii="Times New Roman" w:hAnsi="Times New Roman"/>
          <w:color w:val="000000"/>
          <w:sz w:val="22"/>
        </w:rPr>
        <w:t xml:space="preserve"> has the meaning set forth in Section 1.</w:t>
      </w:r>
    </w:p>
    <w:p>
      <w:pPr>
        <w:spacing w:line="276" w:lineRule="auto" w:before="0" w:after="120"/>
        <w:jc w:val="both"/>
      </w:pPr>
      <w:r>
        <w:rPr>
          <w:rFonts w:ascii="Times New Roman" w:hAnsi="Times New Roman"/>
          <w:b/>
          <w:color w:val="000000"/>
          <w:sz w:val="22"/>
        </w:rPr>
        <w:t>"Premises"</w:t>
      </w:r>
      <w:r>
        <w:rPr>
          <w:rFonts w:ascii="Times New Roman" w:hAnsi="Times New Roman"/>
          <w:color w:val="000000"/>
          <w:sz w:val="22"/>
        </w:rPr>
        <w:t xml:space="preserve"> has the meaning set forth in Section 1 and is depicted on Exhibit A.</w:t>
      </w:r>
    </w:p>
    <w:p>
      <w:pPr>
        <w:spacing w:line="276" w:lineRule="auto" w:before="0" w:after="120"/>
        <w:jc w:val="both"/>
      </w:pPr>
      <w:r>
        <w:rPr>
          <w:rFonts w:ascii="Times New Roman" w:hAnsi="Times New Roman"/>
          <w:b/>
          <w:color w:val="000000"/>
          <w:sz w:val="22"/>
        </w:rPr>
        <w:t>"Property Manager"</w:t>
      </w:r>
      <w:r>
        <w:rPr>
          <w:rFonts w:ascii="Times New Roman" w:hAnsi="Times New Roman"/>
          <w:color w:val="000000"/>
          <w:sz w:val="22"/>
        </w:rPr>
        <w:t xml:space="preserve"> means Harmon Property Group, LLC, or such other property management company as Landlord may from time to time designate by written notice to Tenant.</w:t>
      </w:r>
    </w:p>
    <w:p>
      <w:pPr>
        <w:spacing w:line="276" w:lineRule="auto" w:before="0" w:after="120"/>
        <w:jc w:val="both"/>
      </w:pPr>
      <w:r>
        <w:rPr>
          <w:rFonts w:ascii="Times New Roman" w:hAnsi="Times New Roman"/>
          <w:b/>
          <w:color w:val="000000"/>
          <w:sz w:val="22"/>
        </w:rPr>
        <w:t>"Rent"</w:t>
      </w:r>
      <w:r>
        <w:rPr>
          <w:rFonts w:ascii="Times New Roman" w:hAnsi="Times New Roman"/>
          <w:color w:val="000000"/>
          <w:sz w:val="22"/>
        </w:rPr>
        <w:t xml:space="preserve"> means, collectively, Base Rent and Additional Rent.</w:t>
      </w:r>
    </w:p>
    <w:p>
      <w:pPr>
        <w:spacing w:line="276" w:lineRule="auto" w:before="0" w:after="120"/>
        <w:jc w:val="both"/>
      </w:pPr>
      <w:r>
        <w:rPr>
          <w:rFonts w:ascii="Times New Roman" w:hAnsi="Times New Roman"/>
          <w:b/>
          <w:color w:val="000000"/>
          <w:sz w:val="22"/>
        </w:rPr>
        <w:t>"Tenant"</w:t>
      </w:r>
      <w:r>
        <w:rPr>
          <w:rFonts w:ascii="Times New Roman" w:hAnsi="Times New Roman"/>
          <w:color w:val="000000"/>
          <w:sz w:val="22"/>
        </w:rPr>
        <w:t xml:space="preserve"> means Apex Industrial Technologies, Inc., a Delaware corporation, and its permitted successors and assigns; provided, however, that no assignee, transferee, or other third party shall be deemed a "permitted" successor or assign absent strict compliance with Section 22 of this Lease.</w:t>
      </w:r>
    </w:p>
    <w:p>
      <w:pPr>
        <w:spacing w:line="276" w:lineRule="auto" w:before="0" w:after="120"/>
        <w:jc w:val="both"/>
      </w:pPr>
      <w:r>
        <w:rPr>
          <w:rFonts w:ascii="Times New Roman" w:hAnsi="Times New Roman"/>
          <w:b/>
          <w:color w:val="000000"/>
          <w:sz w:val="22"/>
        </w:rPr>
        <w:t>"Tenant's Share"</w:t>
      </w:r>
      <w:r>
        <w:rPr>
          <w:rFonts w:ascii="Times New Roman" w:hAnsi="Times New Roman"/>
          <w:color w:val="000000"/>
          <w:sz w:val="22"/>
        </w:rPr>
        <w:t xml:space="preserve"> means fourteen and four-tenths percent (14.4%), calculated as the ratio of the rentable square footage of the Premises (36,000 RSF) to the total rentable square footage of the Building (250,000 RSF).</w:t>
      </w:r>
    </w:p>
    <w:p>
      <w:r>
        <w:br w:type="page"/>
      </w:r>
    </w:p>
    <w:p>
      <w:pPr>
        <w:keepNext/>
        <w:spacing w:line="276" w:lineRule="auto" w:before="120" w:after="240"/>
        <w:jc w:val="center"/>
      </w:pPr>
      <w:r>
        <w:rPr>
          <w:rFonts w:ascii="Times New Roman" w:hAnsi="Times New Roman"/>
          <w:b/>
          <w:color w:val="000000"/>
          <w:sz w:val="28"/>
          <w:u w:val="single"/>
        </w:rPr>
        <w:t>SECTION 3 — PREMISES AND TERM</w:t>
      </w:r>
    </w:p>
    <w:p>
      <w:pPr>
        <w:keepNext/>
        <w:spacing w:line="276" w:lineRule="auto" w:before="360" w:after="120"/>
        <w:jc w:val="left"/>
      </w:pPr>
      <w:r>
        <w:rPr>
          <w:rFonts w:ascii="Times New Roman" w:hAnsi="Times New Roman"/>
          <w:b/>
          <w:color w:val="000000"/>
          <w:sz w:val="22"/>
          <w:u w:val="single"/>
        </w:rPr>
        <w:t>3.1 Grant of Lease</w:t>
      </w:r>
    </w:p>
    <w:p>
      <w:pPr>
        <w:spacing w:line="276" w:lineRule="auto" w:before="0" w:after="120"/>
        <w:jc w:val="both"/>
      </w:pPr>
      <w:r>
        <w:rPr>
          <w:rFonts w:ascii="Times New Roman" w:hAnsi="Times New Roman"/>
          <w:color w:val="000000"/>
          <w:sz w:val="22"/>
        </w:rPr>
        <w:t>Landlord hereby leases to Tenant, and Tenant hereby leases from Landlord, the Premises for the Term, subject to and upon all of the terms, covenants, and conditions set forth in this Lease. Tenant accepts the Premises in their "as-is" condition as of the Commencement Date, subject to Landlord's completion of tenant improvements pursuant to the Work Letter attached hereto as Exhibit C.</w:t>
      </w:r>
    </w:p>
    <w:p>
      <w:pPr>
        <w:keepNext/>
        <w:spacing w:line="276" w:lineRule="auto" w:before="360" w:after="120"/>
        <w:jc w:val="left"/>
      </w:pPr>
      <w:r>
        <w:rPr>
          <w:rFonts w:ascii="Times New Roman" w:hAnsi="Times New Roman"/>
          <w:b/>
          <w:color w:val="000000"/>
          <w:sz w:val="22"/>
          <w:u w:val="single"/>
        </w:rPr>
        <w:t>3.2 Term</w:t>
      </w:r>
    </w:p>
    <w:p>
      <w:pPr>
        <w:spacing w:line="276" w:lineRule="auto" w:before="0" w:after="120"/>
        <w:jc w:val="both"/>
      </w:pPr>
      <w:r>
        <w:rPr>
          <w:rFonts w:ascii="Times New Roman" w:hAnsi="Times New Roman"/>
          <w:color w:val="000000"/>
          <w:sz w:val="22"/>
        </w:rPr>
        <w:t>The term of this Lease (the "Term") shall commence on July 1, 2018 (the "Commencement Date") and shall expire on June 30, 2028 (the "Expiration Date"), unless sooner terminated in accordance with the terms and conditions of this Lease.</w:t>
      </w:r>
    </w:p>
    <w:p>
      <w:pPr>
        <w:keepNext/>
        <w:spacing w:line="276" w:lineRule="auto" w:before="360" w:after="120"/>
        <w:jc w:val="left"/>
      </w:pPr>
      <w:r>
        <w:rPr>
          <w:rFonts w:ascii="Times New Roman" w:hAnsi="Times New Roman"/>
          <w:b/>
          <w:color w:val="000000"/>
          <w:sz w:val="22"/>
          <w:u w:val="single"/>
        </w:rPr>
        <w:t>3.3 Renewal Option</w:t>
      </w:r>
    </w:p>
    <w:p>
      <w:pPr>
        <w:spacing w:line="276" w:lineRule="auto" w:before="0" w:after="120"/>
        <w:jc w:val="both"/>
      </w:pPr>
      <w:r>
        <w:rPr>
          <w:rFonts w:ascii="Times New Roman" w:hAnsi="Times New Roman"/>
          <w:color w:val="000000"/>
          <w:sz w:val="22"/>
        </w:rPr>
        <w:t>Tenant shall have one (1) option to renew this Lease for an additional five (5) year term (the "Renewal Term"), commencing on July 1, 2028 and expiring on June 30, 2033, upon the same terms and conditions as this Lease except that Base Rent during the Renewal Term shall be the then-prevailing Fair Market Rent determined in accordance with Section 3.4. To exercise the Renewal Option, Tenant shall deliver written notice to Landlord no later than twelve (12) months prior to the Expiration Date (i.e., no later than June 30, 2027). The Renewal Option is personal to Apex Industrial Technologies, Inc. and may not be exercised by or on behalf of any assignee, sublessee, or transferee without Landlord's prior written consent, which may be withheld in Landlord's sole discretion.</w:t>
      </w:r>
    </w:p>
    <w:p>
      <w:pPr>
        <w:keepNext/>
        <w:spacing w:line="276" w:lineRule="auto" w:before="360" w:after="120"/>
        <w:jc w:val="left"/>
      </w:pPr>
      <w:r>
        <w:rPr>
          <w:rFonts w:ascii="Times New Roman" w:hAnsi="Times New Roman"/>
          <w:b/>
          <w:color w:val="000000"/>
          <w:sz w:val="22"/>
          <w:u w:val="single"/>
        </w:rPr>
        <w:t>3.4 Fair Market Rent Determination</w:t>
      </w:r>
    </w:p>
    <w:p>
      <w:pPr>
        <w:spacing w:line="276" w:lineRule="auto" w:before="0" w:after="120"/>
        <w:jc w:val="both"/>
      </w:pPr>
      <w:r>
        <w:rPr>
          <w:rFonts w:ascii="Times New Roman" w:hAnsi="Times New Roman"/>
          <w:color w:val="000000"/>
          <w:sz w:val="22"/>
        </w:rPr>
        <w:t>"Fair Market Rent" shall mean the annual rent per rentable square foot that a willing tenant would pay, and a willing landlord would accept, for comparable space in comparable Class A office buildings in the Cincinnati, Ohio metropolitan area, taking into account the age, quality, and location of the Building, the floor level of the Premises, the length of the Renewal Term, and then-current market concessions. If Landlord and Tenant are unable to agree upon Fair Market Rent within thirty (30) days after Tenant's exercise of the Renewal Option, either party may submit the determination to a licensed commercial real estate appraiser with at least ten (10) years of experience in the Cincinnati office market. If the parties cannot agree on a single appraiser, each party shall select one appraiser and the two appointed appraisers shall select a third. The determination of Fair Market Rent by the third appraiser shall be binding on both parties.</w:t>
      </w:r>
    </w:p>
    <w:p>
      <w:r>
        <w:br w:type="page"/>
      </w:r>
    </w:p>
    <w:p>
      <w:pPr>
        <w:keepNext/>
        <w:spacing w:line="276" w:lineRule="auto" w:before="120" w:after="240"/>
        <w:jc w:val="center"/>
      </w:pPr>
      <w:r>
        <w:rPr>
          <w:rFonts w:ascii="Times New Roman" w:hAnsi="Times New Roman"/>
          <w:b/>
          <w:color w:val="000000"/>
          <w:sz w:val="28"/>
          <w:u w:val="single"/>
        </w:rPr>
        <w:t>SECTION 4 — RENT</w:t>
      </w:r>
    </w:p>
    <w:p>
      <w:pPr>
        <w:keepNext/>
        <w:spacing w:line="276" w:lineRule="auto" w:before="360" w:after="120"/>
        <w:jc w:val="left"/>
      </w:pPr>
      <w:r>
        <w:rPr>
          <w:rFonts w:ascii="Times New Roman" w:hAnsi="Times New Roman"/>
          <w:b/>
          <w:color w:val="000000"/>
          <w:sz w:val="22"/>
          <w:u w:val="single"/>
        </w:rPr>
        <w:t>4.1 Base Rent</w:t>
      </w:r>
    </w:p>
    <w:p>
      <w:pPr>
        <w:spacing w:line="276" w:lineRule="auto" w:before="0" w:after="120"/>
        <w:jc w:val="both"/>
      </w:pPr>
      <w:r>
        <w:rPr>
          <w:rFonts w:ascii="Times New Roman" w:hAnsi="Times New Roman"/>
          <w:color w:val="000000"/>
          <w:sz w:val="22"/>
        </w:rPr>
        <w:t>Tenant shall pay to Landlord annual Base Rent in the amount of Two Million One Hundred Sixty Thousand Dollars ($2,160,000.00), payable in equal monthly installments of One Hundred Eighty Thousand Dollars ($180,000.00) each, in advance on the first day of each calendar month during the Term. Base Rent shall be payable without prior demand, invoice, notice, setoff, abatement, or deduction of any kind, except as expressly provided in this Lease. If the Commencement Date or the Expiration Date falls on a day other than the first day of a calendar month, Base Rent for such partial month shall be prorated on a per diem basis.</w:t>
      </w:r>
    </w:p>
    <w:p>
      <w:pPr>
        <w:keepNext/>
        <w:spacing w:line="276" w:lineRule="auto" w:before="360" w:after="120"/>
        <w:jc w:val="left"/>
      </w:pPr>
      <w:r>
        <w:rPr>
          <w:rFonts w:ascii="Times New Roman" w:hAnsi="Times New Roman"/>
          <w:b/>
          <w:color w:val="000000"/>
          <w:sz w:val="22"/>
          <w:u w:val="single"/>
        </w:rPr>
        <w:t>4.2 Annual Escalation</w:t>
      </w:r>
    </w:p>
    <w:p>
      <w:pPr>
        <w:spacing w:line="276" w:lineRule="auto" w:before="0" w:after="120"/>
        <w:jc w:val="both"/>
      </w:pPr>
      <w:r>
        <w:rPr>
          <w:rFonts w:ascii="Times New Roman" w:hAnsi="Times New Roman"/>
          <w:color w:val="000000"/>
          <w:sz w:val="22"/>
        </w:rPr>
        <w:t>Beginning on the first anniversary of the Commencement Date (July 1, 2019) and on each anniversary of the Commencement Date thereafter during the Term, the annual Base Rent then in effect shall increase by two and one-half percent (2.5%) over the Base Rent payable during the immediately preceding Lease Year. The initial annual Base Rent set forth in Section 1 and Section 4.1 ($2,160,000.00; $180,000.00 per month) shall serve as the base upon which the first such escalation is calculated. For the avoidance of doubt, the annual escalation shall be compounded (i.e., each year's increase shall be calculated on the prior year's escalated Base Rent). Notwithstanding the foregoing, for purposes of calculating the Early Termination Fee set forth in Section 22.4(b), such fee shall be calculated using the initial monthly Base Rent of $180,000.00 as set forth in Section 1.</w:t>
      </w:r>
    </w:p>
    <w:p>
      <w:pPr>
        <w:keepNext/>
        <w:spacing w:line="276" w:lineRule="auto" w:before="360" w:after="120"/>
        <w:jc w:val="left"/>
      </w:pPr>
      <w:r>
        <w:rPr>
          <w:rFonts w:ascii="Times New Roman" w:hAnsi="Times New Roman"/>
          <w:b/>
          <w:color w:val="000000"/>
          <w:sz w:val="22"/>
          <w:u w:val="single"/>
        </w:rPr>
        <w:t>4.3 Additional Rent — Operating Expenses</w:t>
      </w:r>
    </w:p>
    <w:p>
      <w:pPr>
        <w:spacing w:line="276" w:lineRule="auto" w:before="0" w:after="120"/>
        <w:jc w:val="both"/>
      </w:pPr>
      <w:r>
        <w:rPr>
          <w:rFonts w:ascii="Times New Roman" w:hAnsi="Times New Roman"/>
          <w:color w:val="000000"/>
          <w:sz w:val="22"/>
        </w:rPr>
        <w:t>In addition to Base Rent, Tenant shall pay as Additional Rent Tenant's Share (14.4%) of Building operating expenses incurred by Landlord in any calendar year during the Term that exceed the Building operating expenses incurred during the base year (calendar year 2018). "Operating expenses" shall include, without limitation, property taxes, insurance premiums, utilities, management fees (not to exceed four percent (4%) of gross revenues), maintenance and repair costs, janitorial services, landscaping, security, and other customary costs of operating a Class A office building. Landlord shall provide Tenant with a statement of actual operating expenses for each calendar year within one hundred twenty (120) days after the end of such calendar year. Tenant shall have the right, at its sole cost and expense, to audit Landlord's operating expense records within ninety (90) days after receipt of each annual statement.</w:t>
      </w:r>
    </w:p>
    <w:p>
      <w:pPr>
        <w:keepNext/>
        <w:spacing w:line="276" w:lineRule="auto" w:before="360" w:after="120"/>
        <w:jc w:val="left"/>
      </w:pPr>
      <w:r>
        <w:rPr>
          <w:rFonts w:ascii="Times New Roman" w:hAnsi="Times New Roman"/>
          <w:b/>
          <w:color w:val="000000"/>
          <w:sz w:val="22"/>
          <w:u w:val="single"/>
        </w:rPr>
        <w:t>4.4 Late Payment</w:t>
      </w:r>
    </w:p>
    <w:p>
      <w:pPr>
        <w:spacing w:line="276" w:lineRule="auto" w:before="0" w:after="120"/>
        <w:jc w:val="both"/>
      </w:pPr>
      <w:r>
        <w:rPr>
          <w:rFonts w:ascii="Times New Roman" w:hAnsi="Times New Roman"/>
          <w:color w:val="000000"/>
          <w:sz w:val="22"/>
        </w:rPr>
        <w:t>If any installment of Rent is not received by Landlord within ten (10) days after the date on which such installment is due, Tenant shall pay a late fee equal to five percent (5%) of the overdue amount. In addition, any Rent not paid within ten (10) days of its due date shall bear interest from the due date until paid at the rate of one and one-half percent (1.5%) per month, or the maximum rate permitted by applicable law, whichever is less. The late fee and interest charges set forth herein shall not be deemed to constitute a waiver of any Event of Default by Tenant.</w:t>
      </w:r>
    </w:p>
    <w:p>
      <w:r>
        <w:br w:type="page"/>
      </w:r>
    </w:p>
    <w:p>
      <w:pPr>
        <w:keepNext/>
        <w:spacing w:line="276" w:lineRule="auto" w:before="120" w:after="240"/>
        <w:jc w:val="center"/>
      </w:pPr>
      <w:r>
        <w:rPr>
          <w:rFonts w:ascii="Times New Roman" w:hAnsi="Times New Roman"/>
          <w:b/>
          <w:color w:val="000000"/>
          <w:sz w:val="28"/>
          <w:u w:val="single"/>
        </w:rPr>
        <w:t>SECTION 5 — SECURITY DEPOSIT</w:t>
      </w:r>
    </w:p>
    <w:p>
      <w:pPr>
        <w:spacing w:line="276" w:lineRule="auto" w:before="0" w:after="120"/>
        <w:jc w:val="both"/>
      </w:pPr>
      <w:r>
        <w:rPr>
          <w:rFonts w:ascii="Times New Roman" w:hAnsi="Times New Roman"/>
          <w:color w:val="000000"/>
          <w:sz w:val="22"/>
        </w:rPr>
        <w:t>Concurrently with the execution of this Lease, Tenant has deposited with Landlord the sum of Three Hundred Sixty Thousand Dollars ($360,000.00) as a security deposit (the "Security Deposit"). The Security Deposit shall be held by Landlord as security for the faithful performance by Tenant of all terms, covenants, and conditions of this Lease. Landlord may commingle the Security Deposit with its other funds and shall not be required to pay interest thereon. If Tenant defaults in the performance of any provision of this Lease, including without limitation the payment of Rent or any amounts owed under Section 22.4, Landlord may apply all or any portion of the Security Deposit to cure such default, and Tenant shall, within ten (10) days after written notice from Landlord, replenish the Security Deposit to its original amount. Provided that Tenant is not in default under this Lease, Landlord shall return the Security Deposit (or the balance remaining after any permitted applications) to Tenant within sixty (60) days after the expiration or earlier termination of this Lease and Tenant's surrender of the Premises in accordance with Section 20.</w:t>
      </w:r>
    </w:p>
    <w:p>
      <w:pPr>
        <w:keepNext/>
        <w:spacing w:line="276" w:lineRule="auto" w:before="120" w:after="240"/>
        <w:jc w:val="center"/>
      </w:pPr>
      <w:r>
        <w:rPr>
          <w:rFonts w:ascii="Times New Roman" w:hAnsi="Times New Roman"/>
          <w:b/>
          <w:color w:val="000000"/>
          <w:sz w:val="28"/>
          <w:u w:val="single"/>
        </w:rPr>
        <w:t>SECTION 6 — USE OF PREMISES</w:t>
      </w:r>
    </w:p>
    <w:p>
      <w:pPr>
        <w:spacing w:line="276" w:lineRule="auto" w:before="0" w:after="120"/>
        <w:jc w:val="both"/>
      </w:pPr>
      <w:r>
        <w:rPr>
          <w:rFonts w:ascii="Times New Roman" w:hAnsi="Times New Roman"/>
          <w:color w:val="000000"/>
          <w:sz w:val="22"/>
        </w:rPr>
        <w:t>The Premises shall be used and occupied solely for the Permitted Use as set forth in Section 1. Tenant shall not use or permit the use of the Premises for any purpose other than the Permitted Use without the prior written consent of Landlord. Tenant shall comply with all applicable federal, state, and local laws, ordinances, codes, rules, and regulations in connection with its use and occupancy of the Premises. Tenant shall not use, store, generate, or dispose of any Hazardous Materials on or about the Premises, except for ordinary office supplies and cleaning products used in commercially reasonable quantities and in compliance with all applicable laws. Tenant shall not use the Premises for manufacturing, warehousing, retail, or any other purpose not within the Permitted Use. Tenant shall not commit or permit any waste, nuisance, or illegal activity on the Premises.</w:t>
      </w:r>
    </w:p>
    <w:p>
      <w:pPr>
        <w:keepNext/>
        <w:spacing w:line="276" w:lineRule="auto" w:before="120" w:after="240"/>
        <w:jc w:val="center"/>
      </w:pPr>
      <w:r>
        <w:rPr>
          <w:rFonts w:ascii="Times New Roman" w:hAnsi="Times New Roman"/>
          <w:b/>
          <w:color w:val="000000"/>
          <w:sz w:val="28"/>
          <w:u w:val="single"/>
        </w:rPr>
        <w:t>SECTION 7 — MAINTENANCE AND REPAIRS</w:t>
      </w:r>
    </w:p>
    <w:p>
      <w:pPr>
        <w:spacing w:line="276" w:lineRule="auto" w:before="0" w:after="120"/>
        <w:jc w:val="both"/>
      </w:pPr>
      <w:r>
        <w:rPr>
          <w:rFonts w:ascii="Times New Roman" w:hAnsi="Times New Roman"/>
          <w:color w:val="000000"/>
          <w:sz w:val="22"/>
        </w:rPr>
        <w:t>Landlord shall be responsible for the maintenance, repair, and replacement of the structural elements of the Building (including the roof, foundation, and exterior walls), the Building systems (including HVAC, plumbing, electrical, and fire protection systems), and the Common Areas, all in good condition and working order. Tenant shall be responsible for the interior maintenance and repair of the Premises, including without limitation interior walls, floor coverings, ceilings, lighting fixtures, doors, and any improvements or fixtures installed by or on behalf of Tenant. Tenant shall maintain the Premises in good condition and repair, reasonable wear and tear and casualty excepted.</w:t>
      </w:r>
    </w:p>
    <w:p>
      <w:pPr>
        <w:keepNext/>
        <w:spacing w:line="276" w:lineRule="auto" w:before="120" w:after="240"/>
        <w:jc w:val="center"/>
      </w:pPr>
      <w:r>
        <w:rPr>
          <w:rFonts w:ascii="Times New Roman" w:hAnsi="Times New Roman"/>
          <w:b/>
          <w:color w:val="000000"/>
          <w:sz w:val="28"/>
          <w:u w:val="single"/>
        </w:rPr>
        <w:t>SECTION 8 — ALTERATIONS AND IMPROVEMENTS</w:t>
      </w:r>
    </w:p>
    <w:p>
      <w:pPr>
        <w:spacing w:line="276" w:lineRule="auto" w:before="0" w:after="120"/>
        <w:jc w:val="both"/>
      </w:pPr>
      <w:r>
        <w:rPr>
          <w:rFonts w:ascii="Times New Roman" w:hAnsi="Times New Roman"/>
          <w:color w:val="000000"/>
          <w:sz w:val="22"/>
        </w:rPr>
        <w:t>Tenant may make non-structural alterations, additions, or improvements to the Premises costing less than Fifty Thousand Dollars ($50,000.00) in the aggregate in any Lease Year without obtaining Landlord's prior written consent, provided that Tenant delivers written notice to Landlord at least ten (10) days prior to commencing such work. Structural alterations and non-structural alterations exceeding $50,000.00 in any Lease Year shall require Landlord's prior written consent, which consent shall not be unreasonably withheld, conditioned, or delayed. All alterations, additions, and improvements made to the Premises, whether by Landlord or Tenant, shall become the property of Landlord upon installation, unless Landlord notifies Tenant in writing at the time of granting consent that Landlord will require removal of such alterations upon the expiration or earlier termination of the Lease, in which case Tenant shall remove the same and restore the Premises at Tenant's sole cost and expense.</w:t>
      </w:r>
    </w:p>
    <w:p>
      <w:r>
        <w:br w:type="page"/>
      </w:r>
    </w:p>
    <w:p>
      <w:pPr>
        <w:keepNext/>
        <w:spacing w:line="276" w:lineRule="auto" w:before="120" w:after="240"/>
        <w:jc w:val="center"/>
      </w:pPr>
      <w:r>
        <w:rPr>
          <w:rFonts w:ascii="Times New Roman" w:hAnsi="Times New Roman"/>
          <w:b/>
          <w:color w:val="000000"/>
          <w:sz w:val="28"/>
          <w:u w:val="single"/>
        </w:rPr>
        <w:t>SECTION 9 — INSURANCE</w:t>
      </w:r>
    </w:p>
    <w:p>
      <w:pPr>
        <w:keepNext/>
        <w:spacing w:line="276" w:lineRule="auto" w:before="360" w:after="120"/>
        <w:jc w:val="left"/>
      </w:pPr>
      <w:r>
        <w:rPr>
          <w:rFonts w:ascii="Times New Roman" w:hAnsi="Times New Roman"/>
          <w:b/>
          <w:color w:val="000000"/>
          <w:sz w:val="22"/>
          <w:u w:val="single"/>
        </w:rPr>
        <w:t>9.1 Tenant's Insurance</w:t>
      </w:r>
    </w:p>
    <w:p>
      <w:pPr>
        <w:spacing w:line="276" w:lineRule="auto" w:before="0" w:after="120"/>
        <w:jc w:val="both"/>
      </w:pPr>
      <w:r>
        <w:rPr>
          <w:rFonts w:ascii="Times New Roman" w:hAnsi="Times New Roman"/>
          <w:color w:val="000000"/>
          <w:sz w:val="22"/>
        </w:rPr>
        <w:t>Tenant shall maintain throughout the Term, at Tenant's sole cost and expense: (a) commercial general liability insurance with limits of not less than Two Million Dollars ($2,000,000.00) per occurrence and Five Million Dollars ($5,000,000.00) in the aggregate; (b) property insurance covering Tenant's personal property, trade fixtures, and Tenant-installed improvements for their full replacement cost; and (c) workers' compensation insurance as required by the laws of the State of Ohio. Landlord and Harmon Property Group, LLC shall be named as additional insureds on Tenant's commercial general liability policy.</w:t>
      </w:r>
    </w:p>
    <w:p>
      <w:pPr>
        <w:keepNext/>
        <w:spacing w:line="276" w:lineRule="auto" w:before="360" w:after="120"/>
        <w:jc w:val="left"/>
      </w:pPr>
      <w:r>
        <w:rPr>
          <w:rFonts w:ascii="Times New Roman" w:hAnsi="Times New Roman"/>
          <w:b/>
          <w:color w:val="000000"/>
          <w:sz w:val="22"/>
          <w:u w:val="single"/>
        </w:rPr>
        <w:t>9.2 Landlord's Insurance</w:t>
      </w:r>
    </w:p>
    <w:p>
      <w:pPr>
        <w:spacing w:line="276" w:lineRule="auto" w:before="0" w:after="120"/>
        <w:jc w:val="both"/>
      </w:pPr>
      <w:r>
        <w:rPr>
          <w:rFonts w:ascii="Times New Roman" w:hAnsi="Times New Roman"/>
          <w:color w:val="000000"/>
          <w:sz w:val="22"/>
        </w:rPr>
        <w:t>Landlord shall maintain property insurance on the Building in an amount not less than the full replacement cost thereof and commercial general liability insurance covering the Common Areas with commercially reasonable limits.</w:t>
      </w:r>
    </w:p>
    <w:p>
      <w:pPr>
        <w:keepNext/>
        <w:spacing w:line="276" w:lineRule="auto" w:before="360" w:after="120"/>
        <w:jc w:val="left"/>
      </w:pPr>
      <w:r>
        <w:rPr>
          <w:rFonts w:ascii="Times New Roman" w:hAnsi="Times New Roman"/>
          <w:b/>
          <w:color w:val="000000"/>
          <w:sz w:val="22"/>
          <w:u w:val="single"/>
        </w:rPr>
        <w:t>9.3 Mutual Waiver of Subrogation</w:t>
      </w:r>
    </w:p>
    <w:p>
      <w:pPr>
        <w:spacing w:line="276" w:lineRule="auto" w:before="0" w:after="120"/>
        <w:jc w:val="both"/>
      </w:pPr>
      <w:r>
        <w:rPr>
          <w:rFonts w:ascii="Times New Roman" w:hAnsi="Times New Roman"/>
          <w:color w:val="000000"/>
          <w:sz w:val="22"/>
        </w:rPr>
        <w:t>Each party hereby waives any right of recovery against the other party, and against the officers, employees, agents, and representatives of the other party, for loss or damage to the extent such loss or damage is covered by proceeds of property insurance maintained (or required to be maintained) by the waiving party under this Lease. Each party shall cause its insurers to issue appropriate waiver of subrogation endorsements.</w:t>
      </w:r>
    </w:p>
    <w:p>
      <w:pPr>
        <w:keepNext/>
        <w:spacing w:line="276" w:lineRule="auto" w:before="120" w:after="240"/>
        <w:jc w:val="center"/>
      </w:pPr>
      <w:r>
        <w:rPr>
          <w:rFonts w:ascii="Times New Roman" w:hAnsi="Times New Roman"/>
          <w:b/>
          <w:color w:val="000000"/>
          <w:sz w:val="28"/>
          <w:u w:val="single"/>
        </w:rPr>
        <w:t>SECTION 10 — INDEMNIFICATION</w:t>
      </w:r>
    </w:p>
    <w:p>
      <w:pPr>
        <w:spacing w:line="276" w:lineRule="auto" w:before="0" w:after="120"/>
        <w:jc w:val="both"/>
      </w:pPr>
      <w:r>
        <w:rPr>
          <w:rFonts w:ascii="Times New Roman" w:hAnsi="Times New Roman"/>
          <w:color w:val="000000"/>
          <w:sz w:val="22"/>
        </w:rPr>
        <w:t>Tenant shall indemnify, defend, and hold harmless Landlord, Property Manager, and their respective partners, members, officers, directors, employees, and agents from and against all claims, damages, losses, liabilities, costs, and expenses (including reasonable attorneys' fees) arising from or related to (a) Tenant's use or occupancy of the Premises, (b) any negligent or wrongful act or omission of Tenant or its agents, employees, contractors, or invitees, or (c) any breach by Tenant of this Lease. Landlord shall indemnify, defend, and hold harmless Tenant and its officers, directors, employees, and agents from and against all claims, damages, losses, liabilities, costs, and expenses (including reasonable attorneys' fees) arising from or related to (a) any negligent or wrongful act or omission of Landlord or its agents, employees, or contractors, or (b) any breach by Landlord of this Lease.</w:t>
      </w:r>
    </w:p>
    <w:p>
      <w:pPr>
        <w:keepNext/>
        <w:spacing w:line="276" w:lineRule="auto" w:before="120" w:after="240"/>
        <w:jc w:val="center"/>
      </w:pPr>
      <w:r>
        <w:rPr>
          <w:rFonts w:ascii="Times New Roman" w:hAnsi="Times New Roman"/>
          <w:b/>
          <w:color w:val="000000"/>
          <w:sz w:val="28"/>
          <w:u w:val="single"/>
        </w:rPr>
        <w:t>SECTION 11 — CASUALTY AND CONDEMNATION</w:t>
      </w:r>
    </w:p>
    <w:p>
      <w:pPr>
        <w:spacing w:line="276" w:lineRule="auto" w:before="0" w:after="120"/>
        <w:jc w:val="both"/>
      </w:pPr>
      <w:r>
        <w:rPr>
          <w:rFonts w:ascii="Times New Roman" w:hAnsi="Times New Roman"/>
          <w:color w:val="000000"/>
          <w:sz w:val="22"/>
        </w:rPr>
        <w:t>If the Premises are damaged by fire or other casualty such that more than forty percent (40%) of the rentable area of the Premises is rendered untenantable, either party may terminate this Lease upon thirty (30) days' written notice to the other party. If neither party so terminates, Landlord shall diligently restore the Premises (exclusive of Tenant's personal property and improvements) to substantially their condition prior to the casualty, and Rent shall be proportionately abated during the period of restoration to the extent the Premises are untenantable. If all or a substantial portion of the Premises is taken by eminent domain or condemnation such that the Premises are rendered unsuitable for the Permitted Use, this Lease shall terminate as of the date of the taking, and Rent shall be apportioned as of such date. Each party shall be entitled to pursue its own condemnation award independently.</w:t>
      </w:r>
    </w:p>
    <w:p>
      <w:r>
        <w:br w:type="page"/>
      </w:r>
    </w:p>
    <w:p>
      <w:pPr>
        <w:keepNext/>
        <w:spacing w:line="276" w:lineRule="auto" w:before="120" w:after="240"/>
        <w:jc w:val="center"/>
      </w:pPr>
      <w:r>
        <w:rPr>
          <w:rFonts w:ascii="Times New Roman" w:hAnsi="Times New Roman"/>
          <w:b/>
          <w:color w:val="000000"/>
          <w:sz w:val="28"/>
          <w:u w:val="single"/>
        </w:rPr>
        <w:t>SECTION 12 — DEFAULT AND REMEDIES</w:t>
      </w:r>
    </w:p>
    <w:p>
      <w:pPr>
        <w:keepNext/>
        <w:spacing w:line="276" w:lineRule="auto" w:before="360" w:after="120"/>
        <w:jc w:val="left"/>
      </w:pPr>
      <w:r>
        <w:rPr>
          <w:rFonts w:ascii="Times New Roman" w:hAnsi="Times New Roman"/>
          <w:b/>
          <w:color w:val="000000"/>
          <w:sz w:val="22"/>
          <w:u w:val="single"/>
        </w:rPr>
        <w:t>12.1 Tenant Events of Default</w:t>
      </w:r>
    </w:p>
    <w:p>
      <w:pPr>
        <w:spacing w:line="276" w:lineRule="auto" w:before="0" w:after="120"/>
        <w:jc w:val="both"/>
      </w:pPr>
      <w:r>
        <w:rPr>
          <w:rFonts w:ascii="Times New Roman" w:hAnsi="Times New Roman"/>
          <w:color w:val="000000"/>
          <w:sz w:val="22"/>
        </w:rPr>
        <w:t>The occurrence of any one or more of the following events shall constitute an "Event of Default" by Tenant under this Lease:</w:t>
      </w:r>
    </w:p>
    <w:p>
      <w:pPr>
        <w:spacing w:line="276" w:lineRule="auto" w:before="0" w:after="120"/>
        <w:ind w:left="432"/>
        <w:jc w:val="both"/>
      </w:pPr>
      <w:r>
        <w:rPr>
          <w:rFonts w:ascii="Times New Roman" w:hAnsi="Times New Roman"/>
          <w:color w:val="000000"/>
          <w:sz w:val="22"/>
        </w:rPr>
        <w:t>(a) Tenant's failure to pay any installment of Rent or any other sum due under this Lease within ten (10) days after written notice from Landlord that such amount is past due;</w:t>
      </w:r>
    </w:p>
    <w:p>
      <w:pPr>
        <w:spacing w:line="276" w:lineRule="auto" w:before="0" w:after="120"/>
        <w:ind w:left="432"/>
        <w:jc w:val="both"/>
      </w:pPr>
      <w:r>
        <w:rPr>
          <w:rFonts w:ascii="Times New Roman" w:hAnsi="Times New Roman"/>
          <w:color w:val="000000"/>
          <w:sz w:val="22"/>
        </w:rPr>
        <w:t>(b) Tenant's failure to perform or observe any other term, covenant, or condition of this Lease to be performed or observed by Tenant, where such failure continues for thirty (30) days after written notice from Landlord specifying the nature of such failure; provided, however, that if the nature of such failure is such that it cannot reasonably be cured within thirty (30) days, Tenant shall not be in default if Tenant commences to cure such failure within such thirty (30) day period and thereafter diligently prosecutes such cure to completion within a reasonable time not to exceed ninety (90) days;</w:t>
      </w:r>
    </w:p>
    <w:p>
      <w:pPr>
        <w:spacing w:line="276" w:lineRule="auto" w:before="0" w:after="120"/>
        <w:ind w:left="432"/>
        <w:jc w:val="both"/>
      </w:pPr>
      <w:r>
        <w:rPr>
          <w:rFonts w:ascii="Times New Roman" w:hAnsi="Times New Roman"/>
          <w:color w:val="000000"/>
          <w:sz w:val="22"/>
        </w:rPr>
        <w:t>(c) Tenant's insolvency, assignment for the benefit of creditors, filing of a voluntary petition in bankruptcy, adjudication as a bankrupt, or the appointment of a receiver or trustee for all or substantially all of Tenant's assets;</w:t>
      </w:r>
    </w:p>
    <w:p>
      <w:pPr>
        <w:spacing w:line="276" w:lineRule="auto" w:before="0" w:after="120"/>
        <w:ind w:left="432"/>
        <w:jc w:val="both"/>
      </w:pPr>
      <w:r>
        <w:rPr>
          <w:rFonts w:ascii="Times New Roman" w:hAnsi="Times New Roman"/>
          <w:color w:val="000000"/>
          <w:sz w:val="22"/>
        </w:rPr>
        <w:t>(d) Tenant's failure to obtain Landlord's prior written consent as required under Section 22 prior to any assignment, sublease, Transfer, or Deemed Assignment (including without limitation any event described in Section 22.2), or any attempt by Tenant to effect a Transfer or Deemed Assignment without strictly complying with the requirements of Section 22; or</w:t>
      </w:r>
    </w:p>
    <w:p>
      <w:pPr>
        <w:spacing w:line="276" w:lineRule="auto" w:before="0" w:after="120"/>
        <w:ind w:left="432"/>
        <w:jc w:val="both"/>
      </w:pPr>
      <w:r>
        <w:rPr>
          <w:rFonts w:ascii="Times New Roman" w:hAnsi="Times New Roman"/>
          <w:color w:val="000000"/>
          <w:sz w:val="22"/>
        </w:rPr>
        <w:t>(e) Tenant's abandonment of the Premises for a period of fifteen (15) or more consecutive days.</w:t>
      </w:r>
    </w:p>
    <w:p>
      <w:pPr>
        <w:keepNext/>
        <w:spacing w:line="276" w:lineRule="auto" w:before="360" w:after="120"/>
        <w:jc w:val="left"/>
      </w:pPr>
      <w:r>
        <w:rPr>
          <w:rFonts w:ascii="Times New Roman" w:hAnsi="Times New Roman"/>
          <w:b/>
          <w:color w:val="000000"/>
          <w:sz w:val="22"/>
          <w:u w:val="single"/>
        </w:rPr>
        <w:t>12.2 Landlord's Remedies</w:t>
      </w:r>
    </w:p>
    <w:p>
      <w:pPr>
        <w:spacing w:line="276" w:lineRule="auto" w:before="0" w:after="120"/>
        <w:jc w:val="both"/>
      </w:pPr>
      <w:r>
        <w:rPr>
          <w:rFonts w:ascii="Times New Roman" w:hAnsi="Times New Roman"/>
          <w:color w:val="000000"/>
          <w:sz w:val="22"/>
        </w:rPr>
        <w:t>Upon the occurrence of an Event of Default by Tenant, Landlord shall have the following remedies, which shall be cumulative and in addition to any other remedies available to Landlord at law or in equity:</w:t>
      </w:r>
    </w:p>
    <w:p>
      <w:pPr>
        <w:spacing w:line="276" w:lineRule="auto" w:before="0" w:after="120"/>
        <w:ind w:left="432"/>
        <w:jc w:val="both"/>
      </w:pPr>
      <w:r>
        <w:rPr>
          <w:rFonts w:ascii="Times New Roman" w:hAnsi="Times New Roman"/>
          <w:color w:val="000000"/>
          <w:sz w:val="22"/>
        </w:rPr>
        <w:t>(a) Landlord may terminate this Lease by giving Tenant written notice of termination, in which event the Term shall expire on the date specified in such notice as though such date were the Expiration Date;</w:t>
      </w:r>
    </w:p>
    <w:p>
      <w:pPr>
        <w:spacing w:line="276" w:lineRule="auto" w:before="0" w:after="120"/>
        <w:ind w:left="432"/>
        <w:jc w:val="both"/>
      </w:pPr>
      <w:r>
        <w:rPr>
          <w:rFonts w:ascii="Times New Roman" w:hAnsi="Times New Roman"/>
          <w:color w:val="000000"/>
          <w:sz w:val="22"/>
        </w:rPr>
        <w:t>(b) Landlord may re-enter and repossess the Premises and remove all persons and property therefrom, without being deemed guilty of trespass;</w:t>
      </w:r>
    </w:p>
    <w:p>
      <w:pPr>
        <w:spacing w:line="276" w:lineRule="auto" w:before="0" w:after="120"/>
        <w:ind w:left="432"/>
        <w:jc w:val="both"/>
      </w:pPr>
      <w:r>
        <w:rPr>
          <w:rFonts w:ascii="Times New Roman" w:hAnsi="Times New Roman"/>
          <w:color w:val="000000"/>
          <w:sz w:val="22"/>
        </w:rPr>
        <w:t>(c) Landlord may accelerate all Rent and other sums that would have become due and payable through the Expiration Date and recover such accelerated amounts from Tenant, discounted to present value at a rate of four percent (4%) per annum;</w:t>
      </w:r>
    </w:p>
    <w:p>
      <w:pPr>
        <w:spacing w:line="276" w:lineRule="auto" w:before="0" w:after="120"/>
        <w:ind w:left="432"/>
        <w:jc w:val="both"/>
      </w:pPr>
      <w:r>
        <w:rPr>
          <w:rFonts w:ascii="Times New Roman" w:hAnsi="Times New Roman"/>
          <w:color w:val="000000"/>
          <w:sz w:val="22"/>
        </w:rPr>
        <w:t>(d) Landlord may exercise any and all rights and remedies available under Section 22.4 with respect to any unauthorized Transfer or Deemed Assignment; and</w:t>
      </w:r>
    </w:p>
    <w:p>
      <w:pPr>
        <w:spacing w:line="276" w:lineRule="auto" w:before="0" w:after="120"/>
        <w:ind w:left="432"/>
        <w:jc w:val="both"/>
      </w:pPr>
      <w:r>
        <w:rPr>
          <w:rFonts w:ascii="Times New Roman" w:hAnsi="Times New Roman"/>
          <w:color w:val="000000"/>
          <w:sz w:val="22"/>
        </w:rPr>
        <w:t>(e) Landlord may pursue any other remedy available at law or in equity.</w:t>
      </w:r>
    </w:p>
    <w:p>
      <w:pPr>
        <w:keepNext/>
        <w:spacing w:line="276" w:lineRule="auto" w:before="360" w:after="120"/>
        <w:jc w:val="left"/>
      </w:pPr>
      <w:r>
        <w:rPr>
          <w:rFonts w:ascii="Times New Roman" w:hAnsi="Times New Roman"/>
          <w:b/>
          <w:color w:val="000000"/>
          <w:sz w:val="22"/>
          <w:u w:val="single"/>
        </w:rPr>
        <w:t>12.3 Landlord Default</w:t>
      </w:r>
    </w:p>
    <w:p>
      <w:pPr>
        <w:spacing w:line="276" w:lineRule="auto" w:before="0" w:after="120"/>
        <w:jc w:val="both"/>
      </w:pPr>
      <w:r>
        <w:rPr>
          <w:rFonts w:ascii="Times New Roman" w:hAnsi="Times New Roman"/>
          <w:color w:val="000000"/>
          <w:sz w:val="22"/>
        </w:rPr>
        <w:t>If Landlord fails to perform any of its obligations under this Lease within thirty (30) days after written notice from Tenant specifying the nature of such failure (or, if the nature of such failure is such that it cannot reasonably be cured within thirty (30) days, if Landlord fails to commence to cure such failure within such period and thereafter diligently pursue such cure to completion), Tenant shall be entitled to pursue any remedy available at law or in equity, including without limitation an action for specific performance or damages.</w:t>
      </w:r>
    </w:p>
    <w:p>
      <w:r>
        <w:br w:type="page"/>
      </w:r>
    </w:p>
    <w:p>
      <w:pPr>
        <w:keepNext/>
        <w:spacing w:line="276" w:lineRule="auto" w:before="120" w:after="240"/>
        <w:jc w:val="center"/>
      </w:pPr>
      <w:r>
        <w:rPr>
          <w:rFonts w:ascii="Times New Roman" w:hAnsi="Times New Roman"/>
          <w:b/>
          <w:color w:val="000000"/>
          <w:sz w:val="28"/>
          <w:u w:val="single"/>
        </w:rPr>
        <w:t>SECTION 13 — SUBORDINATION, NON-DISTURBANCE, AND ATTORNMENT</w:t>
      </w:r>
    </w:p>
    <w:p>
      <w:pPr>
        <w:spacing w:line="276" w:lineRule="auto" w:before="0" w:after="120"/>
        <w:jc w:val="both"/>
      </w:pPr>
      <w:r>
        <w:rPr>
          <w:rFonts w:ascii="Times New Roman" w:hAnsi="Times New Roman"/>
          <w:color w:val="000000"/>
          <w:sz w:val="22"/>
        </w:rPr>
        <w:t>This Lease shall be subordinate to any mortgage, deed of trust, or other lien now or hereafter encumbering the Building or any part thereof. Landlord shall use commercially reasonable efforts to obtain from its current and any future mortgagee a subordination, non-disturbance, and attornment agreement ("SNDA") in commercially reasonable form for Tenant's benefit, providing that so long as Tenant is not in default under this Lease, Tenant's possession and rights under this Lease shall not be disturbed by any foreclosure or other exercise of the mortgagee's remedies.</w:t>
      </w:r>
    </w:p>
    <w:p>
      <w:pPr>
        <w:keepNext/>
        <w:spacing w:line="276" w:lineRule="auto" w:before="120" w:after="240"/>
        <w:jc w:val="center"/>
      </w:pPr>
      <w:r>
        <w:rPr>
          <w:rFonts w:ascii="Times New Roman" w:hAnsi="Times New Roman"/>
          <w:b/>
          <w:color w:val="000000"/>
          <w:sz w:val="28"/>
          <w:u w:val="single"/>
        </w:rPr>
        <w:t>SECTION 14 — ESTOPPEL CERTIFICATES</w:t>
      </w:r>
    </w:p>
    <w:p>
      <w:pPr>
        <w:spacing w:line="276" w:lineRule="auto" w:before="0" w:after="120"/>
        <w:jc w:val="both"/>
      </w:pPr>
      <w:r>
        <w:rPr>
          <w:rFonts w:ascii="Times New Roman" w:hAnsi="Times New Roman"/>
          <w:color w:val="000000"/>
          <w:sz w:val="22"/>
        </w:rPr>
        <w:t>Each party shall, within fifteen (15) business days after receipt of a written request from the other party, execute, acknowledge, and deliver to the requesting party an estoppel certificate in the form reasonably requested, certifying (a) that this Lease is in full force and effect and has not been modified (or identifying any modifications), (b) the current monthly Base Rent, (c) the dates to which Rent has been paid, (d) whether any party is in default, and (e) such other matters as may be reasonably requested.</w:t>
      </w:r>
    </w:p>
    <w:p>
      <w:pPr>
        <w:keepNext/>
        <w:spacing w:line="276" w:lineRule="auto" w:before="120" w:after="240"/>
        <w:jc w:val="center"/>
      </w:pPr>
      <w:r>
        <w:rPr>
          <w:rFonts w:ascii="Times New Roman" w:hAnsi="Times New Roman"/>
          <w:b/>
          <w:color w:val="000000"/>
          <w:sz w:val="28"/>
          <w:u w:val="single"/>
        </w:rPr>
        <w:t>SECTION 15 — QUIET ENJOYMENT</w:t>
      </w:r>
    </w:p>
    <w:p>
      <w:pPr>
        <w:spacing w:line="276" w:lineRule="auto" w:before="0" w:after="120"/>
        <w:jc w:val="both"/>
      </w:pPr>
      <w:r>
        <w:rPr>
          <w:rFonts w:ascii="Times New Roman" w:hAnsi="Times New Roman"/>
          <w:color w:val="000000"/>
          <w:sz w:val="22"/>
        </w:rPr>
        <w:t>Landlord covenants and agrees that Tenant, upon paying the Rent and performing all of Tenant's obligations under this Lease, shall peaceably and quietly have, hold, and enjoy the Premises during the Term without hindrance, ejection, or molestation by Landlord or any person lawfully claiming through Landlord, subject to the terms and conditions of this Lease.</w:t>
      </w:r>
    </w:p>
    <w:p>
      <w:pPr>
        <w:keepNext/>
        <w:spacing w:line="276" w:lineRule="auto" w:before="120" w:after="240"/>
        <w:jc w:val="center"/>
      </w:pPr>
      <w:r>
        <w:rPr>
          <w:rFonts w:ascii="Times New Roman" w:hAnsi="Times New Roman"/>
          <w:b/>
          <w:color w:val="000000"/>
          <w:sz w:val="28"/>
          <w:u w:val="single"/>
        </w:rPr>
        <w:t>SECTION 16 — UTILITIES AND SERVICES</w:t>
      </w:r>
    </w:p>
    <w:p>
      <w:pPr>
        <w:spacing w:line="276" w:lineRule="auto" w:before="0" w:after="120"/>
        <w:jc w:val="both"/>
      </w:pPr>
      <w:r>
        <w:rPr>
          <w:rFonts w:ascii="Times New Roman" w:hAnsi="Times New Roman"/>
          <w:color w:val="000000"/>
          <w:sz w:val="22"/>
        </w:rPr>
        <w:t>Landlord shall provide standard Building services, including HVAC during normal business hours (7:00 AM to 7:00 PM, Monday through Friday, and 8:00 AM to 1:00 PM on Saturdays, holidays excepted), elevator service, water and sewer, and electricity to common Building systems. Tenant shall pay for its own electricity consumption within the Premises, which shall be separately metered or submetered at Tenant's expense. After-hours HVAC service shall be available upon Tenant's request at Tenant's expense at the then-prevailing Building rate.</w:t>
      </w:r>
    </w:p>
    <w:p>
      <w:pPr>
        <w:keepNext/>
        <w:spacing w:line="276" w:lineRule="auto" w:before="120" w:after="240"/>
        <w:jc w:val="center"/>
      </w:pPr>
      <w:r>
        <w:rPr>
          <w:rFonts w:ascii="Times New Roman" w:hAnsi="Times New Roman"/>
          <w:b/>
          <w:color w:val="000000"/>
          <w:sz w:val="28"/>
          <w:u w:val="single"/>
        </w:rPr>
        <w:t>SECTION 17 — SIGNAGE</w:t>
      </w:r>
    </w:p>
    <w:p>
      <w:pPr>
        <w:spacing w:line="276" w:lineRule="auto" w:before="0" w:after="120"/>
        <w:jc w:val="both"/>
      </w:pPr>
      <w:r>
        <w:rPr>
          <w:rFonts w:ascii="Times New Roman" w:hAnsi="Times New Roman"/>
          <w:color w:val="000000"/>
          <w:sz w:val="22"/>
        </w:rPr>
        <w:t>Tenant may install suite-entry signage and shall be entitled to one (1) listing on the Building lobby directory, in each case subject to Landlord's Building-standard specifications. Tenant shall not install any exterior signage on the Building without Landlord's prior written consent.</w:t>
      </w:r>
    </w:p>
    <w:p>
      <w:pPr>
        <w:keepNext/>
        <w:spacing w:line="276" w:lineRule="auto" w:before="120" w:after="240"/>
        <w:jc w:val="center"/>
      </w:pPr>
      <w:r>
        <w:rPr>
          <w:rFonts w:ascii="Times New Roman" w:hAnsi="Times New Roman"/>
          <w:b/>
          <w:color w:val="000000"/>
          <w:sz w:val="28"/>
          <w:u w:val="single"/>
        </w:rPr>
        <w:t>SECTION 18 — PARKING</w:t>
      </w:r>
    </w:p>
    <w:p>
      <w:pPr>
        <w:spacing w:line="276" w:lineRule="auto" w:before="0" w:after="120"/>
        <w:jc w:val="both"/>
      </w:pPr>
      <w:r>
        <w:rPr>
          <w:rFonts w:ascii="Times New Roman" w:hAnsi="Times New Roman"/>
          <w:color w:val="000000"/>
          <w:sz w:val="22"/>
        </w:rPr>
        <w:t>Tenant is allocated one hundred eight (108) unreserved parking spaces in the Building's parking garage, at no additional cost to Tenant during the initial Term. Parking shall be subject to the Building's standard parking rules and regulations.</w:t>
      </w:r>
    </w:p>
    <w:p>
      <w:pPr>
        <w:keepNext/>
        <w:spacing w:line="276" w:lineRule="auto" w:before="120" w:after="240"/>
        <w:jc w:val="center"/>
      </w:pPr>
      <w:r>
        <w:rPr>
          <w:rFonts w:ascii="Times New Roman" w:hAnsi="Times New Roman"/>
          <w:b/>
          <w:color w:val="000000"/>
          <w:sz w:val="28"/>
          <w:u w:val="single"/>
        </w:rPr>
        <w:t>SECTION 19 — HOLDOVER</w:t>
      </w:r>
    </w:p>
    <w:p>
      <w:pPr>
        <w:spacing w:line="276" w:lineRule="auto" w:before="0" w:after="120"/>
        <w:jc w:val="both"/>
      </w:pPr>
      <w:r>
        <w:rPr>
          <w:rFonts w:ascii="Times New Roman" w:hAnsi="Times New Roman"/>
          <w:color w:val="000000"/>
          <w:sz w:val="22"/>
        </w:rPr>
        <w:t>If Tenant remains in possession of the Premises after the Expiration Date or earlier termination of this Lease without Landlord's prior written consent, Tenant shall be deemed a tenant at sufferance, and shall pay holdover rent equal to one hundred fifty percent (150%) of the then-current monthly Base Rent for each month or partial month of holdover. Such holdover tenancy shall not constitute a renewal, extension, or new lease.</w:t>
      </w:r>
    </w:p>
    <w:p>
      <w:r>
        <w:br w:type="page"/>
      </w:r>
    </w:p>
    <w:p>
      <w:pPr>
        <w:keepNext/>
        <w:spacing w:line="276" w:lineRule="auto" w:before="120" w:after="240"/>
        <w:jc w:val="center"/>
      </w:pPr>
      <w:r>
        <w:rPr>
          <w:rFonts w:ascii="Times New Roman" w:hAnsi="Times New Roman"/>
          <w:b/>
          <w:color w:val="000000"/>
          <w:sz w:val="28"/>
          <w:u w:val="single"/>
        </w:rPr>
        <w:t>SECTION 20 — SURRENDER</w:t>
      </w:r>
    </w:p>
    <w:p>
      <w:pPr>
        <w:spacing w:line="276" w:lineRule="auto" w:before="0" w:after="120"/>
        <w:jc w:val="both"/>
      </w:pPr>
      <w:r>
        <w:rPr>
          <w:rFonts w:ascii="Times New Roman" w:hAnsi="Times New Roman"/>
          <w:color w:val="000000"/>
          <w:sz w:val="22"/>
        </w:rPr>
        <w:t>Upon the expiration or earlier termination of this Lease, Tenant shall surrender the Premises to Landlord in good condition and repair, ordinary wear and tear and damage from casualty or condemnation excepted. Tenant shall remove all of its personal property, trade fixtures, and any alterations that Landlord has designated for removal pursuant to Section 8 prior to the Expiration Date or the date of earlier termination. Any property not so removed within ten (10) days after such date shall be deemed abandoned and may be retained or disposed of by Landlord at Tenant's expense.</w:t>
      </w:r>
    </w:p>
    <w:p>
      <w:pPr>
        <w:keepNext/>
        <w:spacing w:line="276" w:lineRule="auto" w:before="120" w:after="240"/>
        <w:jc w:val="center"/>
      </w:pPr>
      <w:r>
        <w:rPr>
          <w:rFonts w:ascii="Times New Roman" w:hAnsi="Times New Roman"/>
          <w:b/>
          <w:color w:val="000000"/>
          <w:sz w:val="28"/>
          <w:u w:val="single"/>
        </w:rPr>
        <w:t>SECTION 21 — NOTICES</w:t>
      </w:r>
    </w:p>
    <w:p>
      <w:pPr>
        <w:spacing w:line="276" w:lineRule="auto" w:before="0" w:after="120"/>
        <w:jc w:val="both"/>
      </w:pPr>
      <w:r>
        <w:rPr>
          <w:rFonts w:ascii="Times New Roman" w:hAnsi="Times New Roman"/>
          <w:color w:val="000000"/>
          <w:sz w:val="22"/>
        </w:rPr>
        <w:t>All notices, demands, requests, consents, approvals, and other communications required or permitted to be given under this Lease shall be in writing and shall be delivered by (a) personal delivery, (b) nationally recognized overnight courier service, or (c) United States certified mail, return receipt requested, postage prepaid, addressed as follows:</w:t>
      </w:r>
    </w:p>
    <w:p>
      <w:pPr>
        <w:spacing w:line="276" w:lineRule="auto" w:before="0" w:after="120"/>
        <w:jc w:val="both"/>
      </w:pPr>
      <w:r>
        <w:rPr>
          <w:rFonts w:ascii="Times New Roman" w:hAnsi="Times New Roman"/>
          <w:b/>
          <w:color w:val="000000"/>
          <w:sz w:val="22"/>
        </w:rPr>
        <w:t>If to Landlord:</w:t>
      </w:r>
    </w:p>
    <w:p>
      <w:pPr>
        <w:spacing w:line="276" w:lineRule="auto" w:before="0" w:after="120"/>
        <w:ind w:left="432"/>
        <w:jc w:val="both"/>
      </w:pPr>
      <w:r>
        <w:rPr>
          <w:rFonts w:ascii="Times New Roman" w:hAnsi="Times New Roman"/>
          <w:color w:val="000000"/>
          <w:sz w:val="22"/>
        </w:rPr>
        <w:t>Crescent Ridge Realty Partners, LP c/o Harmon Property Group, LLC 1600 Crescent Ridge Parkway, Suite 100 Cincinnati, OH 45202</w:t>
      </w:r>
    </w:p>
    <w:p>
      <w:pPr>
        <w:spacing w:line="240" w:lineRule="auto" w:before="20" w:after="20"/>
        <w:ind w:left="432"/>
        <w:jc w:val="left"/>
      </w:pPr>
      <w:r>
        <w:rPr>
          <w:rFonts w:ascii="Times New Roman" w:hAnsi="Times New Roman"/>
          <w:color w:val="000000"/>
          <w:sz w:val="22"/>
        </w:rPr>
        <w:t>Attention: Property Manager</w:t>
      </w:r>
    </w:p>
    <w:p>
      <w:pPr>
        <w:spacing w:line="276" w:lineRule="auto" w:before="0" w:after="120"/>
        <w:jc w:val="both"/>
      </w:pPr>
      <w:r>
        <w:rPr>
          <w:rFonts w:ascii="Times New Roman" w:hAnsi="Times New Roman"/>
          <w:b/>
          <w:color w:val="000000"/>
          <w:sz w:val="22"/>
        </w:rPr>
        <w:t>If to Tenant:</w:t>
      </w:r>
    </w:p>
    <w:p>
      <w:pPr>
        <w:spacing w:line="276" w:lineRule="auto" w:before="0" w:after="120"/>
        <w:ind w:left="432"/>
        <w:jc w:val="both"/>
      </w:pPr>
      <w:r>
        <w:rPr>
          <w:rFonts w:ascii="Times New Roman" w:hAnsi="Times New Roman"/>
          <w:color w:val="000000"/>
          <w:sz w:val="22"/>
        </w:rPr>
        <w:t>Apex Industrial Technologies, Inc. 4200 Crescent Ridge Parkway, Suite 600 Cincinnati, OH 45202</w:t>
      </w:r>
    </w:p>
    <w:p>
      <w:pPr>
        <w:spacing w:line="240" w:lineRule="auto" w:before="20" w:after="20"/>
        <w:ind w:left="432"/>
        <w:jc w:val="left"/>
      </w:pPr>
      <w:r>
        <w:rPr>
          <w:rFonts w:ascii="Times New Roman" w:hAnsi="Times New Roman"/>
          <w:color w:val="000000"/>
          <w:sz w:val="22"/>
        </w:rPr>
        <w:t>Attention: General Counsel (Robert Fenn)</w:t>
      </w:r>
    </w:p>
    <w:p>
      <w:pPr>
        <w:spacing w:line="276" w:lineRule="auto" w:before="0" w:after="120"/>
        <w:jc w:val="both"/>
      </w:pPr>
      <w:r>
        <w:rPr>
          <w:rFonts w:ascii="Times New Roman" w:hAnsi="Times New Roman"/>
          <w:b/>
          <w:color w:val="000000"/>
          <w:sz w:val="22"/>
        </w:rPr>
        <w:t>With a copy to:</w:t>
      </w:r>
    </w:p>
    <w:p>
      <w:pPr>
        <w:spacing w:line="276" w:lineRule="auto" w:before="0" w:after="120"/>
        <w:ind w:left="432"/>
        <w:jc w:val="both"/>
      </w:pPr>
      <w:r>
        <w:rPr>
          <w:rFonts w:ascii="Times New Roman" w:hAnsi="Times New Roman"/>
          <w:color w:val="000000"/>
          <w:sz w:val="22"/>
        </w:rPr>
        <w:t>Hargrove, Sloane &amp; Whitaker LLP 200 East Fifth Street, Suite 3400 Cincinnati, OH 45202</w:t>
      </w:r>
    </w:p>
    <w:p>
      <w:pPr>
        <w:spacing w:line="240" w:lineRule="auto" w:before="20" w:after="20"/>
        <w:ind w:left="432"/>
        <w:jc w:val="left"/>
      </w:pPr>
      <w:r>
        <w:rPr>
          <w:rFonts w:ascii="Times New Roman" w:hAnsi="Times New Roman"/>
          <w:color w:val="000000"/>
          <w:sz w:val="22"/>
        </w:rPr>
        <w:t w:space="preserve">Attention: Margaret Chao-Reeves</w:t>
      </w:r>
    </w:p>
    <w:p>
      <w:pPr>
        <w:spacing w:line="276" w:lineRule="auto" w:before="0" w:after="120"/>
        <w:jc w:val="both"/>
      </w:pPr>
      <w:r>
        <w:rPr>
          <w:rFonts w:ascii="Times New Roman" w:hAnsi="Times New Roman"/>
          <w:color w:val="000000"/>
          <w:sz w:val="22"/>
        </w:rPr>
        <w:t>Notices shall be effective (i) upon receipt if delivered by personal delivery or overnight courier, or (ii) three (3) business days after deposit in the United States mail if sent by certified mail in the manner described above. Either party may change its address for notices by giving written notice thereof to the other party in accordance with this Section 21.</w:t>
      </w:r>
    </w:p>
    <w:p>
      <w:r>
        <w:br w:type="page"/>
      </w:r>
    </w:p>
    <w:p>
      <w:pPr>
        <w:keepNext/>
        <w:spacing w:line="276" w:lineRule="auto" w:before="120" w:after="240"/>
        <w:jc w:val="center"/>
      </w:pPr>
      <w:r>
        <w:rPr>
          <w:rFonts w:ascii="Times New Roman" w:hAnsi="Times New Roman"/>
          <w:b/>
          <w:color w:val="000000"/>
          <w:sz w:val="28"/>
          <w:u w:val="single"/>
        </w:rPr>
        <w:t>SECTION 22 — ASSIGNMENT AND SUBLETTING</w:t>
      </w:r>
    </w:p>
    <w:p>
      <w:pPr>
        <w:keepNext/>
        <w:spacing w:line="276" w:lineRule="auto" w:before="360" w:after="120"/>
        <w:jc w:val="left"/>
      </w:pPr>
      <w:r>
        <w:rPr>
          <w:rFonts w:ascii="Times New Roman" w:hAnsi="Times New Roman"/>
          <w:b/>
          <w:color w:val="000000"/>
          <w:sz w:val="22"/>
          <w:u w:val="single"/>
        </w:rPr>
        <w:t>22.1 Consent Required</w:t>
      </w:r>
    </w:p>
    <w:p>
      <w:pPr>
        <w:spacing w:line="276" w:lineRule="auto" w:before="0" w:after="120"/>
        <w:jc w:val="both"/>
      </w:pPr>
      <w:r>
        <w:rPr>
          <w:rFonts w:ascii="Times New Roman" w:hAnsi="Times New Roman"/>
          <w:color w:val="000000"/>
          <w:sz w:val="22"/>
        </w:rPr>
        <w:t>Tenant shall not, without the prior written consent of Landlord, assign this Lease or any interest herein, sublease all or any portion of the Premises, or otherwise transfer, mortgage, pledge, encumber, or hypothecate this Lease or any right hereunder (each, a "Transfer"). Any purported Transfer without Landlord's prior written consent shall be void and of no force or effect and shall constitute an Event of Default under Section 12.1(d).</w:t>
      </w:r>
    </w:p>
    <w:p>
      <w:pPr>
        <w:spacing w:line="276" w:lineRule="auto" w:before="0" w:after="120"/>
        <w:jc w:val="both"/>
      </w:pPr>
      <w:r>
        <w:rPr>
          <w:rFonts w:ascii="Times New Roman" w:hAnsi="Times New Roman"/>
          <w:color w:val="000000"/>
          <w:sz w:val="22"/>
        </w:rPr>
        <w:t>For purposes of this Section 22, "assignment" shall include any assignment, transfer, or conveyance, whether voluntary or involuntary, by operation of law or otherwise. No Transfer shall release Tenant from any of its obligations under this Lease unless Landlord expressly agrees in writing to such release. In the event of any permitted Transfer, the transferee shall assume in writing all obligations of Tenant under this Lease, and Tenant shall remain primarily liable for all such obligations.</w:t>
      </w:r>
    </w:p>
    <w:p>
      <w:pPr>
        <w:spacing w:line="276" w:lineRule="auto" w:before="0" w:after="120"/>
        <w:jc w:val="both"/>
      </w:pPr>
      <w:r>
        <w:rPr>
          <w:rFonts w:ascii="Times New Roman" w:hAnsi="Times New Roman"/>
          <w:color w:val="000000"/>
          <w:sz w:val="22"/>
        </w:rPr>
        <w:t>Any request for consent to a Transfer shall be made in writing to Landlord not less than thirty (30) days prior to the proposed effective date of such Transfer, and shall include such information as Landlord may reasonably request regarding the proposed transferee, including without limitation (a) the proposed transferee's most recent audited financial statements for the prior three (3) fiscal years, (b) a description of the proposed transferee's business and intended use of the Premises, (c) a copy of the proposed assignment, sublease, or transfer agreement, and (d) such other information as Landlord may reasonably require to evaluate the proposed Transfer.</w:t>
      </w:r>
    </w:p>
    <w:p>
      <w:pPr>
        <w:spacing w:line="276" w:lineRule="auto" w:before="0" w:after="120"/>
        <w:jc w:val="both"/>
      </w:pPr>
      <w:r>
        <w:rPr>
          <w:rFonts w:ascii="Times New Roman" w:hAnsi="Times New Roman"/>
          <w:color w:val="000000"/>
          <w:sz w:val="22"/>
        </w:rPr>
        <w:t>Consent by Landlord to any Transfer on one occasion shall not operate as a waiver of Landlord's right to require consent to any subsequent Transfer. Each Transfer to which Landlord consents shall be subject to all of the terms and conditions of this Lease.</w:t>
      </w:r>
    </w:p>
    <w:p>
      <w:pPr>
        <w:keepNext/>
        <w:spacing w:line="276" w:lineRule="auto" w:before="360" w:after="120"/>
        <w:jc w:val="left"/>
      </w:pPr>
      <w:r>
        <w:rPr>
          <w:rFonts w:ascii="Times New Roman" w:hAnsi="Times New Roman"/>
          <w:b/>
          <w:color w:val="000000"/>
          <w:sz w:val="22"/>
          <w:u w:val="single"/>
        </w:rPr>
        <w:t>22.2 Deemed Assignment</w:t>
      </w:r>
    </w:p>
    <w:p>
      <w:pPr>
        <w:spacing w:line="276" w:lineRule="auto" w:before="0" w:after="120"/>
        <w:jc w:val="both"/>
      </w:pPr>
      <w:r>
        <w:rPr>
          <w:rFonts w:ascii="Times New Roman" w:hAnsi="Times New Roman"/>
          <w:color w:val="000000"/>
          <w:sz w:val="22"/>
        </w:rPr>
        <w:t>For purposes of this Section 22, and notwithstanding anything herein to the contrary, the following events shall each be deemed an assignment of this Lease requiring Landlord's prior written consent pursuant to Section 22.1 (each, a "Deemed Assignment"):</w:t>
      </w:r>
    </w:p>
    <w:p>
      <w:pPr>
        <w:spacing w:line="276" w:lineRule="auto" w:before="0" w:after="120"/>
        <w:ind w:left="432"/>
        <w:jc w:val="both"/>
      </w:pPr>
      <w:r>
        <w:rPr>
          <w:rFonts w:ascii="Times New Roman" w:hAnsi="Times New Roman"/>
          <w:color w:val="000000"/>
          <w:sz w:val="22"/>
        </w:rPr>
        <w:t>(a) Any change in control of Tenant, including without limitation any merger, consolidation, or transfer of a controlling interest in Tenant's equity, whether in a single transaction or a series of related transactions;</w:t>
      </w:r>
    </w:p>
    <w:p>
      <w:pPr>
        <w:spacing w:line="276" w:lineRule="auto" w:before="0" w:after="120"/>
        <w:ind w:left="432"/>
        <w:jc w:val="both"/>
      </w:pPr>
      <w:r>
        <w:rPr>
          <w:rFonts w:ascii="Times New Roman" w:hAnsi="Times New Roman"/>
          <w:color w:val="000000"/>
          <w:sz w:val="22"/>
        </w:rPr>
        <w:t>(b) Any transfer, issuance, or redemption of equity interests in Tenant, or any transfers of equity interests in any entity that directly or indirectly controls Tenant, that results in a change in the identity of the person or group of persons that controls Tenant;</w:t>
      </w:r>
    </w:p>
    <w:p>
      <w:pPr>
        <w:spacing w:line="276" w:lineRule="auto" w:before="0" w:after="120"/>
        <w:ind w:left="432"/>
        <w:jc w:val="both"/>
      </w:pPr>
      <w:r>
        <w:rPr>
          <w:rFonts w:ascii="Times New Roman" w:hAnsi="Times New Roman"/>
          <w:color w:val="000000"/>
          <w:sz w:val="22"/>
        </w:rPr>
        <w:t>(c) Any sale of all or substantially all of Tenant's assets.</w:t>
      </w:r>
    </w:p>
    <w:p>
      <w:pPr>
        <w:spacing w:line="276" w:lineRule="auto" w:before="0" w:after="120"/>
        <w:jc w:val="both"/>
      </w:pPr>
      <w:r>
        <w:rPr>
          <w:rFonts w:ascii="Times New Roman" w:hAnsi="Times New Roman"/>
          <w:color w:val="000000"/>
          <w:sz w:val="22"/>
        </w:rPr>
        <w:t>For purposes of this Section 22.2, "control" means the possession, directly or indirectly, of the power to direct or cause the direction of the management and policies of Tenant, whether through the ownership of voting securities, by contract, or otherwise.</w:t>
      </w:r>
    </w:p>
    <w:p>
      <w:pPr>
        <w:spacing w:line="276" w:lineRule="auto" w:before="0" w:after="120"/>
        <w:jc w:val="both"/>
      </w:pPr>
      <w:r>
        <w:rPr>
          <w:rFonts w:ascii="Times New Roman" w:hAnsi="Times New Roman"/>
          <w:color w:val="000000"/>
          <w:sz w:val="22"/>
        </w:rPr>
        <w:t>The provisions of this Section 22.2 shall apply regardless of the form of the transaction, including without limitation any transaction structured as a forward or reverse merger, triangular merger, share exchange, asset acquisition, recapitalization, or similar combination. A Deemed Assignment shall be subject to all of the same requirements and restrictions applicable to a Transfer under this Section 22, including without limitation the requirement to obtain Landlord's prior written consent pursuant to Section 22.1 and Section 22.3.</w:t>
      </w:r>
    </w:p>
    <w:p>
      <w:pPr>
        <w:spacing w:line="276" w:lineRule="auto" w:before="0" w:after="120"/>
        <w:jc w:val="both"/>
      </w:pPr>
      <w:r>
        <w:rPr>
          <w:rFonts w:ascii="Times New Roman" w:hAnsi="Times New Roman"/>
          <w:color w:val="000000"/>
          <w:sz w:val="22"/>
        </w:rPr>
        <w:t>For the avoidance of doubt, this Section 22 does not contain any exception or carve-out for Transfers or Deemed Assignments to or involving Affiliates of Tenant. Any Transfer or Deemed Assignment involving an Affiliate shall require Landlord's prior written consent in the same manner as any other Transfer.</w:t>
      </w:r>
    </w:p>
    <w:p>
      <w:pPr>
        <w:keepNext/>
        <w:spacing w:line="276" w:lineRule="auto" w:before="360" w:after="120"/>
        <w:jc w:val="left"/>
      </w:pPr>
      <w:r>
        <w:rPr>
          <w:rFonts w:ascii="Times New Roman" w:hAnsi="Times New Roman"/>
          <w:b/>
          <w:color w:val="000000"/>
          <w:sz w:val="22"/>
          <w:u w:val="single"/>
        </w:rPr>
        <w:t>22.3 Reasonableness Standard</w:t>
      </w:r>
    </w:p>
    <w:p>
      <w:pPr>
        <w:spacing w:line="276" w:lineRule="auto" w:before="0" w:after="120"/>
        <w:jc w:val="both"/>
      </w:pPr>
      <w:r>
        <w:rPr>
          <w:rFonts w:ascii="Times New Roman" w:hAnsi="Times New Roman"/>
          <w:color w:val="000000"/>
          <w:sz w:val="22"/>
        </w:rPr>
        <w:t>Landlord's consent to any Transfer or Deemed Assignment shall not be unreasonably withheld, conditioned, or delayed. Without limiting the foregoing, Landlord shall be deemed reasonable in withholding consent if any of the following conditions exist:</w:t>
      </w:r>
    </w:p>
    <w:p>
      <w:pPr>
        <w:spacing w:line="276" w:lineRule="auto" w:before="0" w:after="120"/>
        <w:ind w:left="432"/>
        <w:jc w:val="both"/>
      </w:pPr>
      <w:r>
        <w:rPr>
          <w:rFonts w:ascii="Times New Roman" w:hAnsi="Times New Roman"/>
          <w:color w:val="000000"/>
          <w:sz w:val="22"/>
        </w:rPr>
        <w:t>(a) The proposed transferee's tangible net worth, as determined in accordance with generally accepted accounting principles, is less than the greater of (i) the tangible net worth of Tenant as of the date of this Lease, or (ii) the tangible net worth of Tenant as of the date of the proposed Transfer;</w:t>
      </w:r>
    </w:p>
    <w:p>
      <w:pPr>
        <w:spacing w:line="276" w:lineRule="auto" w:before="0" w:after="120"/>
        <w:ind w:left="432"/>
        <w:jc w:val="both"/>
      </w:pPr>
      <w:r>
        <w:rPr>
          <w:rFonts w:ascii="Times New Roman" w:hAnsi="Times New Roman"/>
          <w:color w:val="000000"/>
          <w:sz w:val="22"/>
        </w:rPr>
        <w:t>(b) The proposed transferee's intended use of the Premises is not consistent with the Permitted Use;</w:t>
      </w:r>
    </w:p>
    <w:p>
      <w:pPr>
        <w:spacing w:line="276" w:lineRule="auto" w:before="0" w:after="120"/>
        <w:ind w:left="432"/>
        <w:jc w:val="both"/>
      </w:pPr>
      <w:r>
        <w:rPr>
          <w:rFonts w:ascii="Times New Roman" w:hAnsi="Times New Roman"/>
          <w:color w:val="000000"/>
          <w:sz w:val="22"/>
        </w:rPr>
        <w:t>(c) The proposed transferee is a governmental entity or governmental agency;</w:t>
      </w:r>
    </w:p>
    <w:p>
      <w:pPr>
        <w:spacing w:line="276" w:lineRule="auto" w:before="0" w:after="120"/>
        <w:ind w:left="432"/>
        <w:jc w:val="both"/>
      </w:pPr>
      <w:r>
        <w:rPr>
          <w:rFonts w:ascii="Times New Roman" w:hAnsi="Times New Roman"/>
          <w:color w:val="000000"/>
          <w:sz w:val="22"/>
        </w:rPr>
        <w:t>(d) The proposed Transfer would violate any other provision of this Lease or any applicable law, rule, or regulation; or</w:t>
      </w:r>
    </w:p>
    <w:p>
      <w:pPr>
        <w:spacing w:line="276" w:lineRule="auto" w:before="0" w:after="120"/>
        <w:ind w:left="432"/>
        <w:jc w:val="both"/>
      </w:pPr>
      <w:r>
        <w:rPr>
          <w:rFonts w:ascii="Times New Roman" w:hAnsi="Times New Roman"/>
          <w:color w:val="000000"/>
          <w:sz w:val="22"/>
        </w:rPr>
        <w:t>(e) An Event of Default by Tenant exists at the time of the proposed Transfer and has not been cured.</w:t>
      </w:r>
    </w:p>
    <w:p>
      <w:pPr>
        <w:spacing w:line="276" w:lineRule="auto" w:before="0" w:after="120"/>
        <w:jc w:val="both"/>
      </w:pPr>
      <w:r>
        <w:rPr>
          <w:rFonts w:ascii="Times New Roman" w:hAnsi="Times New Roman"/>
          <w:color w:val="000000"/>
          <w:sz w:val="22"/>
        </w:rPr>
        <w:t>Landlord shall respond to any request for consent to a Transfer or Deemed Assignment within twenty (20) business days after Landlord's receipt of Tenant's written request together with all information required by Section 22.1. Landlord's response shall be in writing and, if Landlord withholds consent, shall specify the reasons therefor. If Landlord fails to respond within such twenty (20) business day period, Landlord shall be deemed to have withheld its consent to the proposed Transfer or Deemed Assignment.</w:t>
      </w:r>
    </w:p>
    <w:p>
      <w:pPr>
        <w:spacing w:line="276" w:lineRule="auto" w:before="0" w:after="120"/>
        <w:jc w:val="both"/>
      </w:pPr>
      <w:r>
        <w:rPr>
          <w:rFonts w:ascii="Times New Roman" w:hAnsi="Times New Roman"/>
          <w:color w:val="000000"/>
          <w:sz w:val="22"/>
        </w:rPr>
        <w:t>Tenant acknowledges and agrees that the foregoing deemed-denial provision is a material term of this Lease, and that Tenant bears the affirmative burden of obtaining Landlord's express written consent prior to the effective date of any Transfer or Deemed Assignment.</w:t>
      </w:r>
    </w:p>
    <w:p>
      <w:pPr>
        <w:keepNext/>
        <w:spacing w:line="276" w:lineRule="auto" w:before="360" w:after="120"/>
        <w:jc w:val="left"/>
      </w:pPr>
      <w:r>
        <w:rPr>
          <w:rFonts w:ascii="Times New Roman" w:hAnsi="Times New Roman"/>
          <w:b/>
          <w:color w:val="000000"/>
          <w:sz w:val="22"/>
          <w:u w:val="single"/>
        </w:rPr>
        <w:t>22.4 Remedies for Unauthorized Transfer; Early Termination Fee</w:t>
      </w:r>
    </w:p>
    <w:p>
      <w:pPr>
        <w:spacing w:line="276" w:lineRule="auto" w:before="0" w:after="120"/>
        <w:jc w:val="both"/>
      </w:pPr>
      <w:r>
        <w:rPr>
          <w:rFonts w:ascii="Times New Roman" w:hAnsi="Times New Roman"/>
          <w:color w:val="000000"/>
          <w:sz w:val="22"/>
        </w:rPr>
        <w:t>If Tenant effects or permits any Transfer or Deemed Assignment without obtaining Landlord's prior written consent as required by this Section 22, or if Landlord's consent is requested and properly withheld pursuant to Section 22.3, then Landlord shall have the following remedies, which shall be cumulative and in addition to any other remedies available to Landlord at law, in equity, or under this Lease (including without limitation the remedies set forth in Section 12.2):</w:t>
      </w:r>
    </w:p>
    <w:p>
      <w:pPr>
        <w:spacing w:line="276" w:lineRule="auto" w:before="0" w:after="120"/>
        <w:ind w:left="432"/>
        <w:jc w:val="both"/>
      </w:pPr>
      <w:r>
        <w:rPr>
          <w:rFonts w:ascii="Times New Roman" w:hAnsi="Times New Roman"/>
          <w:b/>
          <w:color w:val="000000"/>
          <w:sz w:val="22"/>
        </w:rPr>
        <w:t>(a) Lease Termination.</w:t>
      </w:r>
      <w:r>
        <w:rPr>
          <w:rFonts w:ascii="Times New Roman" w:hAnsi="Times New Roman"/>
          <w:color w:val="000000"/>
          <w:sz w:val="22"/>
        </w:rPr>
        <w:t xml:space="preserve"> Landlord may terminate this Lease by providing Tenant with not less than one hundred twenty (120) days' prior written notice, specifying the date of termination (the "Early Termination Date"). Upon the Early Termination Date, the Term shall expire as though such date were the Expiration Date, and Tenant shall vacate and surrender the Premises in accordance with Section 20.</w:t>
      </w:r>
    </w:p>
    <w:p>
      <w:pPr>
        <w:spacing w:line="276" w:lineRule="auto" w:before="0" w:after="120"/>
        <w:ind w:left="432"/>
        <w:jc w:val="both"/>
      </w:pPr>
      <w:r>
        <w:rPr>
          <w:rFonts w:ascii="Times New Roman" w:hAnsi="Times New Roman"/>
          <w:b/>
          <w:color w:val="000000"/>
          <w:sz w:val="22"/>
        </w:rPr>
        <w:t>(b) Early Termination Fee.</w:t>
      </w:r>
      <w:r>
        <w:rPr>
          <w:rFonts w:ascii="Times New Roman" w:hAnsi="Times New Roman"/>
          <w:color w:val="000000"/>
          <w:sz w:val="22"/>
        </w:rPr>
        <w:t xml:space="preserve"> Upon any termination of this Lease pursuant to this Section 22.4, Tenant shall pay to Landlord, within thirty (30) days after the Early Termination Date, an early termination fee (the "Early Termination Fee") in an amount equal to eighteen (18) months of the monthly Base Rent set forth in Section 1 of this Lease. The parties acknowledge and agree that the Early Termination Fee represents a reasonable estimate of the damages Landlord would suffer as a result of the early termination of this Lease due to an unauthorized Transfer or Deemed Assignment, and is not a penalty. As of the Commencement Date, the Early Termination Fee equals Three Million Two Hundred Forty Thousand Dollars ($3,240,000.00), calculated as follows: $180,000.00 per month × 18 months = $3,240,000.00. Landlord may apply any portion of the Security Deposit held pursuant to Section 5 toward the Early Termination Fee.</w:t>
      </w:r>
    </w:p>
    <w:p>
      <w:pPr>
        <w:spacing w:line="276" w:lineRule="auto" w:before="0" w:after="120"/>
        <w:ind w:left="432"/>
        <w:jc w:val="both"/>
      </w:pPr>
      <w:r>
        <w:rPr>
          <w:rFonts w:ascii="Times New Roman" w:hAnsi="Times New Roman"/>
          <w:b/>
          <w:color w:val="000000"/>
          <w:sz w:val="22"/>
        </w:rPr>
        <w:t>(c) Recapture.</w:t>
      </w:r>
      <w:r>
        <w:rPr>
          <w:rFonts w:ascii="Times New Roman" w:hAnsi="Times New Roman"/>
          <w:color w:val="000000"/>
          <w:sz w:val="22"/>
        </w:rPr>
        <w:t xml:space="preserve"> In lieu of or in addition to the remedies set forth in Sections 22.4(a) and (b), Landlord may elect, by written notice to Tenant delivered within thirty (30) days after Landlord first learns of the unauthorized Transfer or Deemed Assignment, to recapture the Premises by terminating this Lease as of the date specified in Landlord's notice (which date shall be not less than sixty (60) days after the date of such notice), in which event Tenant shall vacate and surrender the Premises in accordance with Section 20, and neither party shall have any further obligation to the other under this Lease except for (i) obligations that expressly survive termination, (ii) Tenant's obligation to pay all Rent and other sums accrued through the date of termination, and (iii) Tenant's indemnification obligations under Sections 10 and 24.</w:t>
      </w:r>
    </w:p>
    <w:p>
      <w:pPr>
        <w:spacing w:line="276" w:lineRule="auto" w:before="0" w:after="120"/>
        <w:ind w:left="432"/>
        <w:jc w:val="both"/>
      </w:pPr>
      <w:r>
        <w:rPr>
          <w:rFonts w:ascii="Times New Roman" w:hAnsi="Times New Roman"/>
          <w:b/>
          <w:color w:val="000000"/>
          <w:sz w:val="22"/>
        </w:rPr>
        <w:t>(d) Excess Rent.</w:t>
      </w:r>
      <w:r>
        <w:rPr>
          <w:rFonts w:ascii="Times New Roman" w:hAnsi="Times New Roman"/>
          <w:color w:val="000000"/>
          <w:sz w:val="22"/>
        </w:rPr>
        <w:t xml:space="preserve"> If Landlord consents to a Transfer or Deemed Assignment, and the rent or other consideration received or to be received by Tenant from the transferee exceeds the Base Rent and Additional Rent payable by Tenant under this Lease (calculated on a per-square-foot basis for any partial sublease), Tenant shall pay to Landlord fifty percent (50%) of such excess, after deducting Tenant's reasonable and documented out-of-pocket costs of effecting the Transfer, including brokerage commissions, attorneys' fees, and improvement costs. Such payments shall be made within thirty (30) days after Tenant's receipt of each installment of excess rent from the transferee.</w:t>
      </w:r>
    </w:p>
    <w:p>
      <w:pPr>
        <w:spacing w:line="276" w:lineRule="auto" w:before="0" w:after="120"/>
        <w:jc w:val="both"/>
      </w:pPr>
      <w:r>
        <w:rPr>
          <w:rFonts w:ascii="Times New Roman" w:hAnsi="Times New Roman"/>
          <w:color w:val="000000"/>
          <w:sz w:val="22"/>
        </w:rPr>
        <w:t>The remedies set forth in this Section 22.4 shall be in addition to, and not in limitation of, any remedies available to Landlord under Section 12.2, including without limitation the right to accelerate Rent. For the avoidance of doubt, an unauthorized Transfer or Deemed Assignment that constitutes an Event of Default under Section 12.1(d) may give rise to both the remedies set forth in this Section 22.4 and the remedies set forth in Section 12.2, subject to Landlord's obligation to mitigate damages as required by applicable law.</w:t>
      </w:r>
    </w:p>
    <w:p>
      <w:r>
        <w:br w:type="page"/>
      </w:r>
    </w:p>
    <w:p>
      <w:pPr>
        <w:keepNext/>
        <w:spacing w:line="276" w:lineRule="auto" w:before="120" w:after="240"/>
        <w:jc w:val="center"/>
      </w:pPr>
      <w:r>
        <w:rPr>
          <w:rFonts w:ascii="Times New Roman" w:hAnsi="Times New Roman"/>
          <w:b/>
          <w:color w:val="000000"/>
          <w:sz w:val="28"/>
          <w:u w:val="single"/>
        </w:rPr>
        <w:t>SECTION 23 — LANDLORD'S RIGHT OF ENTRY</w:t>
      </w:r>
    </w:p>
    <w:p>
      <w:pPr>
        <w:spacing w:line="276" w:lineRule="auto" w:before="0" w:after="120"/>
        <w:jc w:val="both"/>
      </w:pPr>
      <w:r>
        <w:rPr>
          <w:rFonts w:ascii="Times New Roman" w:hAnsi="Times New Roman"/>
          <w:color w:val="000000"/>
          <w:sz w:val="22"/>
        </w:rPr>
        <w:t>Landlord and its agents may enter the Premises upon not less than twenty-four (24) hours' prior written or oral notice to Tenant for the purposes of inspection, maintenance, repair, showing the Premises to prospective tenants or purchasers, or any other reasonable purpose. In the event of an emergency, Landlord may enter the Premises without prior notice. Landlord shall use commercially reasonable efforts to minimize interference with Tenant's business operations during any such entry.</w:t>
      </w:r>
    </w:p>
    <w:p>
      <w:pPr>
        <w:keepNext/>
        <w:spacing w:line="276" w:lineRule="auto" w:before="120" w:after="240"/>
        <w:jc w:val="center"/>
      </w:pPr>
      <w:r>
        <w:rPr>
          <w:rFonts w:ascii="Times New Roman" w:hAnsi="Times New Roman"/>
          <w:b/>
          <w:color w:val="000000"/>
          <w:sz w:val="28"/>
          <w:u w:val="single"/>
        </w:rPr>
        <w:t>SECTION 24 — ENVIRONMENTAL PROVISIONS</w:t>
      </w:r>
    </w:p>
    <w:p>
      <w:pPr>
        <w:spacing w:line="276" w:lineRule="auto" w:before="0" w:after="120"/>
        <w:jc w:val="both"/>
      </w:pPr>
      <w:r>
        <w:rPr>
          <w:rFonts w:ascii="Times New Roman" w:hAnsi="Times New Roman"/>
          <w:color w:val="000000"/>
          <w:sz w:val="22"/>
        </w:rPr>
        <w:t>Tenant shall not use, generate, store, treat, release, or dispose of any Hazardous Materials on, in, under, or about the Premises or the Building, except for ordinary office and cleaning supplies in commercially reasonable quantities used and stored in compliance with all applicable Environmental Laws. Tenant shall indemnify, defend, and hold harmless Landlord from and against all claims, damages, costs, and liabilities arising from any release or presence of Hazardous Materials on the Premises caused by or attributable to Tenant, its agents, employees, or contractors. "Hazardous Materials" means any substance defined as hazardous, toxic, or a pollutant under any applicable federal, state, or local environmental law.</w:t>
      </w:r>
    </w:p>
    <w:p>
      <w:pPr>
        <w:keepNext/>
        <w:spacing w:line="276" w:lineRule="auto" w:before="120" w:after="240"/>
        <w:jc w:val="center"/>
      </w:pPr>
      <w:r>
        <w:rPr>
          <w:rFonts w:ascii="Times New Roman" w:hAnsi="Times New Roman"/>
          <w:b/>
          <w:color w:val="000000"/>
          <w:sz w:val="28"/>
          <w:u w:val="single"/>
        </w:rPr>
        <w:t>SECTION 25 — BROKER'S COMMISSION</w:t>
      </w:r>
    </w:p>
    <w:p>
      <w:pPr>
        <w:spacing w:line="276" w:lineRule="auto" w:before="0" w:after="120"/>
        <w:jc w:val="both"/>
      </w:pPr>
      <w:r>
        <w:rPr>
          <w:rFonts w:ascii="Times New Roman" w:hAnsi="Times New Roman"/>
          <w:color w:val="000000"/>
          <w:sz w:val="22"/>
        </w:rPr>
        <w:t>Each party represents and warrants to the other that it has not dealt with any real estate broker, agent, or finder in connection with this Lease other than Meridian Commercial Realty Group, LLC (the "Broker"), whose commission shall be paid by Landlord pursuant to a separate written agreement between Landlord and Broker. Each party shall indemnify, defend, and hold harmless the other from and against all claims, damages, costs, and liabilities arising from any breach of the foregoing representation.</w:t>
      </w:r>
    </w:p>
    <w:p>
      <w:pPr>
        <w:keepNext/>
        <w:spacing w:line="276" w:lineRule="auto" w:before="120" w:after="240"/>
        <w:jc w:val="center"/>
      </w:pPr>
      <w:r>
        <w:rPr>
          <w:rFonts w:ascii="Times New Roman" w:hAnsi="Times New Roman"/>
          <w:b/>
          <w:color w:val="000000"/>
          <w:sz w:val="28"/>
          <w:u w:val="single"/>
        </w:rPr>
        <w:t>SECTION 26 — FORCE MAJEURE</w:t>
      </w:r>
    </w:p>
    <w:p>
      <w:pPr>
        <w:spacing w:line="276" w:lineRule="auto" w:before="0" w:after="120"/>
        <w:jc w:val="both"/>
      </w:pPr>
      <w:r>
        <w:rPr>
          <w:rFonts w:ascii="Times New Roman" w:hAnsi="Times New Roman"/>
          <w:color w:val="000000"/>
          <w:sz w:val="22"/>
        </w:rPr>
        <w:t>Except for the obligation to pay Rent and other monetary obligations under this Lease, neither party shall be liable for any delay or failure in performance of its obligations under this Lease to the extent such delay or failure is caused by acts of God, fire, flood, earthquake, epidemic, pandemic, war, terrorism, riot, civil unrest, strikes, labor disputes, governmental orders or restrictions, or any other cause beyond such party's reasonable control (each, a "Force Majeure Event"). The affected party shall provide prompt notice to the other party of the occurrence of any Force Majeure Event and shall use commercially reasonable efforts to mitigate the effects thereof.</w:t>
      </w:r>
    </w:p>
    <w:p>
      <w:r>
        <w:br w:type="page"/>
      </w:r>
    </w:p>
    <w:p>
      <w:pPr>
        <w:keepNext/>
        <w:spacing w:line="276" w:lineRule="auto" w:before="120" w:after="240"/>
        <w:jc w:val="center"/>
      </w:pPr>
      <w:r>
        <w:rPr>
          <w:rFonts w:ascii="Times New Roman" w:hAnsi="Times New Roman"/>
          <w:b/>
          <w:color w:val="000000"/>
          <w:sz w:val="28"/>
          <w:u w:val="single"/>
        </w:rPr>
        <w:t>SECTION 27 — MISCELLANEOUS PROVISIONS</w:t>
      </w:r>
    </w:p>
    <w:p>
      <w:pPr>
        <w:keepNext/>
        <w:spacing w:line="276" w:lineRule="auto" w:before="360" w:after="120"/>
        <w:jc w:val="left"/>
      </w:pPr>
      <w:r>
        <w:rPr>
          <w:rFonts w:ascii="Times New Roman" w:hAnsi="Times New Roman"/>
          <w:b/>
          <w:color w:val="000000"/>
          <w:sz w:val="22"/>
          <w:u w:val="single"/>
        </w:rPr>
        <w:t>27.1 Governing Law</w:t>
      </w:r>
    </w:p>
    <w:p>
      <w:pPr>
        <w:spacing w:line="276" w:lineRule="auto" w:before="0" w:after="120"/>
        <w:jc w:val="both"/>
      </w:pPr>
      <w:r>
        <w:rPr>
          <w:rFonts w:ascii="Times New Roman" w:hAnsi="Times New Roman"/>
          <w:color w:val="000000"/>
          <w:sz w:val="22"/>
        </w:rPr>
        <w:t>This Lease shall be governed by and construed in accordance with the laws of the State of Ohio, without regard to its conflict of laws principles.</w:t>
      </w:r>
    </w:p>
    <w:p>
      <w:pPr>
        <w:keepNext/>
        <w:spacing w:line="276" w:lineRule="auto" w:before="360" w:after="120"/>
        <w:jc w:val="left"/>
      </w:pPr>
      <w:r>
        <w:rPr>
          <w:rFonts w:ascii="Times New Roman" w:hAnsi="Times New Roman"/>
          <w:b/>
          <w:color w:val="000000"/>
          <w:sz w:val="22"/>
          <w:u w:val="single"/>
        </w:rPr>
        <w:t>27.2 Venue</w:t>
      </w:r>
    </w:p>
    <w:p>
      <w:pPr>
        <w:spacing w:line="276" w:lineRule="auto" w:before="0" w:after="120"/>
        <w:jc w:val="both"/>
      </w:pPr>
      <w:r>
        <w:rPr>
          <w:rFonts w:ascii="Times New Roman" w:hAnsi="Times New Roman"/>
          <w:color w:val="000000"/>
          <w:sz w:val="22"/>
        </w:rPr>
        <w:t>Any action or proceeding arising out of or relating to this Lease shall be brought exclusively in the state or federal courts located in Hamilton County, Ohio. Each party irrevocably consents to the personal jurisdiction of such courts and waives any objection to venue therein.</w:t>
      </w:r>
    </w:p>
    <w:p>
      <w:pPr>
        <w:keepNext/>
        <w:spacing w:line="276" w:lineRule="auto" w:before="360" w:after="120"/>
        <w:jc w:val="left"/>
      </w:pPr>
      <w:r>
        <w:rPr>
          <w:rFonts w:ascii="Times New Roman" w:hAnsi="Times New Roman"/>
          <w:b/>
          <w:color w:val="000000"/>
          <w:sz w:val="22"/>
          <w:u w:val="single"/>
        </w:rPr>
        <w:t>27.3 Entire Agreement</w:t>
      </w:r>
    </w:p>
    <w:p>
      <w:pPr>
        <w:spacing w:line="276" w:lineRule="auto" w:before="0" w:after="120"/>
        <w:jc w:val="both"/>
      </w:pPr>
      <w:r>
        <w:rPr>
          <w:rFonts w:ascii="Times New Roman" w:hAnsi="Times New Roman"/>
          <w:color w:val="000000"/>
          <w:sz w:val="22"/>
        </w:rPr>
        <w:t>This Lease, together with its Exhibits, constitutes the entire agreement between the parties with respect to the subject matter hereof and the Premises, and supersedes all prior and contemporaneous agreements, understandings, representations, and warranties, whether written or oral, relating thereto.</w:t>
      </w:r>
    </w:p>
    <w:p>
      <w:pPr>
        <w:keepNext/>
        <w:spacing w:line="276" w:lineRule="auto" w:before="360" w:after="120"/>
        <w:jc w:val="left"/>
      </w:pPr>
      <w:r>
        <w:rPr>
          <w:rFonts w:ascii="Times New Roman" w:hAnsi="Times New Roman"/>
          <w:b/>
          <w:color w:val="000000"/>
          <w:sz w:val="22"/>
          <w:u w:val="single"/>
        </w:rPr>
        <w:t>27.4 Amendments</w:t>
      </w:r>
    </w:p>
    <w:p>
      <w:pPr>
        <w:spacing w:line="276" w:lineRule="auto" w:before="0" w:after="120"/>
        <w:jc w:val="both"/>
      </w:pPr>
      <w:r>
        <w:rPr>
          <w:rFonts w:ascii="Times New Roman" w:hAnsi="Times New Roman"/>
          <w:color w:val="000000"/>
          <w:sz w:val="22"/>
        </w:rPr>
        <w:t>This Lease may not be amended, modified, or supplemented except by a written instrument executed by both Landlord and Tenant.</w:t>
      </w:r>
    </w:p>
    <w:p>
      <w:pPr>
        <w:keepNext/>
        <w:spacing w:line="276" w:lineRule="auto" w:before="360" w:after="120"/>
        <w:jc w:val="left"/>
      </w:pPr>
      <w:r>
        <w:rPr>
          <w:rFonts w:ascii="Times New Roman" w:hAnsi="Times New Roman"/>
          <w:b/>
          <w:color w:val="000000"/>
          <w:sz w:val="22"/>
          <w:u w:val="single"/>
        </w:rPr>
        <w:t>27.5 Severability</w:t>
      </w:r>
    </w:p>
    <w:p>
      <w:pPr>
        <w:spacing w:line="276" w:lineRule="auto" w:before="0" w:after="120"/>
        <w:jc w:val="both"/>
      </w:pPr>
      <w:r>
        <w:rPr>
          <w:rFonts w:ascii="Times New Roman" w:hAnsi="Times New Roman"/>
          <w:color w:val="000000"/>
          <w:sz w:val="22"/>
        </w:rPr>
        <w:t>If any provision of this Lease is held by a court of competent jurisdiction to be invalid, illegal, or unenforceable, such invalidity, illegality, or unenforceability shall not affect any other provision of this Lease, and the remaining provisions shall remain in full force and effect.</w:t>
      </w:r>
    </w:p>
    <w:p>
      <w:pPr>
        <w:keepNext/>
        <w:spacing w:line="276" w:lineRule="auto" w:before="360" w:after="120"/>
        <w:jc w:val="left"/>
      </w:pPr>
      <w:r>
        <w:rPr>
          <w:rFonts w:ascii="Times New Roman" w:hAnsi="Times New Roman"/>
          <w:b/>
          <w:color w:val="000000"/>
          <w:sz w:val="22"/>
          <w:u w:val="single"/>
        </w:rPr>
        <w:t>27.6 Waiver</w:t>
      </w:r>
    </w:p>
    <w:p>
      <w:pPr>
        <w:spacing w:line="276" w:lineRule="auto" w:before="0" w:after="120"/>
        <w:jc w:val="both"/>
      </w:pPr>
      <w:r>
        <w:rPr>
          <w:rFonts w:ascii="Times New Roman" w:hAnsi="Times New Roman"/>
          <w:color w:val="000000"/>
          <w:sz w:val="22"/>
        </w:rPr>
        <w:t>The failure of either party to enforce any provision of this Lease on any occasion shall not constitute a waiver of such provision or of such party's right to enforce such provision or any other provision on any subsequent occasion. No waiver shall be effective unless made in writing and signed by the waiving party.</w:t>
      </w:r>
    </w:p>
    <w:p>
      <w:pPr>
        <w:keepNext/>
        <w:spacing w:line="276" w:lineRule="auto" w:before="360" w:after="120"/>
        <w:jc w:val="left"/>
      </w:pPr>
      <w:r>
        <w:rPr>
          <w:rFonts w:ascii="Times New Roman" w:hAnsi="Times New Roman"/>
          <w:b/>
          <w:color w:val="000000"/>
          <w:sz w:val="22"/>
          <w:u w:val="single"/>
        </w:rPr>
        <w:t>27.7 Successors and Assigns</w:t>
      </w:r>
    </w:p>
    <w:p>
      <w:pPr>
        <w:spacing w:line="276" w:lineRule="auto" w:before="0" w:after="120"/>
        <w:jc w:val="both"/>
      </w:pPr>
      <w:r>
        <w:rPr>
          <w:rFonts w:ascii="Times New Roman" w:hAnsi="Times New Roman"/>
          <w:color w:val="000000"/>
          <w:sz w:val="22"/>
        </w:rPr>
        <w:t>Subject to the restrictions on Transfers and Deemed Assignments set forth in Section 22, this Lease shall be binding upon and inure to the benefit of the parties hereto and their respective heirs, legal representatives, successors, and permitted assigns. For the avoidance of doubt, no assignee, transferee, or successor-in-interest of Tenant shall be deemed a "permitted assign" unless and until such assignee, transferee, or successor-in-interest has been approved by Landlord in strict accordance with the procedures and requirements set forth in Section 22.</w:t>
      </w:r>
    </w:p>
    <w:p>
      <w:pPr>
        <w:keepNext/>
        <w:spacing w:line="276" w:lineRule="auto" w:before="360" w:after="120"/>
        <w:jc w:val="left"/>
      </w:pPr>
      <w:r>
        <w:rPr>
          <w:rFonts w:ascii="Times New Roman" w:hAnsi="Times New Roman"/>
          <w:b/>
          <w:color w:val="000000"/>
          <w:sz w:val="22"/>
          <w:u w:val="single"/>
        </w:rPr>
        <w:t>27.8 No Recording</w:t>
      </w:r>
    </w:p>
    <w:p>
      <w:pPr>
        <w:spacing w:line="276" w:lineRule="auto" w:before="0" w:after="120"/>
        <w:jc w:val="both"/>
      </w:pPr>
      <w:r>
        <w:rPr>
          <w:rFonts w:ascii="Times New Roman" w:hAnsi="Times New Roman"/>
          <w:color w:val="000000"/>
          <w:sz w:val="22"/>
        </w:rPr>
        <w:t>Neither party shall record this Lease or any memorandum thereof in any public records without the prior written consent of the other party.</w:t>
      </w:r>
    </w:p>
    <w:p>
      <w:pPr>
        <w:keepNext/>
        <w:spacing w:line="276" w:lineRule="auto" w:before="360" w:after="120"/>
        <w:jc w:val="left"/>
      </w:pPr>
      <w:r>
        <w:rPr>
          <w:rFonts w:ascii="Times New Roman" w:hAnsi="Times New Roman"/>
          <w:b/>
          <w:color w:val="000000"/>
          <w:sz w:val="22"/>
          <w:u w:val="single"/>
        </w:rPr>
        <w:t>27.9 Counterparts</w:t>
      </w:r>
    </w:p>
    <w:p>
      <w:pPr>
        <w:spacing w:line="276" w:lineRule="auto" w:before="0" w:after="120"/>
        <w:jc w:val="both"/>
      </w:pPr>
      <w:r>
        <w:rPr>
          <w:rFonts w:ascii="Times New Roman" w:hAnsi="Times New Roman"/>
          <w:color w:val="000000"/>
          <w:sz w:val="22"/>
        </w:rPr>
        <w:t>This Lease may be executed in any number of counterparts, each of which shall be deemed an original and all of which together shall constitute one and the same instrument. Facsimile and electronic (PDF) signatures shall be deemed original signatures for all purposes.</w:t>
      </w:r>
    </w:p>
    <w:p>
      <w:pPr>
        <w:keepNext/>
        <w:spacing w:line="276" w:lineRule="auto" w:before="360" w:after="120"/>
        <w:jc w:val="left"/>
      </w:pPr>
      <w:r>
        <w:rPr>
          <w:rFonts w:ascii="Times New Roman" w:hAnsi="Times New Roman"/>
          <w:b/>
          <w:color w:val="000000"/>
          <w:sz w:val="22"/>
          <w:u w:val="single"/>
        </w:rPr>
        <w:t>27.10 Authority</w:t>
      </w:r>
    </w:p>
    <w:p>
      <w:pPr>
        <w:spacing w:line="276" w:lineRule="auto" w:before="0" w:after="120"/>
        <w:jc w:val="both"/>
      </w:pPr>
      <w:r>
        <w:rPr>
          <w:rFonts w:ascii="Times New Roman" w:hAnsi="Times New Roman"/>
          <w:color w:val="000000"/>
          <w:sz w:val="22"/>
        </w:rPr>
        <w:t>Each party represents and warrants that (a) it has the full legal right, power, and authority to enter into and perform its obligations under this Lease, (b) the execution and delivery of this Lease has been duly authorized by all necessary action, and (c) the person executing this Lease on its behalf is duly authorized to do so.</w:t>
      </w:r>
    </w:p>
    <w:p>
      <w:r>
        <w:br w:type="page"/>
      </w:r>
    </w:p>
    <w:p>
      <w:pPr>
        <w:spacing w:line="276" w:lineRule="auto" w:before="0" w:after="120"/>
        <w:jc w:val="center"/>
      </w:pPr>
      <w:r>
        <w:rPr>
          <w:rFonts w:ascii="Times New Roman" w:hAnsi="Times New Roman"/>
          <w:b/>
          <w:color w:val="000000"/>
          <w:sz w:val="22"/>
        </w:rPr>
        <w:t>[SIGNATURE PAGE FOLLOWS]</w:t>
      </w:r>
    </w:p>
    <w:p>
      <w:r>
        <w:br w:type="page"/>
      </w:r>
    </w:p>
    <w:p>
      <w:pPr>
        <w:spacing w:line="276" w:lineRule="auto" w:before="0" w:after="120"/>
        <w:jc w:val="both"/>
      </w:pPr>
      <w:r>
        <w:rPr>
          <w:rFonts w:ascii="Times New Roman" w:hAnsi="Times New Roman"/>
          <w:b/>
          <w:color w:val="000000"/>
          <w:sz w:val="22"/>
        </w:rPr>
        <w:t>IN WITNESS WHEREOF</w:t>
      </w:r>
      <w:r>
        <w:rPr>
          <w:rFonts w:ascii="Times New Roman" w:hAnsi="Times New Roman"/>
          <w:color w:val="000000"/>
          <w:sz w:val="22"/>
        </w:rPr>
        <w:t>, the parties hereto have caused this Lease to be duly executed as of the date first written above.</w:t>
      </w:r>
    </w:p>
    <w:p>
      <w:pPr>
        <w:spacing w:line="240" w:lineRule="auto" w:before="20" w:after="20"/>
        <w:jc w:val="both"/>
      </w:pPr>
      <w:r>
        <w:rPr>
          <w:rFonts w:ascii="Times New Roman" w:hAnsi="Times New Roman"/>
          <w:b/>
          <w:color w:val="000000"/>
          <w:sz w:val="22"/>
        </w:rPr>
        <w:t>LANDLORD:</w:t>
      </w:r>
    </w:p>
    <w:p>
      <w:pPr>
        <w:spacing w:line="240" w:lineRule="auto" w:before="20" w:after="20"/>
        <w:jc w:val="both"/>
      </w:pPr>
      <w:r>
        <w:rPr>
          <w:rFonts w:ascii="Times New Roman" w:hAnsi="Times New Roman"/>
          <w:color w:val="000000"/>
          <w:sz w:val="22"/>
        </w:rPr>
        <w:t>CRESCENT RIDGE REALTY PARTNERS, LP, an Ohio limited partnership</w:t>
      </w:r>
    </w:p>
    <w:p>
      <w:pPr>
        <w:spacing w:line="240" w:lineRule="auto" w:before="20" w:after="20"/>
        <w:jc w:val="left"/>
      </w:pPr>
      <w:r>
        <w:rPr>
          <w:rFonts w:ascii="Times New Roman" w:hAnsi="Times New Roman"/>
          <w:color w:val="000000"/>
          <w:sz w:val="22"/>
        </w:rPr>
        <w:t>By: Crescent Ridge GP, LLC, its General Partner</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Harrison W. Cole</w:t>
      </w:r>
    </w:p>
    <w:p>
      <w:pPr>
        <w:spacing w:line="240" w:lineRule="auto" w:before="20" w:after="20"/>
        <w:jc w:val="left"/>
      </w:pPr>
      <w:r>
        <w:rPr>
          <w:rFonts w:ascii="Times New Roman" w:hAnsi="Times New Roman"/>
          <w:color w:val="000000"/>
          <w:sz w:val="22"/>
        </w:rPr>
        <w:t>Title: Managing Member</w:t>
      </w:r>
    </w:p>
    <w:p>
      <w:pPr>
        <w:spacing w:line="240" w:lineRule="auto" w:before="20" w:after="20"/>
        <w:jc w:val="left"/>
      </w:pPr>
      <w:r>
        <w:rPr>
          <w:rFonts w:ascii="Times New Roman" w:hAnsi="Times New Roman"/>
          <w:color w:val="000000"/>
          <w:sz w:val="22"/>
        </w:rPr>
        <w:t>Date: July 1, 2018</w:t>
      </w:r>
    </w:p>
    <w:p>
      <w:pPr>
        <w:spacing w:line="240" w:lineRule="auto" w:before="20" w:after="20"/>
        <w:jc w:val="both"/>
      </w:pPr>
      <w:r>
        <w:rPr>
          <w:rFonts w:ascii="Times New Roman" w:hAnsi="Times New Roman"/>
          <w:b/>
          <w:color w:val="000000"/>
          <w:sz w:val="22"/>
        </w:rPr>
        <w:t>TENANT:</w:t>
      </w:r>
    </w:p>
    <w:p>
      <w:pPr>
        <w:spacing w:line="240" w:lineRule="auto" w:before="20" w:after="20"/>
        <w:jc w:val="both"/>
      </w:pPr>
      <w:r>
        <w:rPr>
          <w:rFonts w:ascii="Times New Roman" w:hAnsi="Times New Roman"/>
          <w:color w:val="000000"/>
          <w:sz w:val="22"/>
        </w:rPr>
        <w:t>APEX INDUSTRIAL TECHNOLOGIES, INC., a Delaware corporation</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Patricia Langford</w:t>
      </w:r>
    </w:p>
    <w:p>
      <w:pPr>
        <w:spacing w:line="240" w:lineRule="auto" w:before="20" w:after="20"/>
        <w:jc w:val="left"/>
      </w:pPr>
      <w:r>
        <w:rPr>
          <w:rFonts w:ascii="Times New Roman" w:hAnsi="Times New Roman"/>
          <w:color w:val="000000"/>
          <w:sz w:val="22"/>
        </w:rPr>
        <w:t>Title: Chief Executive Officer</w:t>
      </w:r>
    </w:p>
    <w:p>
      <w:pPr>
        <w:spacing w:line="240" w:lineRule="auto" w:before="20" w:after="20"/>
        <w:jc w:val="left"/>
      </w:pPr>
      <w:r>
        <w:rPr>
          <w:rFonts w:ascii="Times New Roman" w:hAnsi="Times New Roman"/>
          <w:color w:val="000000"/>
          <w:sz w:val="22"/>
        </w:rPr>
        <w:t>Date: July 1, 2018</w:t>
      </w:r>
    </w:p>
    <w:p>
      <w:r>
        <w:br w:type="page"/>
      </w:r>
    </w:p>
    <w:p>
      <w:pPr>
        <w:keepNext/>
        <w:spacing w:line="276" w:lineRule="auto" w:before="120" w:after="240"/>
        <w:jc w:val="center"/>
      </w:pPr>
      <w:r>
        <w:rPr>
          <w:rFonts w:ascii="Times New Roman" w:hAnsi="Times New Roman"/>
          <w:b/>
          <w:color w:val="000000"/>
          <w:sz w:val="28"/>
          <w:u w:val="single"/>
        </w:rPr>
        <w:t>EXHIBIT A — FLOOR PLAN OF PREMISES</w:t>
      </w:r>
    </w:p>
    <w:p>
      <w:pPr>
        <w:spacing w:line="276" w:lineRule="auto" w:before="0" w:after="120"/>
        <w:jc w:val="both"/>
      </w:pPr>
      <w:r>
        <w:rPr>
          <w:rFonts w:ascii="Times New Roman" w:hAnsi="Times New Roman"/>
          <w:color w:val="000000"/>
          <w:sz w:val="22"/>
        </w:rPr>
        <w:t>Exhibit A attached hereto depicts the Premises, consisting of the entire sixth (6th) floor of the Building known as Crescent Ridge Tower, located at 4200 Crescent Ridge Parkway, Cincinnati, OH 45202, comprising approximately 36,000 rentable square feet.</w:t>
      </w:r>
    </w:p>
    <w:p>
      <w:pPr>
        <w:spacing w:line="276" w:lineRule="auto" w:before="0" w:after="120"/>
        <w:jc w:val="center"/>
      </w:pPr>
      <w:r>
        <w:rPr>
          <w:rFonts w:ascii="Times New Roman" w:hAnsi="Times New Roman"/>
          <w:i/>
          <w:color w:val="000000"/>
          <w:sz w:val="22"/>
        </w:rPr>
        <w:t>[Floor plan drawing omitted — to be attached]</w:t>
      </w:r>
    </w:p>
    <w:p>
      <w:r>
        <w:br w:type="page"/>
      </w:r>
    </w:p>
    <w:p>
      <w:pPr>
        <w:keepNext/>
        <w:spacing w:line="276" w:lineRule="auto" w:before="120" w:after="240"/>
        <w:jc w:val="center"/>
      </w:pPr>
      <w:r>
        <w:rPr>
          <w:rFonts w:ascii="Times New Roman" w:hAnsi="Times New Roman"/>
          <w:b/>
          <w:color w:val="000000"/>
          <w:sz w:val="28"/>
          <w:u w:val="single"/>
        </w:rPr>
        <w:t>EXHIBIT B — BUILDING RULES AND REGULATIONS</w:t>
      </w:r>
    </w:p>
    <w:p>
      <w:pPr>
        <w:spacing w:line="276" w:lineRule="auto" w:before="0" w:after="120"/>
        <w:jc w:val="both"/>
      </w:pPr>
      <w:r>
        <w:rPr>
          <w:rFonts w:ascii="Times New Roman" w:hAnsi="Times New Roman"/>
          <w:color w:val="000000"/>
          <w:sz w:val="22"/>
        </w:rPr>
        <w:t>The following Building Rules and Regulations are in effect as of the date of this Lease and are incorporated herein by reference:</w:t>
      </w:r>
    </w:p>
    <w:p>
      <w:pPr>
        <w:spacing w:line="276" w:lineRule="auto" w:before="20" w:after="20"/>
        <w:ind w:left="432" w:hanging="432"/>
        <w:jc w:val="both"/>
      </w:pPr>
      <w:r>
        <w:rPr>
          <w:rFonts w:ascii="Times New Roman" w:hAnsi="Times New Roman"/>
          <w:color w:val="000000"/>
          <w:sz w:val="22"/>
        </w:rPr>
        <w:t xml:space="preserve">1.  </w:t>
      </w:r>
      <w:r>
        <w:rPr>
          <w:rFonts w:ascii="Times New Roman" w:hAnsi="Times New Roman"/>
          <w:b/>
          <w:color w:val="000000"/>
          <w:sz w:val="22"/>
        </w:rPr>
        <w:t>Building Operating Hours.</w:t>
      </w:r>
      <w:r>
        <w:rPr>
          <w:rFonts w:ascii="Times New Roman" w:hAnsi="Times New Roman"/>
          <w:color w:val="000000"/>
          <w:sz w:val="22"/>
        </w:rPr>
        <w:t xml:space="preserve"> The Building shall be open for business from 7:00 AM to 7:00 PM, Monday through Friday, and 8:00 AM to 1:00 PM on Saturdays. The Building shall be closed on Sundays and on the following holidays: New Year's Day, Memorial Day, Independence Day, Labor Day, Thanksgiving Day, and Christmas Day. Access to the Premises outside of Building operating hours shall be available via Building security card access.</w:t>
      </w:r>
    </w:p>
    <w:p>
      <w:pPr>
        <w:spacing w:line="276" w:lineRule="auto" w:before="20" w:after="20"/>
        <w:ind w:left="432" w:hanging="432"/>
        <w:jc w:val="both"/>
      </w:pPr>
      <w:r>
        <w:rPr>
          <w:rFonts w:ascii="Times New Roman" w:hAnsi="Times New Roman"/>
          <w:color w:val="000000"/>
          <w:sz w:val="22"/>
        </w:rPr>
        <w:t xml:space="preserve">2.  </w:t>
      </w:r>
      <w:r>
        <w:rPr>
          <w:rFonts w:ascii="Times New Roman" w:hAnsi="Times New Roman"/>
          <w:b/>
          <w:color w:val="000000"/>
          <w:sz w:val="22"/>
        </w:rPr>
        <w:t>Elevator Use.</w:t>
      </w:r>
      <w:r>
        <w:rPr>
          <w:rFonts w:ascii="Times New Roman" w:hAnsi="Times New Roman"/>
          <w:color w:val="000000"/>
          <w:sz w:val="22"/>
        </w:rPr>
        <w:t xml:space="preserve"> Freight and oversized deliveries shall be made only via the Building's freight elevator, and only during hours designated by the Property Manager.</w:t>
      </w:r>
    </w:p>
    <w:p>
      <w:pPr>
        <w:spacing w:line="276" w:lineRule="auto" w:before="20" w:after="20"/>
        <w:ind w:left="432" w:hanging="432"/>
        <w:jc w:val="both"/>
      </w:pPr>
      <w:r>
        <w:rPr>
          <w:rFonts w:ascii="Times New Roman" w:hAnsi="Times New Roman"/>
          <w:color w:val="000000"/>
          <w:sz w:val="22"/>
        </w:rPr>
        <w:t xml:space="preserve">3.  </w:t>
      </w:r>
      <w:r>
        <w:rPr>
          <w:rFonts w:ascii="Times New Roman" w:hAnsi="Times New Roman"/>
          <w:b/>
          <w:color w:val="000000"/>
          <w:sz w:val="22"/>
        </w:rPr>
        <w:t>Loading Dock.</w:t>
      </w:r>
      <w:r>
        <w:rPr>
          <w:rFonts w:ascii="Times New Roman" w:hAnsi="Times New Roman"/>
          <w:color w:val="000000"/>
          <w:sz w:val="22"/>
        </w:rPr>
        <w:t xml:space="preserve"> Use of the Building's loading dock shall be by appointment with the Property Manager.</w:t>
      </w:r>
    </w:p>
    <w:p>
      <w:pPr>
        <w:spacing w:line="276" w:lineRule="auto" w:before="20" w:after="20"/>
        <w:ind w:left="432" w:hanging="432"/>
        <w:jc w:val="both"/>
      </w:pPr>
      <w:r>
        <w:rPr>
          <w:rFonts w:ascii="Times New Roman" w:hAnsi="Times New Roman"/>
          <w:color w:val="000000"/>
          <w:sz w:val="22"/>
        </w:rPr>
        <w:t xml:space="preserve">4.  </w:t>
      </w:r>
      <w:r>
        <w:rPr>
          <w:rFonts w:ascii="Times New Roman" w:hAnsi="Times New Roman"/>
          <w:b/>
          <w:color w:val="000000"/>
          <w:sz w:val="22"/>
        </w:rPr>
        <w:t>Smoking.</w:t>
      </w:r>
      <w:r>
        <w:rPr>
          <w:rFonts w:ascii="Times New Roman" w:hAnsi="Times New Roman"/>
          <w:color w:val="000000"/>
          <w:sz w:val="22"/>
        </w:rPr>
        <w:t xml:space="preserve"> Smoking is prohibited in all interior Common Areas of the Building and within twenty-five (25) feet of any Building entrance.</w:t>
      </w:r>
    </w:p>
    <w:p>
      <w:pPr>
        <w:spacing w:line="276" w:lineRule="auto" w:before="20" w:after="20"/>
        <w:ind w:left="432" w:hanging="432"/>
        <w:jc w:val="both"/>
      </w:pPr>
      <w:r>
        <w:rPr>
          <w:rFonts w:ascii="Times New Roman" w:hAnsi="Times New Roman"/>
          <w:color w:val="000000"/>
          <w:sz w:val="22"/>
        </w:rPr>
        <w:t xml:space="preserve">5.  </w:t>
      </w:r>
      <w:r>
        <w:rPr>
          <w:rFonts w:ascii="Times New Roman" w:hAnsi="Times New Roman"/>
          <w:b/>
          <w:color w:val="000000"/>
          <w:sz w:val="22"/>
        </w:rPr>
        <w:t>Signage.</w:t>
      </w:r>
      <w:r>
        <w:rPr>
          <w:rFonts w:ascii="Times New Roman" w:hAnsi="Times New Roman"/>
          <w:color w:val="000000"/>
          <w:sz w:val="22"/>
        </w:rPr>
        <w:t xml:space="preserve"> All tenant signage shall conform to Building-standard specifications established by the Property Manager.</w:t>
      </w:r>
    </w:p>
    <w:p>
      <w:pPr>
        <w:spacing w:line="276" w:lineRule="auto" w:before="20" w:after="20"/>
        <w:ind w:left="432" w:hanging="432"/>
        <w:jc w:val="both"/>
      </w:pPr>
      <w:r>
        <w:rPr>
          <w:rFonts w:ascii="Times New Roman" w:hAnsi="Times New Roman"/>
          <w:color w:val="000000"/>
          <w:sz w:val="22"/>
        </w:rPr>
        <w:t xml:space="preserve">6.  </w:t>
      </w:r>
      <w:r>
        <w:rPr>
          <w:rFonts w:ascii="Times New Roman" w:hAnsi="Times New Roman"/>
          <w:b/>
          <w:color w:val="000000"/>
          <w:sz w:val="22"/>
        </w:rPr>
        <w:t>Noise.</w:t>
      </w:r>
      <w:r>
        <w:rPr>
          <w:rFonts w:ascii="Times New Roman" w:hAnsi="Times New Roman"/>
          <w:color w:val="000000"/>
          <w:sz w:val="22"/>
        </w:rPr>
        <w:t xml:space="preserve"> Tenants shall not create or permit unreasonable noise that disturbs other tenants of the Building.</w:t>
      </w:r>
    </w:p>
    <w:p>
      <w:pPr>
        <w:spacing w:line="276" w:lineRule="auto" w:before="20" w:after="20"/>
        <w:ind w:left="432" w:hanging="432"/>
        <w:jc w:val="both"/>
      </w:pPr>
      <w:r>
        <w:rPr>
          <w:rFonts w:ascii="Times New Roman" w:hAnsi="Times New Roman"/>
          <w:color w:val="000000"/>
          <w:sz w:val="22"/>
        </w:rPr>
        <w:t xml:space="preserve">7.  </w:t>
      </w:r>
      <w:r>
        <w:rPr>
          <w:rFonts w:ascii="Times New Roman" w:hAnsi="Times New Roman"/>
          <w:b/>
          <w:color w:val="000000"/>
          <w:sz w:val="22"/>
        </w:rPr>
        <w:t>Solicitation.</w:t>
      </w:r>
      <w:r>
        <w:rPr>
          <w:rFonts w:ascii="Times New Roman" w:hAnsi="Times New Roman"/>
          <w:color w:val="000000"/>
          <w:sz w:val="22"/>
        </w:rPr>
        <w:t xml:space="preserve"> No solicitation, canvassing, or peddling is permitted within the Building.</w:t>
      </w:r>
    </w:p>
    <w:p>
      <w:pPr>
        <w:spacing w:line="276" w:lineRule="auto" w:before="0" w:after="120"/>
        <w:jc w:val="both"/>
      </w:pPr>
      <w:r>
        <w:rPr>
          <w:rFonts w:ascii="Times New Roman" w:hAnsi="Times New Roman"/>
          <w:color w:val="000000"/>
          <w:sz w:val="22"/>
        </w:rPr>
        <w:t>These Building Rules and Regulations may be amended from time to time by Landlord upon thirty (30) days' prior written notice to Tenant, provided that no such amendment shall materially impair Tenant's use and enjoyment of the Premises for the Permitted Use.</w:t>
      </w:r>
    </w:p>
    <w:p>
      <w:r>
        <w:br w:type="page"/>
      </w:r>
    </w:p>
    <w:p>
      <w:pPr>
        <w:keepNext/>
        <w:spacing w:line="276" w:lineRule="auto" w:before="120" w:after="240"/>
        <w:jc w:val="center"/>
      </w:pPr>
      <w:r>
        <w:rPr>
          <w:rFonts w:ascii="Times New Roman" w:hAnsi="Times New Roman"/>
          <w:b/>
          <w:color w:val="000000"/>
          <w:sz w:val="28"/>
          <w:u w:val="single"/>
        </w:rPr>
        <w:t>EXHIBIT C — WORK LETTER / TENANT IMPROVEMENT AGREEMENT</w:t>
      </w:r>
    </w:p>
    <w:p>
      <w:pPr>
        <w:spacing w:line="276" w:lineRule="auto" w:before="0" w:after="120"/>
        <w:jc w:val="both"/>
      </w:pPr>
      <w:r>
        <w:rPr>
          <w:rFonts w:ascii="Times New Roman" w:hAnsi="Times New Roman"/>
          <w:color w:val="000000"/>
          <w:sz w:val="22"/>
        </w:rPr>
        <w:t>This Exhibit C is attached to and forms a part of the Commercial Lease Agreement, Lease No. CRR-2018-4200-600, between Crescent Ridge Realty Partners, LP ("Landlord") and Apex Industrial Technologies, Inc. ("Tenant").</w:t>
      </w:r>
    </w:p>
    <w:p>
      <w:pPr>
        <w:spacing w:line="276" w:lineRule="auto" w:before="0" w:after="120"/>
        <w:jc w:val="both"/>
      </w:pPr>
      <w:r>
        <w:rPr>
          <w:rFonts w:ascii="Times New Roman" w:hAnsi="Times New Roman"/>
          <w:b/>
          <w:color w:val="000000"/>
          <w:sz w:val="22"/>
        </w:rPr>
        <w:t>1. Tenant Improvement Allowance.</w:t>
      </w:r>
      <w:r>
        <w:rPr>
          <w:rFonts w:ascii="Times New Roman" w:hAnsi="Times New Roman"/>
          <w:color w:val="000000"/>
          <w:sz w:val="22"/>
        </w:rPr>
        <w:t xml:space="preserve"> Landlord has provided Tenant with a tenant improvement allowance (the "TI Allowance") in the amount of Forty Dollars ($40.00) per rentable square foot of the Premises, for a total allowance of One Million Four Hundred Forty Thousand Dollars ($1,440,000.00), to be applied toward the cost of Tenant's initial buildout and improvement of the Premises (the "Tenant Improvements").</w:t>
      </w:r>
    </w:p>
    <w:p>
      <w:pPr>
        <w:spacing w:line="276" w:lineRule="auto" w:before="0" w:after="120"/>
        <w:jc w:val="both"/>
      </w:pPr>
      <w:r>
        <w:rPr>
          <w:rFonts w:ascii="Times New Roman" w:hAnsi="Times New Roman"/>
          <w:b/>
          <w:color w:val="000000"/>
          <w:sz w:val="22"/>
        </w:rPr>
        <w:t>2. Scope and Approval.</w:t>
      </w:r>
      <w:r>
        <w:rPr>
          <w:rFonts w:ascii="Times New Roman" w:hAnsi="Times New Roman"/>
          <w:color w:val="000000"/>
          <w:sz w:val="22"/>
        </w:rPr>
        <w:t xml:space="preserve"> The Tenant Improvements were designed and constructed in accordance with plans and specifications approved by both Landlord and Tenant. All Tenant Improvements were completed in a good and workmanlike manner, in compliance with all applicable laws, codes, and regulations.</w:t>
      </w:r>
    </w:p>
    <w:p>
      <w:pPr>
        <w:spacing w:line="276" w:lineRule="auto" w:before="0" w:after="120"/>
        <w:jc w:val="both"/>
      </w:pPr>
      <w:r>
        <w:rPr>
          <w:rFonts w:ascii="Times New Roman" w:hAnsi="Times New Roman"/>
          <w:b/>
          <w:color w:val="000000"/>
          <w:sz w:val="22"/>
        </w:rPr>
        <w:t>3. Ownership.</w:t>
      </w:r>
      <w:r>
        <w:rPr>
          <w:rFonts w:ascii="Times New Roman" w:hAnsi="Times New Roman"/>
          <w:color w:val="000000"/>
          <w:sz w:val="22"/>
        </w:rPr>
        <w:t xml:space="preserve"> All Tenant Improvements installed in the Premises using the TI Allowance are and shall remain the property of Landlord and shall not be removed by Tenant upon the expiration or earlier termination of the Lease, unless Landlord otherwise directs in writing.</w:t>
      </w:r>
    </w:p>
    <w:p>
      <w:pPr>
        <w:spacing w:line="276" w:lineRule="auto" w:before="0" w:after="120"/>
        <w:jc w:val="both"/>
      </w:pPr>
      <w:r>
        <w:rPr>
          <w:rFonts w:ascii="Times New Roman" w:hAnsi="Times New Roman"/>
          <w:b/>
          <w:color w:val="000000"/>
          <w:sz w:val="22"/>
        </w:rPr>
        <w:t>4. Completion.</w:t>
      </w:r>
      <w:r>
        <w:rPr>
          <w:rFonts w:ascii="Times New Roman" w:hAnsi="Times New Roman"/>
          <w:color w:val="000000"/>
          <w:sz w:val="22"/>
        </w:rPr>
        <w:t xml:space="preserve"> Landlord and Tenant acknowledge that the Tenant Improvements were substantially completed on or about August 15, 2018, and Tenant accepted possession of the Premises as improved on such date.</w:t>
      </w:r>
    </w:p>
    <w:p>
      <w:pPr>
        <w:spacing w:line="276" w:lineRule="auto" w:before="0" w:after="120"/>
        <w:jc w:val="both"/>
      </w:pPr>
      <w:r>
        <w:rPr>
          <w:rFonts w:ascii="Times New Roman" w:hAnsi="Times New Roman"/>
          <w:b/>
          <w:color w:val="000000"/>
          <w:sz w:val="22"/>
        </w:rPr>
        <w:t>5. Excess Costs.</w:t>
      </w:r>
      <w:r>
        <w:rPr>
          <w:rFonts w:ascii="Times New Roman" w:hAnsi="Times New Roman"/>
          <w:color w:val="000000"/>
          <w:sz w:val="22"/>
        </w:rPr>
        <w:t xml:space="preserve"> Any costs of the Tenant Improvements in excess of the TI Allowance were borne solely by Tenant.</w:t>
      </w:r>
    </w:p>
    <w:p>
      <w:pPr>
        <w:spacing w:line="276" w:lineRule="auto" w:before="0" w:after="120"/>
        <w:jc w:val="center"/>
      </w:pPr>
      <w:r>
        <w:rPr>
          <w:rFonts w:ascii="Times New Roman" w:hAnsi="Times New Roman"/>
          <w:i/>
          <w:color w:val="000000"/>
          <w:sz w:val="22"/>
        </w:rPr>
        <w:t>[End of Exhibit C]</w:t>
      </w:r>
    </w:p>
    <w:p>
      <w:pPr>
        <w:spacing w:line="276" w:lineRule="auto" w:before="0" w:after="120"/>
        <w:jc w:val="center"/>
      </w:pPr>
      <w:r>
        <w:rPr>
          <w:rFonts w:ascii="Times New Roman" w:hAnsi="Times New Roman"/>
          <w:i/>
          <w:color w:val="000000"/>
          <w:sz w:val="22"/>
        </w:rPr>
        <w:t>[End of Commercial Lease Agreement — Lease No. CRR-2018-4200-600]</w:t>
      </w:r>
    </w:p>
    <w:sectPr w:rsidR="00FC693F" w:rsidRPr="0006063C" w:rsidSect="00034616">
      <w:footerReference w:type="default" r:id="rId9"/>
      <w:head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rPr>
        <w:rFonts w:ascii="Times New Roman" w:hAnsi="Times New Roman"/>
        <w:color w:val="808080"/>
        <w:sz w:val="16"/>
      </w:rPr>
      <w:t>Commercial Lease Agreement — Page {PAGE}</w:t>
    </w:r>
  </w:p>
  <w:p>
    <w:pPr>
      <w:pStyle w:val="Footer"/>
      <w:jc w:val="center"/>
    </w:pPr>
    <w:r>
      <w:rPr>
        <w:rFonts w:ascii="Times New Roman" w:hAnsi="Times New Roman"/>
        <w:color w:val="808080"/>
        <w:sz w:val="18"/>
      </w:rPr>
      <w:fldChar w:fldCharType="begin"/>
    </w:r>
    <w:r>
      <w:instrText xml:space="preserve"> PAGE </w:instrText>
    </w:r>
    <w:r>
      <w:fldChar w:fldCharType="separate"/>
    </w:r>
    <w:r>
      <w:rPr>
        <w:rFonts w:ascii="Times New Roman" w:hAnsi="Times New Roman"/>
        <w:color w:val="808080"/>
        <w:sz w:val="18"/>
      </w:rPr>
      <w:t>1</w:t>
    </w:r>
    <w:r>
      <w:fldChar w:fldCharType="end"/>
    </w:r>
    <w:r>
      <w:rPr>
        <w:rFonts w:ascii="Times New Roman" w:hAnsi="Times New Roman"/>
        <w:color w:val="808080"/>
        <w:sz w:val="18"/>
      </w:rPr>
      <w:t xml:space="preserve"> of </w:t>
    </w:r>
    <w:r>
      <w:fldChar w:fldCharType="begin"/>
    </w:r>
    <w:r>
      <w:instrText xml:space="preserve"> NUMPAGES </w:instrText>
    </w:r>
    <w:r>
      <w:fldChar w:fldCharType="separate"/>
    </w:r>
    <w:r>
      <w:rPr>
        <w:rFonts w:ascii="Times New Roman" w:hAnsi="Times New Roman"/>
        <w:color w:val="808080"/>
        <w:sz w:val="18"/>
      </w:rP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Times New Roman" w:hAnsi="Times New Roman"/>
        <w:color w:val="808080"/>
        <w:sz w:val="18"/>
      </w:rPr>
      <w:t>Lease No. CRR-2018-4200-600 — Crescent Ridge Realty Partners, LP / Apex Industrial Technologies, Inc. — Confidential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20" w:before="0"/>
      <w:jc w:val="both"/>
    </w:pPr>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