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76" w:lineRule="auto" w:before="0" w:after="120"/>
        <w:jc w:val="center"/>
      </w:pPr>
      <w:r>
        <w:rPr>
          <w:rFonts w:ascii="Times New Roman" w:hAnsi="Times New Roman"/>
          <w:b/>
          <w:color w:val="000000"/>
          <w:sz w:val="22"/>
        </w:rPr>
        <w:t>MASTER SUPPLY AGREEMENT</w:t>
      </w:r>
    </w:p>
    <w:p>
      <w:pPr>
        <w:spacing w:line="276" w:lineRule="auto" w:before="0" w:after="120"/>
        <w:jc w:val="center"/>
      </w:pPr>
      <w:r>
        <w:rPr>
          <w:rFonts w:ascii="Times New Roman" w:hAnsi="Times New Roman"/>
          <w:b/>
          <w:color w:val="000000"/>
          <w:sz w:val="22"/>
        </w:rPr>
        <w:t>Contract No. MSA-2019-0042</w:t>
      </w:r>
    </w:p>
    <w:p>
      <w:pPr>
        <w:spacing w:line="276" w:lineRule="auto" w:before="0" w:after="120"/>
        <w:jc w:val="both"/>
      </w:pPr>
      <w:r>
        <w:rPr>
          <w:rFonts w:ascii="Times New Roman" w:hAnsi="Times New Roman"/>
          <w:color w:val="000000"/>
          <w:sz w:val="22"/>
        </w:rPr>
        <w:t>&amp;nbsp;</w:t>
      </w:r>
    </w:p>
    <w:p>
      <w:pPr>
        <w:spacing w:line="276" w:lineRule="auto" w:before="0" w:after="120"/>
        <w:jc w:val="both"/>
      </w:pPr>
      <w:r>
        <w:rPr>
          <w:rFonts w:ascii="Times New Roman" w:hAnsi="Times New Roman"/>
          <w:color w:val="000000"/>
          <w:sz w:val="22"/>
        </w:rPr>
        <w:t>This Master Supply Agreement (this "</w:t>
      </w:r>
      <w:r>
        <w:rPr>
          <w:rFonts w:ascii="Times New Roman" w:hAnsi="Times New Roman"/>
          <w:b/>
          <w:color w:val="000000"/>
          <w:sz w:val="22"/>
        </w:rPr>
        <w:t>Agreement</w:t>
      </w:r>
      <w:r>
        <w:rPr>
          <w:rFonts w:ascii="Times New Roman" w:hAnsi="Times New Roman"/>
          <w:color w:val="000000"/>
          <w:sz w:val="22"/>
        </w:rPr>
        <w:t>") is entered into as of January 15, 2019 (the "</w:t>
      </w:r>
      <w:r>
        <w:rPr>
          <w:rFonts w:ascii="Times New Roman" w:hAnsi="Times New Roman"/>
          <w:b/>
          <w:color w:val="000000"/>
          <w:sz w:val="22"/>
        </w:rPr>
        <w:t>Effective Date</w:t>
      </w:r>
      <w:r>
        <w:rPr>
          <w:rFonts w:ascii="Times New Roman" w:hAnsi="Times New Roman"/>
          <w:color w:val="000000"/>
          <w:sz w:val="22"/>
        </w:rPr>
        <w:t>"), by and between:</w:t>
      </w:r>
    </w:p>
    <w:p>
      <w:pPr>
        <w:spacing w:line="276" w:lineRule="auto" w:before="0" w:after="120"/>
        <w:jc w:val="both"/>
      </w:pPr>
      <w:r>
        <w:rPr>
          <w:rFonts w:ascii="Times New Roman" w:hAnsi="Times New Roman"/>
          <w:b/>
          <w:color w:val="000000"/>
          <w:sz w:val="22"/>
        </w:rPr>
        <w:t>NORTHLAND REFINING CORPORATION</w:t>
      </w:r>
      <w:r>
        <w:rPr>
          <w:rFonts w:ascii="Times New Roman" w:hAnsi="Times New Roman"/>
          <w:color w:val="000000"/>
          <w:sz w:val="22"/>
        </w:rPr>
        <w:t>, a Texas corporation, with its principal place of business at 8500 Refinery Boulevard, Beaumont, Texas 77701 (hereinafter referred to as "</w:t>
      </w:r>
      <w:r>
        <w:rPr>
          <w:rFonts w:ascii="Times New Roman" w:hAnsi="Times New Roman"/>
          <w:b/>
          <w:color w:val="000000"/>
          <w:sz w:val="22"/>
        </w:rPr>
        <w:t>Buyer</w:t>
      </w:r>
      <w:r>
        <w:rPr>
          <w:rFonts w:ascii="Times New Roman" w:hAnsi="Times New Roman"/>
          <w:color w:val="000000"/>
          <w:sz w:val="22"/>
        </w:rPr>
        <w:t>" or "</w:t>
      </w:r>
      <w:r>
        <w:rPr>
          <w:rFonts w:ascii="Times New Roman" w:hAnsi="Times New Roman"/>
          <w:b/>
          <w:color w:val="000000"/>
          <w:sz w:val="22"/>
        </w:rPr>
        <w:t>Northland</w:t>
      </w:r>
      <w:r>
        <w:rPr>
          <w:rFonts w:ascii="Times New Roman" w:hAnsi="Times New Roman"/>
          <w:color w:val="000000"/>
          <w:sz w:val="22"/>
        </w:rPr>
        <w:t>");</w:t>
      </w:r>
    </w:p>
    <w:p>
      <w:pPr>
        <w:spacing w:line="276" w:lineRule="auto" w:before="0" w:after="120"/>
        <w:jc w:val="both"/>
      </w:pPr>
      <w:r>
        <w:rPr>
          <w:rFonts w:ascii="Times New Roman" w:hAnsi="Times New Roman"/>
          <w:color w:val="000000"/>
          <w:sz w:val="22"/>
        </w:rPr>
        <w:t>and</w:t>
      </w:r>
    </w:p>
    <w:p>
      <w:pPr>
        <w:spacing w:line="276" w:lineRule="auto" w:before="0" w:after="120"/>
        <w:jc w:val="both"/>
      </w:pPr>
      <w:r>
        <w:rPr>
          <w:rFonts w:ascii="Times New Roman" w:hAnsi="Times New Roman"/>
          <w:b/>
          <w:color w:val="000000"/>
          <w:sz w:val="22"/>
        </w:rPr>
        <w:t>APEX INDUSTRIAL TECHNOLOGIES, INC.</w:t>
      </w:r>
      <w:r>
        <w:rPr>
          <w:rFonts w:ascii="Times New Roman" w:hAnsi="Times New Roman"/>
          <w:color w:val="000000"/>
          <w:sz w:val="22"/>
        </w:rPr>
        <w:t>, a Delaware corporation, with its principal place of business at 4200 Crescent Ridge Parkway, Suite 600, Cincinnati, Ohio 45202 (hereinafter referred to as "</w:t>
      </w:r>
      <w:r>
        <w:rPr>
          <w:rFonts w:ascii="Times New Roman" w:hAnsi="Times New Roman"/>
          <w:b/>
          <w:color w:val="000000"/>
          <w:sz w:val="22"/>
        </w:rPr>
        <w:t>Supplier</w:t>
      </w:r>
      <w:r>
        <w:rPr>
          <w:rFonts w:ascii="Times New Roman" w:hAnsi="Times New Roman"/>
          <w:color w:val="000000"/>
          <w:sz w:val="22"/>
        </w:rPr>
        <w:t>" or "</w:t>
      </w:r>
      <w:r>
        <w:rPr>
          <w:rFonts w:ascii="Times New Roman" w:hAnsi="Times New Roman"/>
          <w:b/>
          <w:color w:val="000000"/>
          <w:sz w:val="22"/>
        </w:rPr>
        <w:t>Apex</w:t>
      </w:r>
      <w:r>
        <w:rPr>
          <w:rFonts w:ascii="Times New Roman" w:hAnsi="Times New Roman"/>
          <w:color w:val="000000"/>
          <w:sz w:val="22"/>
        </w:rPr>
        <w:t>").</w:t>
      </w:r>
    </w:p>
    <w:p>
      <w:pPr>
        <w:spacing w:line="276" w:lineRule="auto" w:before="0" w:after="120"/>
        <w:jc w:val="both"/>
      </w:pPr>
      <w:r>
        <w:rPr>
          <w:rFonts w:ascii="Times New Roman" w:hAnsi="Times New Roman"/>
          <w:color w:val="000000"/>
          <w:sz w:val="22"/>
        </w:rPr>
        <w:t>Buyer and Supplier are each referred to herein individually as a "</w:t>
      </w:r>
      <w:r>
        <w:rPr>
          <w:rFonts w:ascii="Times New Roman" w:hAnsi="Times New Roman"/>
          <w:b/>
          <w:color w:val="000000"/>
          <w:sz w:val="22"/>
        </w:rPr>
        <w:t>Party</w:t>
      </w:r>
      <w:r>
        <w:rPr>
          <w:rFonts w:ascii="Times New Roman" w:hAnsi="Times New Roman"/>
          <w:color w:val="000000"/>
          <w:sz w:val="22"/>
        </w:rPr>
        <w:t>" and collectively as the "</w:t>
      </w:r>
      <w:r>
        <w:rPr>
          <w:rFonts w:ascii="Times New Roman" w:hAnsi="Times New Roman"/>
          <w:b/>
          <w:color w:val="000000"/>
          <w:sz w:val="22"/>
        </w:rPr>
        <w:t>Parties</w:t>
      </w:r>
      <w:r>
        <w:rPr>
          <w:rFonts w:ascii="Times New Roman" w:hAnsi="Times New Roman"/>
          <w:color w:val="000000"/>
          <w:sz w:val="22"/>
        </w:rPr>
        <w:t>."</w:t>
      </w:r>
    </w:p>
    <w:p>
      <w:pPr>
        <w:spacing w:line="276" w:lineRule="auto" w:before="0" w:after="120"/>
        <w:jc w:val="both"/>
      </w:pPr>
      <w:r>
        <w:rPr>
          <w:rFonts w:ascii="Times New Roman" w:hAnsi="Times New Roman"/>
          <w:b/>
          <w:color w:val="000000"/>
          <w:sz w:val="22"/>
        </w:rPr>
        <w:t>Primary Contacts: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p>
        </w:tc>
        <w:tc>
          <w:tcPr>
            <w:tcW w:type="dxa" w:w="2880"/>
          </w:tcPr>
          <w:p>
            <w:pPr>
              <w:spacing w:line="276" w:lineRule="auto" w:before="20" w:after="20"/>
            </w:pPr>
            <w:r>
              <w:rPr>
                <w:b/>
              </w:rPr>
            </w:r>
            <w:r>
              <w:rPr>
                <w:rFonts w:ascii="Times New Roman" w:hAnsi="Times New Roman"/>
                <w:b/>
                <w:color w:val="000000"/>
                <w:sz w:val="18"/>
              </w:rPr>
              <w:t>Northland Refining Corporation</w:t>
            </w:r>
          </w:p>
        </w:tc>
        <w:tc>
          <w:tcPr>
            <w:tcW w:type="dxa" w:w="2880"/>
          </w:tcPr>
          <w:p>
            <w:pPr>
              <w:spacing w:line="276" w:lineRule="auto" w:before="20" w:after="20"/>
            </w:pPr>
            <w:r>
              <w:rPr>
                <w:b/>
              </w:rPr>
            </w:r>
            <w:r>
              <w:rPr>
                <w:rFonts w:ascii="Times New Roman" w:hAnsi="Times New Roman"/>
                <w:b/>
                <w:color w:val="000000"/>
                <w:sz w:val="18"/>
              </w:rPr>
              <w:t>Apex Industrial Technologies, Inc.</w:t>
            </w:r>
          </w:p>
        </w:tc>
      </w:tr>
      <w:tr>
        <w:tc>
          <w:tcPr>
            <w:tcW w:type="dxa" w:w="2880"/>
          </w:tcPr>
          <w:p>
            <w:pPr>
              <w:spacing w:line="276" w:lineRule="auto" w:before="20" w:after="20"/>
            </w:pPr>
            <w:r/>
            <w:r>
              <w:rPr>
                <w:rFonts w:ascii="Times New Roman" w:hAnsi="Times New Roman"/>
                <w:b/>
                <w:color w:val="000000"/>
                <w:sz w:val="18"/>
              </w:rPr>
              <w:t>Commercial Contact</w:t>
            </w:r>
          </w:p>
        </w:tc>
        <w:tc>
          <w:tcPr>
            <w:tcW w:type="dxa" w:w="2880"/>
          </w:tcPr>
          <w:p>
            <w:pPr>
              <w:spacing w:line="276" w:lineRule="auto" w:before="20" w:after="20"/>
            </w:pPr>
            <w:r/>
            <w:r>
              <w:rPr>
                <w:rFonts w:ascii="Times New Roman" w:hAnsi="Times New Roman"/>
                <w:color w:val="000000"/>
                <w:sz w:val="18"/>
              </w:rPr>
              <w:t>Gerald Dwyer, Vice President, Procurement</w:t>
            </w:r>
          </w:p>
        </w:tc>
        <w:tc>
          <w:tcPr>
            <w:tcW w:type="dxa" w:w="2880"/>
          </w:tcPr>
          <w:p>
            <w:pPr>
              <w:spacing w:line="276" w:lineRule="auto" w:before="20" w:after="20"/>
            </w:pPr>
            <w:r/>
            <w:r>
              <w:rPr>
                <w:rFonts w:ascii="Times New Roman" w:hAnsi="Times New Roman"/>
                <w:color w:val="000000"/>
                <w:sz w:val="18"/>
              </w:rPr>
              <w:t>Patricia Langford, Chief Executive Officer</w:t>
            </w:r>
          </w:p>
        </w:tc>
      </w:tr>
      <w:tr>
        <w:tc>
          <w:tcPr>
            <w:tcW w:type="dxa" w:w="2880"/>
          </w:tcPr>
          <w:p>
            <w:pPr>
              <w:spacing w:line="276" w:lineRule="auto" w:before="20" w:after="20"/>
            </w:pPr>
            <w:r/>
            <w:r>
              <w:rPr>
                <w:rFonts w:ascii="Times New Roman" w:hAnsi="Times New Roman"/>
                <w:b/>
                <w:color w:val="000000"/>
                <w:sz w:val="18"/>
              </w:rPr>
              <w:t>Legal Notices</w:t>
            </w:r>
          </w:p>
        </w:tc>
        <w:tc>
          <w:tcPr>
            <w:tcW w:type="dxa" w:w="2880"/>
          </w:tcPr>
          <w:p>
            <w:pPr>
              <w:spacing w:line="276" w:lineRule="auto" w:before="20" w:after="20"/>
            </w:pPr>
            <w:r/>
            <w:r>
              <w:rPr>
                <w:rFonts w:ascii="Times New Roman" w:hAnsi="Times New Roman"/>
                <w:color w:val="000000"/>
                <w:sz w:val="18"/>
              </w:rPr>
              <w:t>General Counsel, 8500 Refinery Boulevard, Beaumont, TX 77701</w:t>
            </w:r>
          </w:p>
        </w:tc>
        <w:tc>
          <w:tcPr>
            <w:tcW w:type="dxa" w:w="2880"/>
          </w:tcPr>
          <w:p>
            <w:pPr>
              <w:spacing w:line="276" w:lineRule="auto" w:before="20" w:after="20"/>
            </w:pPr>
            <w:r/>
            <w:r>
              <w:rPr>
                <w:rFonts w:ascii="Times New Roman" w:hAnsi="Times New Roman"/>
                <w:color w:val="000000"/>
                <w:sz w:val="18"/>
              </w:rPr>
              <w:t>Robert Fenn, General Counsel, 4200 Crescent Ridge Parkway, Suite 600, Cincinnati, OH 45202</w:t>
            </w:r>
          </w:p>
        </w:tc>
      </w:tr>
    </w:tbl>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Northland is engaged in petroleum refining and petrochemical processing and operates refining facilities in the State of Texas, requiring high-performance fluid control equipment for use in its refining operations;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Apex designs, engineers, and manufactures precision fluid control valves, actuators, integrated valve-actuator assemblies, and related automation systems for the oil and gas, petrochemical, and water treatment industries, and maintains its principal manufacturing facility in Cincinnati, Ohio and a research and development facility at 780 Innovation Drive, Fairfield, Ohio 45014;</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Northland desires to purchase from Apex, and Apex desires to supply to Northland, certain manufactured goods, including precision control valves, actuators, control assemblies, spare parts, and related components (the "Products," as more particularly defined herein), on the terms and conditions set forth in this Agreement;</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have previously engaged in ad hoc purchase-order-based transactions for the supply of such manufactured goods and now wish to establish a comprehensive, long-term supply framework governing the manufacture, sale, and delivery of Products to Northland;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intend that this Agreement shall set forth the general terms and conditions applicable to the sale and purchase of Products, with individual Purchase Orders specifying quantities, configurations, delivery schedules, and other transaction-specific details.</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and agreements hereinafter set forth, and for other good and valuable consideration, the receipt and sufficiency of which are hereby acknowledged, the Parties agree as follows:</w:t>
      </w:r>
    </w:p>
    <w:p>
      <w:r>
        <w:br w:type="page"/>
      </w:r>
    </w:p>
    <w:p>
      <w:pPr>
        <w:keepNext/>
        <w:spacing w:line="276" w:lineRule="auto" w:before="120" w:after="240"/>
        <w:jc w:val="center"/>
      </w:pPr>
      <w:r>
        <w:rPr>
          <w:rFonts w:ascii="Times New Roman" w:hAnsi="Times New Roman"/>
          <w:b/>
          <w:color w:val="000000"/>
          <w:sz w:val="28"/>
          <w:u w:val="single"/>
        </w:rPr>
        <w:t>ARTICLE 1 — DEFINITIONS AND INTERPRETATION</w:t>
      </w:r>
    </w:p>
    <w:p>
      <w:pPr>
        <w:keepNext/>
        <w:spacing w:line="276" w:lineRule="auto" w:before="360" w:after="120"/>
        <w:jc w:val="left"/>
      </w:pPr>
      <w:r>
        <w:rPr>
          <w:rFonts w:ascii="Times New Roman" w:hAnsi="Times New Roman"/>
          <w:b/>
          <w:color w:val="000000"/>
          <w:sz w:val="22"/>
          <w:u w:val="single"/>
        </w:rPr>
        <w:t>Section 1.1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Affiliate</w:t>
      </w:r>
      <w:r>
        <w:rPr>
          <w:rFonts w:ascii="Times New Roman" w:hAnsi="Times New Roman"/>
          <w:color w:val="000000"/>
          <w:sz w:val="22"/>
        </w:rPr>
        <w:t>" means, with respect to any Person, any other Person that directly or indirectly controls, is controlled by, or is under common control with such Person. For purposes of this definition, "control" means the ownership, directly or indirectly, of more than fifty percent (50%) of the voting securities or equivalent ownership interest of such Person.</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Agreement</w:t>
      </w:r>
      <w:r>
        <w:rPr>
          <w:rFonts w:ascii="Times New Roman" w:hAnsi="Times New Roman"/>
          <w:color w:val="000000"/>
          <w:sz w:val="22"/>
        </w:rPr>
        <w:t>" means this Master Supply Agreement, including all Exhibits, Schedules, and Purchase Orders issued hereunder, as the same may be amended from time to time in accordance with Section 16.3.</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Buyer</w:t>
      </w:r>
      <w:r>
        <w:rPr>
          <w:rFonts w:ascii="Times New Roman" w:hAnsi="Times New Roman"/>
          <w:color w:val="000000"/>
          <w:sz w:val="22"/>
        </w:rPr>
        <w:t>" means Northland Refining Corporation, a Texas corporation.</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Confidential Information</w:t>
      </w:r>
      <w:r>
        <w:rPr>
          <w:rFonts w:ascii="Times New Roman" w:hAnsi="Times New Roman"/>
          <w:color w:val="000000"/>
          <w:sz w:val="22"/>
        </w:rPr>
        <w:t>" means any and all proprietary, technical, financial, business, or other information disclosed by one Party to the other Party in connection with this Agreement, whether disclosed orally, in writing, electronically, or by inspection, and whether or not marked as confidential, including trade secrets, product designs, manufacturing processes, customer lists, pricing information, business plans, financial data, and operational information.</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Contract Year</w:t>
      </w:r>
      <w:r>
        <w:rPr>
          <w:rFonts w:ascii="Times New Roman" w:hAnsi="Times New Roman"/>
          <w:color w:val="000000"/>
          <w:sz w:val="22"/>
        </w:rPr>
        <w:t>" means each twelve (12)-month period commencing on each anniversary of the Effective Date (with the first Contract Year commencing on the Effective Date and ending on January 14, 2020).</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Delivery Date</w:t>
      </w:r>
      <w:r>
        <w:rPr>
          <w:rFonts w:ascii="Times New Roman" w:hAnsi="Times New Roman"/>
          <w:color w:val="000000"/>
          <w:sz w:val="22"/>
        </w:rPr>
        <w:t>" means the date for delivery of Products as specified in a Purchase Order.</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Exhibit</w:t>
      </w:r>
      <w:r>
        <w:rPr>
          <w:rFonts w:ascii="Times New Roman" w:hAnsi="Times New Roman"/>
          <w:color w:val="000000"/>
          <w:sz w:val="22"/>
        </w:rPr>
        <w:t>" or "</w:t>
      </w:r>
      <w:r>
        <w:rPr>
          <w:rFonts w:ascii="Times New Roman" w:hAnsi="Times New Roman"/>
          <w:b/>
          <w:color w:val="000000"/>
          <w:sz w:val="22"/>
        </w:rPr>
        <w:t>Schedule</w:t>
      </w:r>
      <w:r>
        <w:rPr>
          <w:rFonts w:ascii="Times New Roman" w:hAnsi="Times New Roman"/>
          <w:color w:val="000000"/>
          <w:sz w:val="22"/>
        </w:rPr>
        <w:t>" means any exhibit or schedule attached to this Agreement and incorporated herein by reference.</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Force Majeure Event</w:t>
      </w:r>
      <w:r>
        <w:rPr>
          <w:rFonts w:ascii="Times New Roman" w:hAnsi="Times New Roman"/>
          <w:color w:val="000000"/>
          <w:sz w:val="22"/>
        </w:rPr>
        <w:t>" has the meaning set forth in Section 12.1.</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Person</w:t>
      </w:r>
      <w:r>
        <w:rPr>
          <w:rFonts w:ascii="Times New Roman" w:hAnsi="Times New Roman"/>
          <w:color w:val="000000"/>
          <w:sz w:val="22"/>
        </w:rPr>
        <w:t>" means any individual, corporation, limited liability company, partnership, trust, unincorporated association, governmental authority, or any other entity.</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Products</w:t>
      </w:r>
      <w:r>
        <w:rPr>
          <w:rFonts w:ascii="Times New Roman" w:hAnsi="Times New Roman"/>
          <w:color w:val="000000"/>
          <w:sz w:val="22"/>
        </w:rPr>
        <w:t>" means precision fluid control valves, actuators, integrated valve-actuator assemblies, control assemblies, and related spare parts, replacement components, and custom-engineered fluid control solutions, as more particularly described in Exhibit A (Product Catalog and Specifications), that are manufactured by or on behalf of Apex and supplied to Northland under this Agreement.</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Purchase Order</w:t>
      </w:r>
      <w:r>
        <w:rPr>
          <w:rFonts w:ascii="Times New Roman" w:hAnsi="Times New Roman"/>
          <w:color w:val="000000"/>
          <w:sz w:val="22"/>
        </w:rPr>
        <w:t>" means a written order issued by Buyer to Supplier pursuant to Section 3.1, referencing this Agreement and specifying the Products to be purchased.</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Specifications</w:t>
      </w:r>
      <w:r>
        <w:rPr>
          <w:rFonts w:ascii="Times New Roman" w:hAnsi="Times New Roman"/>
          <w:color w:val="000000"/>
          <w:sz w:val="22"/>
        </w:rPr>
        <w:t>" means the technical specifications, performance criteria, material requirements, and quality standards for Products as set forth in Exhibit A and as may be further specified in a Purchase Order.</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Supplier</w:t>
      </w:r>
      <w:r>
        <w:rPr>
          <w:rFonts w:ascii="Times New Roman" w:hAnsi="Times New Roman"/>
          <w:color w:val="000000"/>
          <w:sz w:val="22"/>
        </w:rPr>
        <w:t>" means Apex Industrial Technologies, Inc., a Delaware corporation.</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Term</w:t>
      </w:r>
      <w:r>
        <w:rPr>
          <w:rFonts w:ascii="Times New Roman" w:hAnsi="Times New Roman"/>
          <w:color w:val="000000"/>
          <w:sz w:val="22"/>
        </w:rPr>
        <w:t>" has the meaning set forth in Section 13.1.</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Territory</w:t>
      </w:r>
      <w:r>
        <w:rPr>
          <w:rFonts w:ascii="Times New Roman" w:hAnsi="Times New Roman"/>
          <w:color w:val="000000"/>
          <w:sz w:val="22"/>
        </w:rPr>
        <w:t>" means the United States of America.</w:t>
      </w:r>
    </w:p>
    <w:p>
      <w:pPr>
        <w:spacing w:line="276" w:lineRule="auto" w:before="0" w:after="120"/>
        <w:jc w:val="both"/>
      </w:pPr>
      <w:r>
        <w:rPr>
          <w:rFonts w:ascii="Times New Roman" w:hAnsi="Times New Roman"/>
          <w:color w:val="000000"/>
          <w:sz w:val="22"/>
        </w:rPr>
        <w:t>"</w:t>
      </w:r>
      <w:r>
        <w:rPr>
          <w:rFonts w:ascii="Times New Roman" w:hAnsi="Times New Roman"/>
          <w:b/>
          <w:color w:val="000000"/>
          <w:sz w:val="22"/>
        </w:rPr>
        <w:t>Warranty Period</w:t>
      </w:r>
      <w:r>
        <w:rPr>
          <w:rFonts w:ascii="Times New Roman" w:hAnsi="Times New Roman"/>
          <w:color w:val="000000"/>
          <w:sz w:val="22"/>
        </w:rPr>
        <w:t>" means twenty-four (24) months from the date of delivery of Products to Northland or eighteen (18) months from the date of installation of such Products, whichever occurs first.</w:t>
      </w:r>
    </w:p>
    <w:p>
      <w:pPr>
        <w:keepNext/>
        <w:spacing w:line="276" w:lineRule="auto" w:before="360" w:after="120"/>
        <w:jc w:val="left"/>
      </w:pPr>
      <w:r>
        <w:rPr>
          <w:rFonts w:ascii="Times New Roman" w:hAnsi="Times New Roman"/>
          <w:b/>
          <w:color w:val="000000"/>
          <w:sz w:val="22"/>
          <w:u w:val="single"/>
        </w:rPr>
        <w:t>Section 1.2 — Interpretation</w:t>
      </w:r>
    </w:p>
    <w:p>
      <w:pPr>
        <w:spacing w:line="276" w:lineRule="auto" w:before="0" w:after="120"/>
        <w:jc w:val="both"/>
      </w:pPr>
      <w:r>
        <w:rPr>
          <w:rFonts w:ascii="Times New Roman" w:hAnsi="Times New Roman"/>
          <w:color w:val="000000"/>
          <w:sz w:val="22"/>
        </w:rPr>
        <w:t>Section headings are for convenience of reference only and shall not affect the interpretation of this Agreement. The word "including" means "including without limitation." References to Sections, Articles, Exhibits, and Schedules are to those of this Agreement unless otherwise indicated. Words in the singular include the plural and vice versa. References to "days" mean calendar days unless "business days" is expressly specified.</w:t>
      </w:r>
    </w:p>
    <w:p>
      <w:r>
        <w:br w:type="page"/>
      </w:r>
    </w:p>
    <w:p>
      <w:pPr>
        <w:keepNext/>
        <w:spacing w:line="276" w:lineRule="auto" w:before="120" w:after="240"/>
        <w:jc w:val="center"/>
      </w:pPr>
      <w:r>
        <w:rPr>
          <w:rFonts w:ascii="Times New Roman" w:hAnsi="Times New Roman"/>
          <w:b/>
          <w:color w:val="000000"/>
          <w:sz w:val="28"/>
          <w:u w:val="single"/>
        </w:rPr>
        <w:t>ARTICLE 2 — SCOPE OF AGREEMENT</w:t>
      </w:r>
    </w:p>
    <w:p>
      <w:pPr>
        <w:keepNext/>
        <w:spacing w:line="276" w:lineRule="auto" w:before="360" w:after="120"/>
        <w:jc w:val="left"/>
      </w:pPr>
      <w:r>
        <w:rPr>
          <w:rFonts w:ascii="Times New Roman" w:hAnsi="Times New Roman"/>
          <w:b/>
          <w:color w:val="000000"/>
          <w:sz w:val="22"/>
          <w:u w:val="single"/>
        </w:rPr>
        <w:t>Section 2.1 — Scope</w:t>
      </w:r>
    </w:p>
    <w:p>
      <w:pPr>
        <w:spacing w:line="276" w:lineRule="auto" w:before="0" w:after="120"/>
        <w:jc w:val="both"/>
      </w:pPr>
      <w:r>
        <w:rPr>
          <w:rFonts w:ascii="Times New Roman" w:hAnsi="Times New Roman"/>
          <w:color w:val="000000"/>
          <w:sz w:val="22"/>
        </w:rPr>
        <w:t>Apex shall manufacture and supply Products to Northland in accordance with the terms and conditions of this Agreement and the individual Purchase Orders issued hereunder. This Agreement establishes the general commercial, legal, and quality terms governing the supply relationship between the Parties. Individual Purchase Orders shall specify the particular Products to be purchased, quantities, product configurations, applicable Specifications, requested Delivery Dates, and designated ship-to locations.</w:t>
      </w:r>
    </w:p>
    <w:p>
      <w:pPr>
        <w:keepNext/>
        <w:spacing w:line="276" w:lineRule="auto" w:before="360" w:after="120"/>
        <w:jc w:val="left"/>
      </w:pPr>
      <w:r>
        <w:rPr>
          <w:rFonts w:ascii="Times New Roman" w:hAnsi="Times New Roman"/>
          <w:b/>
          <w:color w:val="000000"/>
          <w:sz w:val="22"/>
          <w:u w:val="single"/>
        </w:rPr>
        <w:t>Section 2.2 — Non-Exclusivity</w:t>
      </w:r>
    </w:p>
    <w:p>
      <w:pPr>
        <w:spacing w:line="276" w:lineRule="auto" w:before="0" w:after="120"/>
        <w:jc w:val="both"/>
      </w:pPr>
      <w:r>
        <w:rPr>
          <w:rFonts w:ascii="Times New Roman" w:hAnsi="Times New Roman"/>
          <w:color w:val="000000"/>
          <w:sz w:val="22"/>
        </w:rPr>
        <w:t>This Agreement is non-exclusive. Northland retains the right to purchase products similar to the Products from third-party suppliers at its sole discretion. Apex retains the right to manufacture, market, and sell Products and similar products to any other customers, including customers that may compete with Northland, subject to the confidentiality obligations set forth in Article 9.</w:t>
      </w:r>
    </w:p>
    <w:p>
      <w:pPr>
        <w:keepNext/>
        <w:spacing w:line="276" w:lineRule="auto" w:before="360" w:after="120"/>
        <w:jc w:val="left"/>
      </w:pPr>
      <w:r>
        <w:rPr>
          <w:rFonts w:ascii="Times New Roman" w:hAnsi="Times New Roman"/>
          <w:b/>
          <w:color w:val="000000"/>
          <w:sz w:val="22"/>
          <w:u w:val="single"/>
        </w:rPr>
        <w:t>Section 2.3 — Minimum Purchase Commitment</w:t>
      </w:r>
    </w:p>
    <w:p>
      <w:pPr>
        <w:spacing w:line="276" w:lineRule="auto" w:before="0" w:after="120"/>
        <w:jc w:val="both"/>
      </w:pPr>
      <w:r>
        <w:rPr>
          <w:rFonts w:ascii="Times New Roman" w:hAnsi="Times New Roman"/>
          <w:color w:val="000000"/>
          <w:sz w:val="22"/>
        </w:rPr>
        <w:t>Northland commits to purchase a minimum of Thirty Million Dollars ($30,000,000) in Products per Contract Year during the Term (the "</w:t>
      </w:r>
      <w:r>
        <w:rPr>
          <w:rFonts w:ascii="Times New Roman" w:hAnsi="Times New Roman"/>
          <w:b/>
          <w:color w:val="000000"/>
          <w:sz w:val="22"/>
        </w:rPr>
        <w:t>Minimum Purchase Commitment</w:t>
      </w:r>
      <w:r>
        <w:rPr>
          <w:rFonts w:ascii="Times New Roman" w:hAnsi="Times New Roman"/>
          <w:color w:val="000000"/>
          <w:sz w:val="22"/>
        </w:rPr>
        <w:t>"). For the avoidance of doubt, the Minimum Purchase Commitment shall be measured based on the aggregate invoice value of all Purchase Orders accepted by Apex during such Contract Year. Failure to meet the Minimum Purchase Commitment in any Contract Year shall not constitute a material breach of this Agreement; however, if Northland's aggregate purchases in any Contract Year fall below the Minimum Purchase Commitment, Apex shall be entitled to adjust unit pricing in accordance with Section 4.3.</w:t>
      </w:r>
    </w:p>
    <w:p>
      <w:r>
        <w:br w:type="page"/>
      </w:r>
    </w:p>
    <w:p>
      <w:pPr>
        <w:keepNext/>
        <w:spacing w:line="276" w:lineRule="auto" w:before="120" w:after="240"/>
        <w:jc w:val="center"/>
      </w:pPr>
      <w:r>
        <w:rPr>
          <w:rFonts w:ascii="Times New Roman" w:hAnsi="Times New Roman"/>
          <w:b/>
          <w:color w:val="000000"/>
          <w:sz w:val="28"/>
          <w:u w:val="single"/>
        </w:rPr>
        <w:t>ARTICLE 3 — PURCHASE ORDERS AND FORECASTING</w:t>
      </w:r>
    </w:p>
    <w:p>
      <w:pPr>
        <w:keepNext/>
        <w:spacing w:line="276" w:lineRule="auto" w:before="360" w:after="120"/>
        <w:jc w:val="left"/>
      </w:pPr>
      <w:r>
        <w:rPr>
          <w:rFonts w:ascii="Times New Roman" w:hAnsi="Times New Roman"/>
          <w:b/>
          <w:color w:val="000000"/>
          <w:sz w:val="22"/>
          <w:u w:val="single"/>
        </w:rPr>
        <w:t>Section 3.1 — Purchase Orders</w:t>
      </w:r>
    </w:p>
    <w:p>
      <w:pPr>
        <w:spacing w:line="276" w:lineRule="auto" w:before="0" w:after="120"/>
        <w:jc w:val="both"/>
      </w:pPr>
      <w:r>
        <w:rPr>
          <w:rFonts w:ascii="Times New Roman" w:hAnsi="Times New Roman"/>
          <w:color w:val="000000"/>
          <w:sz w:val="22"/>
        </w:rPr>
        <w:t>Northland shall issue Purchase Orders to Apex specifying the product type, quantity, applicable Specifications, requested Delivery Date, ship-to location, and any other transaction-specific requirements. Each Purchase Order shall reference this Agreement by Contract Number MSA-2019-0042. Apex shall accept or reject each Purchase Order in writing within ten (10) business days of receipt. If Apex does not accept or reject a Purchase Order within such ten (10) business day period, the Purchase Order shall be deemed accepted. Rejection of a Purchase Order must be accompanied by a written explanation of the reasons for rejection.</w:t>
      </w:r>
    </w:p>
    <w:p>
      <w:pPr>
        <w:keepNext/>
        <w:spacing w:line="276" w:lineRule="auto" w:before="360" w:after="120"/>
        <w:jc w:val="left"/>
      </w:pPr>
      <w:r>
        <w:rPr>
          <w:rFonts w:ascii="Times New Roman" w:hAnsi="Times New Roman"/>
          <w:b/>
          <w:color w:val="000000"/>
          <w:sz w:val="22"/>
          <w:u w:val="single"/>
        </w:rPr>
        <w:t>Section 3.2 — Forecasting</w:t>
      </w:r>
    </w:p>
    <w:p>
      <w:pPr>
        <w:spacing w:line="276" w:lineRule="auto" w:before="0" w:after="120"/>
        <w:jc w:val="both"/>
      </w:pPr>
      <w:r>
        <w:rPr>
          <w:rFonts w:ascii="Times New Roman" w:hAnsi="Times New Roman"/>
          <w:color w:val="000000"/>
          <w:sz w:val="22"/>
        </w:rPr>
        <w:t>Northland shall provide to Apex rolling twelve (12)-month non-binding forecasts of anticipated Product requirements on a quarterly basis, with such forecasts to be delivered no later than the fifteenth (15th) day of each calendar quarter. Forecasts are provided for planning and capacity-allocation purposes only and shall not constitute purchase commitments or binding obligations on the part of Northland. Apex shall use commercially reasonable efforts to maintain sufficient manufacturing capacity and raw material inventory to fulfill the quantities reflected in Northland's most recent forecast.</w:t>
      </w:r>
    </w:p>
    <w:p>
      <w:pPr>
        <w:keepNext/>
        <w:spacing w:line="276" w:lineRule="auto" w:before="360" w:after="120"/>
        <w:jc w:val="left"/>
      </w:pPr>
      <w:r>
        <w:rPr>
          <w:rFonts w:ascii="Times New Roman" w:hAnsi="Times New Roman"/>
          <w:b/>
          <w:color w:val="000000"/>
          <w:sz w:val="22"/>
          <w:u w:val="single"/>
        </w:rPr>
        <w:t>Section 3.3 — Order Modifications and Cancellations</w:t>
      </w:r>
    </w:p>
    <w:p>
      <w:pPr>
        <w:spacing w:line="276" w:lineRule="auto" w:before="0" w:after="120"/>
        <w:jc w:val="both"/>
      </w:pPr>
      <w:r>
        <w:rPr>
          <w:rFonts w:ascii="Times New Roman" w:hAnsi="Times New Roman"/>
          <w:color w:val="000000"/>
          <w:sz w:val="22"/>
        </w:rPr>
        <w:t>Northland may modify or cancel a Purchase Order prior to commencement of manufacturing of the applicable Products, subject to reimbursement of Apex's documented, reasonable out-of-pocket costs incurred in reliance on such Purchase Order through the date of modification or cancellation. Modifications to a Purchase Order after commencement of manufacturing shall require the mutual written agreement of both Parties, including agreement on any resulting adjustments to pricing, Delivery Date, or Specifications.</w:t>
      </w:r>
    </w:p>
    <w:p>
      <w:pPr>
        <w:keepNext/>
        <w:spacing w:line="276" w:lineRule="auto" w:before="360" w:after="120"/>
        <w:jc w:val="left"/>
      </w:pPr>
      <w:r>
        <w:rPr>
          <w:rFonts w:ascii="Times New Roman" w:hAnsi="Times New Roman"/>
          <w:b/>
          <w:color w:val="000000"/>
          <w:sz w:val="22"/>
          <w:u w:val="single"/>
        </w:rPr>
        <w:t>Section 3.4 — Conflicting Terms</w:t>
      </w:r>
    </w:p>
    <w:p>
      <w:pPr>
        <w:spacing w:line="276" w:lineRule="auto" w:before="0" w:after="120"/>
        <w:jc w:val="both"/>
      </w:pPr>
      <w:r>
        <w:rPr>
          <w:rFonts w:ascii="Times New Roman" w:hAnsi="Times New Roman"/>
          <w:color w:val="000000"/>
          <w:sz w:val="22"/>
        </w:rPr>
        <w:t>In the event of any conflict or inconsistency between the terms and conditions of a Purchase Order and the terms and conditions of this Agreement, the terms and conditions of this Agreement shall prevail, unless the Purchase Order expressly states that it is intended to amend a specific, identified provision of this Agreement and such Purchase Order is signed by authorized representatives of both Parties.</w:t>
      </w:r>
    </w:p>
    <w:p>
      <w:r>
        <w:br w:type="page"/>
      </w:r>
    </w:p>
    <w:p>
      <w:pPr>
        <w:keepNext/>
        <w:spacing w:line="276" w:lineRule="auto" w:before="120" w:after="240"/>
        <w:jc w:val="center"/>
      </w:pPr>
      <w:r>
        <w:rPr>
          <w:rFonts w:ascii="Times New Roman" w:hAnsi="Times New Roman"/>
          <w:b/>
          <w:color w:val="000000"/>
          <w:sz w:val="28"/>
          <w:u w:val="single"/>
        </w:rPr>
        <w:t>ARTICLE 4 — PRICING AND PAYMENT</w:t>
      </w:r>
    </w:p>
    <w:p>
      <w:pPr>
        <w:keepNext/>
        <w:spacing w:line="276" w:lineRule="auto" w:before="360" w:after="120"/>
        <w:jc w:val="left"/>
      </w:pPr>
      <w:r>
        <w:rPr>
          <w:rFonts w:ascii="Times New Roman" w:hAnsi="Times New Roman"/>
          <w:b/>
          <w:color w:val="000000"/>
          <w:sz w:val="22"/>
          <w:u w:val="single"/>
        </w:rPr>
        <w:t>Section 4.1 — Pricing</w:t>
      </w:r>
    </w:p>
    <w:p>
      <w:pPr>
        <w:spacing w:line="276" w:lineRule="auto" w:before="0" w:after="120"/>
        <w:jc w:val="both"/>
      </w:pPr>
      <w:r>
        <w:rPr>
          <w:rFonts w:ascii="Times New Roman" w:hAnsi="Times New Roman"/>
          <w:color w:val="000000"/>
          <w:sz w:val="22"/>
        </w:rPr>
        <w:t>Prices for Products are set forth in Exhibit B (Pricing Schedule). All prices are denominated in United States Dollars (USD) and are FCA (Free Carrier) (Incoterms® 2020) Apex's manufacturing facility located at 4200 Crescent Ridge Parkway, Cincinnati, Ohio 45202. Prices include standard packaging suitable for ground transportation. Special packaging, crating, or export preparation shall be at Northland's expense, as quoted separately by Apex.</w:t>
      </w:r>
    </w:p>
    <w:p>
      <w:pPr>
        <w:keepNext/>
        <w:spacing w:line="276" w:lineRule="auto" w:before="360" w:after="120"/>
        <w:jc w:val="left"/>
      </w:pPr>
      <w:r>
        <w:rPr>
          <w:rFonts w:ascii="Times New Roman" w:hAnsi="Times New Roman"/>
          <w:b/>
          <w:color w:val="000000"/>
          <w:sz w:val="22"/>
          <w:u w:val="single"/>
        </w:rPr>
        <w:t>Section 4.2 — Price Adjustments</w:t>
      </w:r>
    </w:p>
    <w:p>
      <w:pPr>
        <w:spacing w:line="276" w:lineRule="auto" w:before="0" w:after="120"/>
        <w:jc w:val="both"/>
      </w:pPr>
      <w:r>
        <w:rPr>
          <w:rFonts w:ascii="Times New Roman" w:hAnsi="Times New Roman"/>
          <w:color w:val="000000"/>
          <w:sz w:val="22"/>
        </w:rPr>
        <w:t>Prices may be adjusted annually, effective on each anniversary of the Effective Date, by mutual written agreement of the Parties. Either Party may initiate price adjustment discussions by providing written notice to the other Party at least ninety (90) days prior to the applicable anniversary date. If the Parties cannot reach agreement on adjusted pricing by the anniversary date, the prior year's pricing shall remain in effect for an additional ninety (90)-day negotiation period. If the Parties are unable to agree on pricing by the end of such ninety (90)-day period, either Party may terminate this Agreement upon one hundred eighty (180) days' prior written notice.</w:t>
      </w:r>
    </w:p>
    <w:p>
      <w:pPr>
        <w:keepNext/>
        <w:spacing w:line="276" w:lineRule="auto" w:before="360" w:after="120"/>
        <w:jc w:val="left"/>
      </w:pPr>
      <w:r>
        <w:rPr>
          <w:rFonts w:ascii="Times New Roman" w:hAnsi="Times New Roman"/>
          <w:b/>
          <w:color w:val="000000"/>
          <w:sz w:val="22"/>
          <w:u w:val="single"/>
        </w:rPr>
        <w:t>Section 4.3 — Volume-Based Pricing</w:t>
      </w:r>
    </w:p>
    <w:p>
      <w:pPr>
        <w:spacing w:line="276" w:lineRule="auto" w:before="0" w:after="120"/>
        <w:jc w:val="both"/>
      </w:pPr>
      <w:r>
        <w:rPr>
          <w:rFonts w:ascii="Times New Roman" w:hAnsi="Times New Roman"/>
          <w:color w:val="000000"/>
          <w:sz w:val="22"/>
        </w:rPr>
        <w:t>If Northland's aggregate purchases in any Contract Year exceed Thirty-Five Million Dollars ($35,000,000), Apex shall apply a three percent (3%) volume discount to all purchases in excess of $35,000,000 for that Contract Year, calculated and credited in the immediately following Contract Year. If Northland's aggregate purchases in any Contract Year fall below Twenty-Five Million Dollars ($25,000,000), Apex may increase unit pricing by up to five percent (5%) for the immediately following Contract Year upon sixty (60) days' prior written notice.</w:t>
      </w:r>
    </w:p>
    <w:p>
      <w:pPr>
        <w:keepNext/>
        <w:spacing w:line="276" w:lineRule="auto" w:before="360" w:after="120"/>
        <w:jc w:val="left"/>
      </w:pPr>
      <w:r>
        <w:rPr>
          <w:rFonts w:ascii="Times New Roman" w:hAnsi="Times New Roman"/>
          <w:b/>
          <w:color w:val="000000"/>
          <w:sz w:val="22"/>
          <w:u w:val="single"/>
        </w:rPr>
        <w:t>Section 4.4 — Invoicing and Payment Terms</w:t>
      </w:r>
    </w:p>
    <w:p>
      <w:pPr>
        <w:spacing w:line="276" w:lineRule="auto" w:before="0" w:after="120"/>
        <w:jc w:val="both"/>
      </w:pPr>
      <w:r>
        <w:rPr>
          <w:rFonts w:ascii="Times New Roman" w:hAnsi="Times New Roman"/>
          <w:color w:val="000000"/>
          <w:sz w:val="22"/>
        </w:rPr>
        <w:t>Apex shall issue invoices upon shipment of Products. Each invoice shall reference the applicable Purchase Order number and this Agreement. Payment shall be due within forty-five (45) days from the date of the invoice (net 45). Late payments shall accrue interest at a rate equal to the lesser of one and one-half percent (1.5%) per month or the maximum rate permitted by applicable law, compounding monthly. Northland may withhold payment of any amounts that Northland disputes in good faith, provided that Northland delivers written notice specifying the nature and basis of the dispute within thirty (30) days of receipt of the applicable invoice.</w:t>
      </w:r>
    </w:p>
    <w:p>
      <w:pPr>
        <w:keepNext/>
        <w:spacing w:line="276" w:lineRule="auto" w:before="360" w:after="120"/>
        <w:jc w:val="left"/>
      </w:pPr>
      <w:r>
        <w:rPr>
          <w:rFonts w:ascii="Times New Roman" w:hAnsi="Times New Roman"/>
          <w:b/>
          <w:color w:val="000000"/>
          <w:sz w:val="22"/>
          <w:u w:val="single"/>
        </w:rPr>
        <w:t>Section 4.5 — Taxes</w:t>
      </w:r>
    </w:p>
    <w:p>
      <w:pPr>
        <w:spacing w:line="276" w:lineRule="auto" w:before="0" w:after="120"/>
        <w:jc w:val="both"/>
      </w:pPr>
      <w:r>
        <w:rPr>
          <w:rFonts w:ascii="Times New Roman" w:hAnsi="Times New Roman"/>
          <w:color w:val="000000"/>
          <w:sz w:val="22"/>
        </w:rPr>
        <w:t>All prices set forth in Exhibit B and all amounts payable under this Agreement are exclusive of applicable sales, use, value-added, excise, and similar taxes. Northland shall be responsible for all such taxes imposed on the purchase of Products, excluding taxes imposed on Apex's net income, franchise taxes, or property taxes assessed against Apex. Northland shall provide Apex with valid exemption certificates or resale certificates where applicable.</w:t>
      </w:r>
    </w:p>
    <w:p>
      <w:r>
        <w:br w:type="page"/>
      </w:r>
    </w:p>
    <w:p>
      <w:pPr>
        <w:keepNext/>
        <w:spacing w:line="276" w:lineRule="auto" w:before="120" w:after="240"/>
        <w:jc w:val="center"/>
      </w:pPr>
      <w:r>
        <w:rPr>
          <w:rFonts w:ascii="Times New Roman" w:hAnsi="Times New Roman"/>
          <w:b/>
          <w:color w:val="000000"/>
          <w:sz w:val="28"/>
          <w:u w:val="single"/>
        </w:rPr>
        <w:t>ARTICLE 5 — DELIVERY AND SHIPPING</w:t>
      </w:r>
    </w:p>
    <w:p>
      <w:pPr>
        <w:keepNext/>
        <w:spacing w:line="276" w:lineRule="auto" w:before="360" w:after="120"/>
        <w:jc w:val="left"/>
      </w:pPr>
      <w:r>
        <w:rPr>
          <w:rFonts w:ascii="Times New Roman" w:hAnsi="Times New Roman"/>
          <w:b/>
          <w:color w:val="000000"/>
          <w:sz w:val="22"/>
          <w:u w:val="single"/>
        </w:rPr>
        <w:t>Section 5.1 — Delivery</w:t>
      </w:r>
    </w:p>
    <w:p>
      <w:pPr>
        <w:spacing w:line="276" w:lineRule="auto" w:before="0" w:after="120"/>
        <w:jc w:val="both"/>
      </w:pPr>
      <w:r>
        <w:rPr>
          <w:rFonts w:ascii="Times New Roman" w:hAnsi="Times New Roman"/>
          <w:color w:val="000000"/>
          <w:sz w:val="22"/>
        </w:rPr>
        <w:t>Apex shall deliver Products FCA (Incoterms® 2020) Apex's manufacturing facility in Cincinnati, Ohio. Title to and risk of loss or damage with respect to Products shall pass from Apex to Northland upon delivery of the Products to the carrier designated by Northland at Apex's facility.</w:t>
      </w:r>
    </w:p>
    <w:p>
      <w:pPr>
        <w:keepNext/>
        <w:spacing w:line="276" w:lineRule="auto" w:before="360" w:after="120"/>
        <w:jc w:val="left"/>
      </w:pPr>
      <w:r>
        <w:rPr>
          <w:rFonts w:ascii="Times New Roman" w:hAnsi="Times New Roman"/>
          <w:b/>
          <w:color w:val="000000"/>
          <w:sz w:val="22"/>
          <w:u w:val="single"/>
        </w:rPr>
        <w:t>Section 5.2 — Lead Times</w:t>
      </w:r>
    </w:p>
    <w:p>
      <w:pPr>
        <w:spacing w:line="276" w:lineRule="auto" w:before="0" w:after="120"/>
        <w:jc w:val="both"/>
      </w:pPr>
      <w:r>
        <w:rPr>
          <w:rFonts w:ascii="Times New Roman" w:hAnsi="Times New Roman"/>
          <w:color w:val="000000"/>
          <w:sz w:val="22"/>
        </w:rPr>
        <w:t>Standard lead time for Products is eight (8) to twelve (12) weeks from the date of Apex's acceptance (or deemed acceptance) of a Purchase Order, depending on product type, complexity, and current manufacturing capacity. Apex shall notify Northland promptly if anticipated lead time will exceed twelve (12) weeks. Expedited delivery may be available upon request and, if agreed, shall be at additional cost to be quoted by Apex on a case-by-case basis.</w:t>
      </w:r>
    </w:p>
    <w:p>
      <w:pPr>
        <w:keepNext/>
        <w:spacing w:line="276" w:lineRule="auto" w:before="360" w:after="120"/>
        <w:jc w:val="left"/>
      </w:pPr>
      <w:r>
        <w:rPr>
          <w:rFonts w:ascii="Times New Roman" w:hAnsi="Times New Roman"/>
          <w:b/>
          <w:color w:val="000000"/>
          <w:sz w:val="22"/>
          <w:u w:val="single"/>
        </w:rPr>
        <w:t>Section 5.3 — Shipping and Insurance</w:t>
      </w:r>
    </w:p>
    <w:p>
      <w:pPr>
        <w:spacing w:line="276" w:lineRule="auto" w:before="0" w:after="120"/>
        <w:jc w:val="both"/>
      </w:pPr>
      <w:r>
        <w:rPr>
          <w:rFonts w:ascii="Times New Roman" w:hAnsi="Times New Roman"/>
          <w:color w:val="000000"/>
          <w:sz w:val="22"/>
        </w:rPr>
        <w:t>Northland shall arrange and bear the cost of freight, transportation, and transit insurance for shipment of Products from Apex's manufacturing facility to Northland's designated delivery point. Apex shall cooperate with Northland's designated carriers and provide reasonable assistance in loading and documentation. Northland shall maintain transit insurance coverage sufficient to cover the full replacement value of Products during transit.</w:t>
      </w:r>
    </w:p>
    <w:p>
      <w:pPr>
        <w:keepNext/>
        <w:spacing w:line="276" w:lineRule="auto" w:before="360" w:after="120"/>
        <w:jc w:val="left"/>
      </w:pPr>
      <w:r>
        <w:rPr>
          <w:rFonts w:ascii="Times New Roman" w:hAnsi="Times New Roman"/>
          <w:b/>
          <w:color w:val="000000"/>
          <w:sz w:val="22"/>
          <w:u w:val="single"/>
        </w:rPr>
        <w:t>Section 5.4 — Late Delivery</w:t>
      </w:r>
    </w:p>
    <w:p>
      <w:pPr>
        <w:spacing w:line="276" w:lineRule="auto" w:before="0" w:after="120"/>
        <w:jc w:val="both"/>
      </w:pPr>
      <w:r>
        <w:rPr>
          <w:rFonts w:ascii="Times New Roman" w:hAnsi="Times New Roman"/>
          <w:color w:val="000000"/>
          <w:sz w:val="22"/>
        </w:rPr>
        <w:t>If Apex fails to deliver Products within fifteen (15) business days of the Delivery Date specified in the applicable Purchase Order, other than as a result of a Force Majeure Event or Northland's acts or omissions, Northland shall be entitled to liquidated damages in the amount of one-half of one percent (0.5%) of the applicable Purchase Order value for each full week of delay, up to a maximum of five percent (5%) of the applicable Purchase Order value. The Parties agree that such liquidated damages represent a reasonable estimate of Northland's anticipated damages from late delivery and are not intended as a penalty.</w:t>
      </w:r>
    </w:p>
    <w:p>
      <w:pPr>
        <w:keepNext/>
        <w:spacing w:line="276" w:lineRule="auto" w:before="360" w:after="120"/>
        <w:jc w:val="left"/>
      </w:pPr>
      <w:r>
        <w:rPr>
          <w:rFonts w:ascii="Times New Roman" w:hAnsi="Times New Roman"/>
          <w:b/>
          <w:color w:val="000000"/>
          <w:sz w:val="22"/>
          <w:u w:val="single"/>
        </w:rPr>
        <w:t>Section 5.5 — Inspection and Acceptance</w:t>
      </w:r>
    </w:p>
    <w:p>
      <w:pPr>
        <w:spacing w:line="276" w:lineRule="auto" w:before="0" w:after="120"/>
        <w:jc w:val="both"/>
      </w:pPr>
      <w:r>
        <w:rPr>
          <w:rFonts w:ascii="Times New Roman" w:hAnsi="Times New Roman"/>
          <w:color w:val="000000"/>
          <w:sz w:val="22"/>
        </w:rPr>
        <w:t>Northland shall inspect Products within thirty (30) days of delivery at Northland's receiving facility (the "</w:t>
      </w:r>
      <w:r>
        <w:rPr>
          <w:rFonts w:ascii="Times New Roman" w:hAnsi="Times New Roman"/>
          <w:b/>
          <w:color w:val="000000"/>
          <w:sz w:val="22"/>
        </w:rPr>
        <w:t>Inspection Period</w:t>
      </w:r>
      <w:r>
        <w:rPr>
          <w:rFonts w:ascii="Times New Roman" w:hAnsi="Times New Roman"/>
          <w:color w:val="000000"/>
          <w:sz w:val="22"/>
        </w:rPr>
        <w:t>"). If Products fail to conform to the applicable Specifications or Purchase Order, Northland shall provide written notice of rejection to Apex specifying the nature of the nonconformity in reasonable detail within the Inspection Period. Apex shall, within twenty (20) business days of receipt of a valid rejection notice, repair, replace, or otherwise cure the nonconformity at Apex's expense. Products not rejected within the Inspection Period shall be deemed accepted.</w:t>
      </w:r>
    </w:p>
    <w:p>
      <w:r>
        <w:br w:type="page"/>
      </w:r>
    </w:p>
    <w:p>
      <w:pPr>
        <w:keepNext/>
        <w:spacing w:line="276" w:lineRule="auto" w:before="120" w:after="240"/>
        <w:jc w:val="center"/>
      </w:pPr>
      <w:r>
        <w:rPr>
          <w:rFonts w:ascii="Times New Roman" w:hAnsi="Times New Roman"/>
          <w:b/>
          <w:color w:val="000000"/>
          <w:sz w:val="28"/>
          <w:u w:val="single"/>
        </w:rPr>
        <w:t>ARTICLE 6 — PRODUCT SPECIFICATIONS AND QUALITY</w:t>
      </w:r>
    </w:p>
    <w:p>
      <w:pPr>
        <w:keepNext/>
        <w:spacing w:line="276" w:lineRule="auto" w:before="360" w:after="120"/>
        <w:jc w:val="left"/>
      </w:pPr>
      <w:r>
        <w:rPr>
          <w:rFonts w:ascii="Times New Roman" w:hAnsi="Times New Roman"/>
          <w:b/>
          <w:color w:val="000000"/>
          <w:sz w:val="22"/>
          <w:u w:val="single"/>
        </w:rPr>
        <w:t>Section 6.1 — Specifications</w:t>
      </w:r>
    </w:p>
    <w:p>
      <w:pPr>
        <w:spacing w:line="276" w:lineRule="auto" w:before="0" w:after="120"/>
        <w:jc w:val="both"/>
      </w:pPr>
      <w:r>
        <w:rPr>
          <w:rFonts w:ascii="Times New Roman" w:hAnsi="Times New Roman"/>
          <w:color w:val="000000"/>
          <w:sz w:val="22"/>
        </w:rPr>
        <w:t>All Products supplied under this Agreement shall conform in all material respects to the Specifications set forth in Exhibit A and as further specified in the applicable Purchase Order. Apex shall not make any material changes to the design, materials, manufacturing processes, or performance characteristics of any Product without Northland's prior written approval. For purposes of this Section, a "material change" is any change that could reasonably be expected to affect Product performance, reliability, interchangeability, or compliance with applicable industry standards.</w:t>
      </w:r>
    </w:p>
    <w:p>
      <w:pPr>
        <w:keepNext/>
        <w:spacing w:line="276" w:lineRule="auto" w:before="360" w:after="120"/>
        <w:jc w:val="left"/>
      </w:pPr>
      <w:r>
        <w:rPr>
          <w:rFonts w:ascii="Times New Roman" w:hAnsi="Times New Roman"/>
          <w:b/>
          <w:color w:val="000000"/>
          <w:sz w:val="22"/>
          <w:u w:val="single"/>
        </w:rPr>
        <w:t>Section 6.2 — Quality Management</w:t>
      </w:r>
    </w:p>
    <w:p>
      <w:pPr>
        <w:spacing w:line="276" w:lineRule="auto" w:before="0" w:after="120"/>
        <w:jc w:val="both"/>
      </w:pPr>
      <w:r>
        <w:rPr>
          <w:rFonts w:ascii="Times New Roman" w:hAnsi="Times New Roman"/>
          <w:color w:val="000000"/>
          <w:sz w:val="22"/>
        </w:rPr>
        <w:t>Apex shall establish and maintain a quality management system conforming to ISO 9001:2015 (or any successor standard) throughout the Term. Apex shall provide certificates of compliance and quality test reports with each shipment of Products, as specified in the applicable Purchase Order. Apex shall promptly notify Northland of any loss or suspension of its ISO 9001 certification and shall use commercially reasonable efforts to regain certification within ninety (90) days.</w:t>
      </w:r>
    </w:p>
    <w:p>
      <w:pPr>
        <w:keepNext/>
        <w:spacing w:line="276" w:lineRule="auto" w:before="360" w:after="120"/>
        <w:jc w:val="left"/>
      </w:pPr>
      <w:r>
        <w:rPr>
          <w:rFonts w:ascii="Times New Roman" w:hAnsi="Times New Roman"/>
          <w:b/>
          <w:color w:val="000000"/>
          <w:sz w:val="22"/>
          <w:u w:val="single"/>
        </w:rPr>
        <w:t>Section 6.3 — Regulatory Compliance</w:t>
      </w:r>
    </w:p>
    <w:p>
      <w:pPr>
        <w:spacing w:line="276" w:lineRule="auto" w:before="0" w:after="120"/>
        <w:jc w:val="both"/>
      </w:pPr>
      <w:r>
        <w:rPr>
          <w:rFonts w:ascii="Times New Roman" w:hAnsi="Times New Roman"/>
          <w:color w:val="000000"/>
          <w:sz w:val="22"/>
        </w:rPr>
        <w:t>All Products shall comply with applicable laws, regulations, and industry standards in effect at the time of manufacture, including American Petroleum Institute (API) standards applicable to fluid control equipment used in petroleum refining and petrochemical processing operations, Occupational Safety and Health Administration (OSHA) requirements, and any other applicable federal, state, or local regulatory requirements. Apex shall maintain and provide documentation evidencing regulatory compliance upon Northland's reasonable request.</w:t>
      </w:r>
    </w:p>
    <w:p>
      <w:pPr>
        <w:keepNext/>
        <w:spacing w:line="276" w:lineRule="auto" w:before="360" w:after="120"/>
        <w:jc w:val="left"/>
      </w:pPr>
      <w:r>
        <w:rPr>
          <w:rFonts w:ascii="Times New Roman" w:hAnsi="Times New Roman"/>
          <w:b/>
          <w:color w:val="000000"/>
          <w:sz w:val="22"/>
          <w:u w:val="single"/>
        </w:rPr>
        <w:t>Section 6.4 — Right of Audit</w:t>
      </w:r>
    </w:p>
    <w:p>
      <w:pPr>
        <w:spacing w:line="276" w:lineRule="auto" w:before="0" w:after="120"/>
        <w:jc w:val="both"/>
      </w:pPr>
      <w:r>
        <w:rPr>
          <w:rFonts w:ascii="Times New Roman" w:hAnsi="Times New Roman"/>
          <w:color w:val="000000"/>
          <w:sz w:val="22"/>
        </w:rPr>
        <w:t>Northland shall have the right, upon not less than thirty (30) days' prior written notice, to audit and inspect Apex's manufacturing facilities, quality management systems, and related records to verify compliance with the requirements of this Agreement. Such audits shall be conducted during normal business hours and shall occur no more than twice per Contract Year. Apex shall provide reasonable cooperation and access to relevant personnel and documentation during any such audit.</w:t>
      </w:r>
    </w:p>
    <w:p>
      <w:pPr>
        <w:keepNext/>
        <w:spacing w:line="276" w:lineRule="auto" w:before="360" w:after="120"/>
        <w:jc w:val="left"/>
      </w:pPr>
      <w:r>
        <w:rPr>
          <w:rFonts w:ascii="Times New Roman" w:hAnsi="Times New Roman"/>
          <w:b/>
          <w:color w:val="000000"/>
          <w:sz w:val="22"/>
          <w:u w:val="single"/>
        </w:rPr>
        <w:t>Section 6.5 — Change Management</w:t>
      </w:r>
    </w:p>
    <w:p>
      <w:pPr>
        <w:spacing w:line="276" w:lineRule="auto" w:before="0" w:after="120"/>
        <w:jc w:val="both"/>
      </w:pPr>
      <w:r>
        <w:rPr>
          <w:rFonts w:ascii="Times New Roman" w:hAnsi="Times New Roman"/>
          <w:color w:val="000000"/>
          <w:sz w:val="22"/>
        </w:rPr>
        <w:t>If Apex desires to change its manufacturing processes, raw materials, sub-suppliers, or component sources in a manner that could reasonably affect Product quality, performance, or reliability, Apex shall notify Northland in writing at least ninety (90) days in advance of any such proposed change and shall obtain Northland's prior written approval before implementing the change. Northland shall evaluate the proposed change and respond within thirty (30) days of receipt of Apex's notification. Northland's approval shall not be unreasonably withheld, conditioned, or delayed if the proposed change does not adversely affect Product quality or performance.</w:t>
      </w:r>
    </w:p>
    <w:p>
      <w:r>
        <w:br w:type="page"/>
      </w:r>
    </w:p>
    <w:p>
      <w:pPr>
        <w:keepNext/>
        <w:spacing w:line="276" w:lineRule="auto" w:before="120" w:after="240"/>
        <w:jc w:val="center"/>
      </w:pPr>
      <w:r>
        <w:rPr>
          <w:rFonts w:ascii="Times New Roman" w:hAnsi="Times New Roman"/>
          <w:b/>
          <w:color w:val="000000"/>
          <w:sz w:val="28"/>
          <w:u w:val="single"/>
        </w:rPr>
        <w:t>ARTICLE 7 — WARRANTIES</w:t>
      </w:r>
    </w:p>
    <w:p>
      <w:pPr>
        <w:keepNext/>
        <w:spacing w:line="276" w:lineRule="auto" w:before="360" w:after="120"/>
        <w:jc w:val="left"/>
      </w:pPr>
      <w:r>
        <w:rPr>
          <w:rFonts w:ascii="Times New Roman" w:hAnsi="Times New Roman"/>
          <w:b/>
          <w:color w:val="000000"/>
          <w:sz w:val="22"/>
          <w:u w:val="single"/>
        </w:rPr>
        <w:t>Section 7.1 — Product Warranty</w:t>
      </w:r>
    </w:p>
    <w:p>
      <w:pPr>
        <w:spacing w:line="276" w:lineRule="auto" w:before="0" w:after="120"/>
        <w:jc w:val="both"/>
      </w:pPr>
      <w:r>
        <w:rPr>
          <w:rFonts w:ascii="Times New Roman" w:hAnsi="Times New Roman"/>
          <w:color w:val="000000"/>
          <w:sz w:val="22"/>
        </w:rPr>
        <w:t>Apex warrants that all Products supplied under this Agreement shall, during the Warranty Period: (a) conform in all material respects to the applicable Specifications; (b) be free from defects in materials and workmanship; (c) be merchantable and fit for the particular purpose described in the Specifications and applicable Purchase Order; and (d) be manufactured in compliance with all applicable laws, regulations, and industry standards. The Warranty Period for each Product shall be twenty-four (24) months from the date of delivery to Northland or eighteen (18) months from the date of installation of such Product, whichever occurs first.</w:t>
      </w:r>
    </w:p>
    <w:p>
      <w:pPr>
        <w:keepNext/>
        <w:spacing w:line="276" w:lineRule="auto" w:before="360" w:after="120"/>
        <w:jc w:val="left"/>
      </w:pPr>
      <w:r>
        <w:rPr>
          <w:rFonts w:ascii="Times New Roman" w:hAnsi="Times New Roman"/>
          <w:b/>
          <w:color w:val="000000"/>
          <w:sz w:val="22"/>
          <w:u w:val="single"/>
        </w:rPr>
        <w:t>Section 7.2 — Warranty Remedies</w:t>
      </w:r>
    </w:p>
    <w:p>
      <w:pPr>
        <w:spacing w:line="276" w:lineRule="auto" w:before="0" w:after="120"/>
        <w:jc w:val="both"/>
      </w:pPr>
      <w:r>
        <w:rPr>
          <w:rFonts w:ascii="Times New Roman" w:hAnsi="Times New Roman"/>
          <w:color w:val="000000"/>
          <w:sz w:val="22"/>
        </w:rPr>
        <w:t>If any Product fails to conform to the warranty set forth in Section 7.1 during the applicable Warranty Period, Apex shall, at its option, promptly repair the defective Product, replace the defective Product with a conforming Product, or refund the purchase price paid by Northland for the defective Product. Apex shall bear all costs associated with warranty returns, including shipping, handling, and inspection costs. Any repaired or replacement Product shall carry a new Warranty Period of twelve (12) months from the date of delivery of the repair or replacement, regardless of the original Warranty Period.</w:t>
      </w:r>
    </w:p>
    <w:p>
      <w:pPr>
        <w:keepNext/>
        <w:spacing w:line="276" w:lineRule="auto" w:before="360" w:after="120"/>
        <w:jc w:val="left"/>
      </w:pPr>
      <w:r>
        <w:rPr>
          <w:rFonts w:ascii="Times New Roman" w:hAnsi="Times New Roman"/>
          <w:b/>
          <w:color w:val="000000"/>
          <w:sz w:val="22"/>
          <w:u w:val="single"/>
        </w:rPr>
        <w:t>Section 7.3 — Warranty Exclusions</w:t>
      </w:r>
    </w:p>
    <w:p>
      <w:pPr>
        <w:spacing w:line="276" w:lineRule="auto" w:before="0" w:after="120"/>
        <w:jc w:val="both"/>
      </w:pPr>
      <w:r>
        <w:rPr>
          <w:rFonts w:ascii="Times New Roman" w:hAnsi="Times New Roman"/>
          <w:color w:val="000000"/>
          <w:sz w:val="22"/>
        </w:rPr>
        <w:t>The warranty set forth in Section 7.1 shall not apply to any Product defect or nonconformity resulting from: (a) misuse, abuse, or negligence by Northland or any third party; (b) installation, maintenance, or operation not in accordance with Apex's published instructions or applicable industry standards; (c) unauthorized modification, alteration, or repair by Northland or any third party; (d) normal wear and tear; or (e) use of the Product in an environment or application outside the Specifications.</w:t>
      </w:r>
    </w:p>
    <w:p>
      <w:pPr>
        <w:keepNext/>
        <w:spacing w:line="276" w:lineRule="auto" w:before="360" w:after="120"/>
        <w:jc w:val="left"/>
      </w:pPr>
      <w:r>
        <w:rPr>
          <w:rFonts w:ascii="Times New Roman" w:hAnsi="Times New Roman"/>
          <w:b/>
          <w:color w:val="000000"/>
          <w:sz w:val="22"/>
          <w:u w:val="single"/>
        </w:rPr>
        <w:t>Section 7.4 — Disclaimer</w:t>
      </w:r>
    </w:p>
    <w:p>
      <w:pPr>
        <w:spacing w:line="276" w:lineRule="auto" w:before="0" w:after="120"/>
        <w:jc w:val="both"/>
      </w:pPr>
      <w:r>
        <w:rPr>
          <w:rFonts w:ascii="Times New Roman" w:hAnsi="Times New Roman"/>
          <w:color w:val="000000"/>
          <w:sz w:val="22"/>
        </w:rPr>
        <w:t>EXCEPT AS EXPRESSLY SET FORTH IN THIS ARTICLE 7, APEX MAKES NO OTHER WARRANTIES WITH RESPECT TO THE PRODUCTS, WHETHER EXPRESS, IMPLIED, STATUTORY, OR OTHERWISE, AND APEX HEREBY EXPRESSLY DISCLAIMS ALL OTHER WARRANTIES, INCLUDING ANY IMPLIED WARRANTIES OF MERCHANTABILITY OR FITNESS FOR A PARTICULAR PURPOSE, TO THE MAXIMUM EXTENT PERMITTED BY APPLICABLE LAW. THE WARRANTIES SET FORTH IN SECTION 7.1 ARE THE SOLE AND EXCLUSIVE WARRANTIES PROVIDED BY APEX WITH RESPECT TO THE PRODUCTS.</w:t>
      </w:r>
    </w:p>
    <w:p>
      <w:r>
        <w:br w:type="page"/>
      </w:r>
    </w:p>
    <w:p>
      <w:pPr>
        <w:keepNext/>
        <w:spacing w:line="276" w:lineRule="auto" w:before="120" w:after="240"/>
        <w:jc w:val="center"/>
      </w:pPr>
      <w:r>
        <w:rPr>
          <w:rFonts w:ascii="Times New Roman" w:hAnsi="Times New Roman"/>
          <w:b/>
          <w:color w:val="000000"/>
          <w:sz w:val="28"/>
          <w:u w:val="single"/>
        </w:rPr>
        <w:t>ARTICLE 8 — INTELLECTUAL PROPERTY</w:t>
      </w:r>
    </w:p>
    <w:p>
      <w:pPr>
        <w:keepNext/>
        <w:spacing w:line="276" w:lineRule="auto" w:before="360" w:after="120"/>
        <w:jc w:val="left"/>
      </w:pPr>
      <w:r>
        <w:rPr>
          <w:rFonts w:ascii="Times New Roman" w:hAnsi="Times New Roman"/>
          <w:b/>
          <w:color w:val="000000"/>
          <w:sz w:val="22"/>
          <w:u w:val="single"/>
        </w:rPr>
        <w:t>Section 8.1 — Ownership</w:t>
      </w:r>
    </w:p>
    <w:p>
      <w:pPr>
        <w:spacing w:line="276" w:lineRule="auto" w:before="0" w:after="120"/>
        <w:jc w:val="both"/>
      </w:pPr>
      <w:r>
        <w:rPr>
          <w:rFonts w:ascii="Times New Roman" w:hAnsi="Times New Roman"/>
          <w:color w:val="000000"/>
          <w:sz w:val="22"/>
        </w:rPr>
        <w:t>Apex retains all right, title, and interest in and to all intellectual property rights embodied in or related to the Products, including all patents, patent applications, trade secrets, copyrights, trademarks, designs, know-how, and technical information. Nothing in this Agreement shall be construed as granting Northland any license, right, or interest in Apex's intellectual property, except the limited right to use the Products for their intended purpose in Northland's refining and petrochemical processing operations.</w:t>
      </w:r>
    </w:p>
    <w:p>
      <w:pPr>
        <w:keepNext/>
        <w:spacing w:line="276" w:lineRule="auto" w:before="360" w:after="120"/>
        <w:jc w:val="left"/>
      </w:pPr>
      <w:r>
        <w:rPr>
          <w:rFonts w:ascii="Times New Roman" w:hAnsi="Times New Roman"/>
          <w:b/>
          <w:color w:val="000000"/>
          <w:sz w:val="22"/>
          <w:u w:val="single"/>
        </w:rPr>
        <w:t>Section 8.2 — IP Indemnification</w:t>
      </w:r>
    </w:p>
    <w:p>
      <w:pPr>
        <w:spacing w:line="276" w:lineRule="auto" w:before="0" w:after="120"/>
        <w:jc w:val="both"/>
      </w:pPr>
      <w:r>
        <w:rPr>
          <w:rFonts w:ascii="Times New Roman" w:hAnsi="Times New Roman"/>
          <w:color w:val="000000"/>
          <w:sz w:val="22"/>
        </w:rPr>
        <w:t>Apex shall indemnify, defend, and hold harmless Northland and its Affiliates from and against any and all claims, damages, losses, liabilities, costs, and expenses (including reasonable attorneys' fees) arising from any third-party claim alleging that any Product, as supplied by Apex and used in accordance with the Specifications, infringes any United States patent, copyright, or trade secret. Apex's obligations under this Section 8.2 shall not apply to the extent any infringement claim arises from: (a) modification of the Products by Northland or any third party; (b) combination of the Products with any product, system, or process not supplied by Apex; or (c) use of the Products in a manner outside the Specifications.</w:t>
      </w:r>
    </w:p>
    <w:p>
      <w:pPr>
        <w:keepNext/>
        <w:spacing w:line="276" w:lineRule="auto" w:before="360" w:after="120"/>
        <w:jc w:val="left"/>
      </w:pPr>
      <w:r>
        <w:rPr>
          <w:rFonts w:ascii="Times New Roman" w:hAnsi="Times New Roman"/>
          <w:b/>
          <w:color w:val="000000"/>
          <w:sz w:val="22"/>
          <w:u w:val="single"/>
        </w:rPr>
        <w:t>Section 8.3 — Background IP</w:t>
      </w:r>
    </w:p>
    <w:p>
      <w:pPr>
        <w:spacing w:line="276" w:lineRule="auto" w:before="0" w:after="120"/>
        <w:jc w:val="both"/>
      </w:pPr>
      <w:r>
        <w:rPr>
          <w:rFonts w:ascii="Times New Roman" w:hAnsi="Times New Roman"/>
          <w:color w:val="000000"/>
          <w:sz w:val="22"/>
        </w:rPr>
        <w:t>Each Party retains sole ownership of its pre-existing intellectual property and any intellectual property developed independently of this Agreement. Neither Party shall acquire any right, title, or interest in the other Party's pre-existing or independently developed intellectual property by virtue of this Agreement.</w:t>
      </w:r>
    </w:p>
    <w:p>
      <w:r>
        <w:br w:type="page"/>
      </w:r>
    </w:p>
    <w:p>
      <w:pPr>
        <w:keepNext/>
        <w:spacing w:line="276" w:lineRule="auto" w:before="120" w:after="240"/>
        <w:jc w:val="center"/>
      </w:pPr>
      <w:r>
        <w:rPr>
          <w:rFonts w:ascii="Times New Roman" w:hAnsi="Times New Roman"/>
          <w:b/>
          <w:color w:val="000000"/>
          <w:sz w:val="28"/>
          <w:u w:val="single"/>
        </w:rPr>
        <w:t>ARTICLE 9 — CONFIDENTIALITY</w:t>
      </w:r>
    </w:p>
    <w:p>
      <w:pPr>
        <w:keepNext/>
        <w:spacing w:line="276" w:lineRule="auto" w:before="360" w:after="120"/>
        <w:jc w:val="left"/>
      </w:pPr>
      <w:r>
        <w:rPr>
          <w:rFonts w:ascii="Times New Roman" w:hAnsi="Times New Roman"/>
          <w:b/>
          <w:color w:val="000000"/>
          <w:sz w:val="22"/>
          <w:u w:val="single"/>
        </w:rPr>
        <w:t>Section 9.1 — Obligations</w:t>
      </w:r>
    </w:p>
    <w:p>
      <w:pPr>
        <w:spacing w:line="276" w:lineRule="auto" w:before="0" w:after="120"/>
        <w:jc w:val="both"/>
      </w:pPr>
      <w:r>
        <w:rPr>
          <w:rFonts w:ascii="Times New Roman" w:hAnsi="Times New Roman"/>
          <w:color w:val="000000"/>
          <w:sz w:val="22"/>
        </w:rPr>
        <w:t>Each Party shall hold the other Party's Confidential Information in strict confidence and shall not, without the prior written consent of the disclosing Party, disclose such Confidential Information to any third party or use such Confidential Information for any purpose other than the performance of its obligations or exercise of its rights under this Agreement. The foregoing obligations shall not apply to information that: (a) is or becomes publicly available through no fault of the receiving Party; (b) was known to the receiving Party prior to disclosure; (c) is independently developed by the receiving Party without reference to the disclosing Party's Confidential Information; or (d) is required to be disclosed by law, regulation, or court order, provided that the receiving Party gives prompt notice to the disclosing Party and cooperates with efforts to obtain protective treatment.</w:t>
      </w:r>
    </w:p>
    <w:p>
      <w:pPr>
        <w:keepNext/>
        <w:spacing w:line="276" w:lineRule="auto" w:before="360" w:after="120"/>
        <w:jc w:val="left"/>
      </w:pPr>
      <w:r>
        <w:rPr>
          <w:rFonts w:ascii="Times New Roman" w:hAnsi="Times New Roman"/>
          <w:b/>
          <w:color w:val="000000"/>
          <w:sz w:val="22"/>
          <w:u w:val="single"/>
        </w:rPr>
        <w:t>Section 9.2 — Duration</w:t>
      </w:r>
    </w:p>
    <w:p>
      <w:pPr>
        <w:spacing w:line="276" w:lineRule="auto" w:before="0" w:after="120"/>
        <w:jc w:val="both"/>
      </w:pPr>
      <w:r>
        <w:rPr>
          <w:rFonts w:ascii="Times New Roman" w:hAnsi="Times New Roman"/>
          <w:color w:val="000000"/>
          <w:sz w:val="22"/>
        </w:rPr>
        <w:t>The confidentiality obligations set forth in this Article 9 shall survive expiration or termination of this Agreement for a period of five (5) years.</w:t>
      </w:r>
    </w:p>
    <w:p>
      <w:pPr>
        <w:keepNext/>
        <w:spacing w:line="276" w:lineRule="auto" w:before="360" w:after="120"/>
        <w:jc w:val="left"/>
      </w:pPr>
      <w:r>
        <w:rPr>
          <w:rFonts w:ascii="Times New Roman" w:hAnsi="Times New Roman"/>
          <w:b/>
          <w:color w:val="000000"/>
          <w:sz w:val="22"/>
          <w:u w:val="single"/>
        </w:rPr>
        <w:t>Section 9.3 — Permitted Disclosures</w:t>
      </w:r>
    </w:p>
    <w:p>
      <w:pPr>
        <w:spacing w:line="276" w:lineRule="auto" w:before="0" w:after="120"/>
        <w:jc w:val="both"/>
      </w:pPr>
      <w:r>
        <w:rPr>
          <w:rFonts w:ascii="Times New Roman" w:hAnsi="Times New Roman"/>
          <w:color w:val="000000"/>
          <w:sz w:val="22"/>
        </w:rPr>
        <w:t>A Party may disclose the other Party's Confidential Information to its employees, officers, directors, advisors, accountants, attorneys, and Affiliates who have a need to know such information for purposes of this Agreement, provided that such persons are bound by confidentiality obligations no less protective than those set forth in this Article 9. The disclosing Party shall be responsible for any breach of this Article 9 by its employees, officers, directors, advisors, accountants, attorneys, or Affiliates.</w:t>
      </w:r>
    </w:p>
    <w:p>
      <w:pPr>
        <w:keepNext/>
        <w:spacing w:line="276" w:lineRule="auto" w:before="360" w:after="120"/>
        <w:jc w:val="left"/>
      </w:pPr>
      <w:r>
        <w:rPr>
          <w:rFonts w:ascii="Times New Roman" w:hAnsi="Times New Roman"/>
          <w:b/>
          <w:color w:val="000000"/>
          <w:sz w:val="22"/>
          <w:u w:val="single"/>
        </w:rPr>
        <w:t>Section 9.4 — Return of Materials</w:t>
      </w:r>
    </w:p>
    <w:p>
      <w:pPr>
        <w:spacing w:line="276" w:lineRule="auto" w:before="0" w:after="120"/>
        <w:jc w:val="both"/>
      </w:pPr>
      <w:r>
        <w:rPr>
          <w:rFonts w:ascii="Times New Roman" w:hAnsi="Times New Roman"/>
          <w:color w:val="000000"/>
          <w:sz w:val="22"/>
        </w:rPr>
        <w:t>Upon termination or expiration of this Agreement, or upon the written request of the disclosing Party, the receiving Party shall promptly return or destroy all tangible materials containing the disclosing Party's Confidential Information and shall certify such return or destruction in writing, subject to retention of copies required by applicable law, regulation, or bona fide document retention policy, provided that such retained copies remain subject to the confidentiality obligations of this Article 9.</w:t>
      </w:r>
    </w:p>
    <w:p>
      <w:r>
        <w:br w:type="page"/>
      </w:r>
    </w:p>
    <w:p>
      <w:pPr>
        <w:keepNext/>
        <w:spacing w:line="276" w:lineRule="auto" w:before="120" w:after="240"/>
        <w:jc w:val="center"/>
      </w:pPr>
      <w:r>
        <w:rPr>
          <w:rFonts w:ascii="Times New Roman" w:hAnsi="Times New Roman"/>
          <w:b/>
          <w:color w:val="000000"/>
          <w:sz w:val="28"/>
          <w:u w:val="single"/>
        </w:rPr>
        <w:t>ARTICLE 10 — INDEMNIFICATION</w:t>
      </w:r>
    </w:p>
    <w:p>
      <w:pPr>
        <w:keepNext/>
        <w:spacing w:line="276" w:lineRule="auto" w:before="360" w:after="120"/>
        <w:jc w:val="left"/>
      </w:pPr>
      <w:r>
        <w:rPr>
          <w:rFonts w:ascii="Times New Roman" w:hAnsi="Times New Roman"/>
          <w:b/>
          <w:color w:val="000000"/>
          <w:sz w:val="22"/>
          <w:u w:val="single"/>
        </w:rPr>
        <w:t>Section 10.1 — Supplier Indemnification</w:t>
      </w:r>
    </w:p>
    <w:p>
      <w:pPr>
        <w:spacing w:line="276" w:lineRule="auto" w:before="0" w:after="120"/>
        <w:jc w:val="both"/>
      </w:pPr>
      <w:r>
        <w:rPr>
          <w:rFonts w:ascii="Times New Roman" w:hAnsi="Times New Roman"/>
          <w:color w:val="000000"/>
          <w:sz w:val="22"/>
        </w:rPr>
        <w:t>Apex shall indemnify, defend, and hold harmless Northland and its Affiliates, and their respective officers, directors, employees, and agents, from and against any and all third-party claims, demands, actions, damages, losses, liabilities, costs, and expenses (including reasonable attorneys' fees and costs of litigation) arising out of or related to: (a) any defect in the Products; (b) Apex's negligence or willful misconduct in the performance of this Agreement; (c) any breach of Apex's warranties under Article 7; or (d) infringement of third-party intellectual property rights, subject to and in accordance with Section 8.2.</w:t>
      </w:r>
    </w:p>
    <w:p>
      <w:pPr>
        <w:keepNext/>
        <w:spacing w:line="276" w:lineRule="auto" w:before="360" w:after="120"/>
        <w:jc w:val="left"/>
      </w:pPr>
      <w:r>
        <w:rPr>
          <w:rFonts w:ascii="Times New Roman" w:hAnsi="Times New Roman"/>
          <w:b/>
          <w:color w:val="000000"/>
          <w:sz w:val="22"/>
          <w:u w:val="single"/>
        </w:rPr>
        <w:t>Section 10.2 — Buyer Indemnification</w:t>
      </w:r>
    </w:p>
    <w:p>
      <w:pPr>
        <w:spacing w:line="276" w:lineRule="auto" w:before="0" w:after="120"/>
        <w:jc w:val="both"/>
      </w:pPr>
      <w:r>
        <w:rPr>
          <w:rFonts w:ascii="Times New Roman" w:hAnsi="Times New Roman"/>
          <w:color w:val="000000"/>
          <w:sz w:val="22"/>
        </w:rPr>
        <w:t>Northland shall indemnify, defend, and hold harmless Apex and its Affiliates, and their respective officers, directors, employees, and agents, from and against any and all third-party claims, demands, actions, damages, losses, liabilities, costs, and expenses (including reasonable attorneys' fees and costs of litigation) arising out of or related to: (a) Northland's misuse of the Products or use of the Products in a manner inconsistent with the Specifications; (b) Northland's negligence or willful misconduct; or (c) Northland's material breach of this Agreement.</w:t>
      </w:r>
    </w:p>
    <w:p>
      <w:pPr>
        <w:keepNext/>
        <w:spacing w:line="276" w:lineRule="auto" w:before="360" w:after="120"/>
        <w:jc w:val="left"/>
      </w:pPr>
      <w:r>
        <w:rPr>
          <w:rFonts w:ascii="Times New Roman" w:hAnsi="Times New Roman"/>
          <w:b/>
          <w:color w:val="000000"/>
          <w:sz w:val="22"/>
          <w:u w:val="single"/>
        </w:rPr>
        <w:t>Section 10.3 — Indemnification Procedures</w:t>
      </w:r>
    </w:p>
    <w:p>
      <w:pPr>
        <w:spacing w:line="276" w:lineRule="auto" w:before="0" w:after="120"/>
        <w:jc w:val="both"/>
      </w:pPr>
      <w:r>
        <w:rPr>
          <w:rFonts w:ascii="Times New Roman" w:hAnsi="Times New Roman"/>
          <w:color w:val="000000"/>
          <w:sz w:val="22"/>
        </w:rPr>
        <w:t>The indemnified Party shall promptly notify the indemnifying Party in writing of any claim for which indemnification is sought, provided that failure to give timely notice shall not relieve the indemnifying Party of its indemnification obligations except to the extent the indemnifying Party is materially prejudiced by such failure. The indemnifying Party shall have the right to assume the defense of any such claim with counsel reasonably acceptable to the indemnified Party. The indemnified Party shall cooperate in the defense at the indemnifying Party's expense. Neither Party shall settle any claim subject to indemnification without the prior written consent of the other Party, which consent shall not be unreasonably withheld.</w:t>
      </w:r>
    </w:p>
    <w:p>
      <w:pPr>
        <w:keepNext/>
        <w:spacing w:line="276" w:lineRule="auto" w:before="360" w:after="120"/>
        <w:jc w:val="left"/>
      </w:pPr>
      <w:r>
        <w:rPr>
          <w:rFonts w:ascii="Times New Roman" w:hAnsi="Times New Roman"/>
          <w:b/>
          <w:color w:val="000000"/>
          <w:sz w:val="22"/>
          <w:u w:val="single"/>
        </w:rPr>
        <w:t>Section 10.4 — Limitation of Liability</w:t>
      </w:r>
    </w:p>
    <w:p>
      <w:pPr>
        <w:spacing w:line="276" w:lineRule="auto" w:before="0" w:after="120"/>
        <w:jc w:val="both"/>
      </w:pPr>
      <w:r>
        <w:rPr>
          <w:rFonts w:ascii="Times New Roman" w:hAnsi="Times New Roman"/>
          <w:color w:val="000000"/>
          <w:sz w:val="22"/>
        </w:rPr>
        <w:t>EXCEPT FOR EACH PARTY'S INDEMNIFICATION OBLIGATIONS UNDER SECTIONS 10.1 AND 10.2, AND BREACHES OF ARTICLE 9 (CONFIDENTIALITY), NEITHER PARTY SHALL BE LIABLE TO THE OTHER PARTY FOR ANY INDIRECT, INCIDENTAL, CONSEQUENTIAL, PUNITIVE, SPECIAL, OR EXEMPLARY DAMAGES, INCLUDING LOSS OF PROFITS, LOSS OF REVENUE, LOSS OF USE, OR COST OF SUBSTITUTE GOODS OR SERVICES, REGARDLESS OF THE FORM OF ACTION OR THEORY OF LIABILITY, EVEN IF SUCH PARTY HAS BEEN ADVISED OF THE POSSIBILITY OF SUCH DAMAGES. APEX'S AGGREGATE LIABILITY UNDER THIS AGREEMENT SHALL NOT EXCEED THE TOTAL AMOUNTS PAID BY NORTHLAND TO APEX UNDER THIS AGREEMENT DURING THE TWELVE (12)-MONTH PERIOD IMMEDIATELY PRECEDING THE EVENT GIVING RISE TO SUCH LIABILITY.</w:t>
      </w:r>
    </w:p>
    <w:p>
      <w:r>
        <w:br w:type="page"/>
      </w:r>
    </w:p>
    <w:p>
      <w:pPr>
        <w:keepNext/>
        <w:spacing w:line="276" w:lineRule="auto" w:before="120" w:after="240"/>
        <w:jc w:val="center"/>
      </w:pPr>
      <w:r>
        <w:rPr>
          <w:rFonts w:ascii="Times New Roman" w:hAnsi="Times New Roman"/>
          <w:b/>
          <w:color w:val="000000"/>
          <w:sz w:val="28"/>
          <w:u w:val="single"/>
        </w:rPr>
        <w:t>ARTICLE 11 — INSURANCE</w:t>
      </w:r>
    </w:p>
    <w:p>
      <w:pPr>
        <w:keepNext/>
        <w:spacing w:line="276" w:lineRule="auto" w:before="360" w:after="120"/>
        <w:jc w:val="left"/>
      </w:pPr>
      <w:r>
        <w:rPr>
          <w:rFonts w:ascii="Times New Roman" w:hAnsi="Times New Roman"/>
          <w:b/>
          <w:color w:val="000000"/>
          <w:sz w:val="22"/>
          <w:u w:val="single"/>
        </w:rPr>
        <w:t>Section 11.1 — Supplier Insurance Requirements</w:t>
      </w:r>
    </w:p>
    <w:p>
      <w:pPr>
        <w:spacing w:line="276" w:lineRule="auto" w:before="0" w:after="120"/>
        <w:jc w:val="both"/>
      </w:pPr>
      <w:r>
        <w:rPr>
          <w:rFonts w:ascii="Times New Roman" w:hAnsi="Times New Roman"/>
          <w:color w:val="000000"/>
          <w:sz w:val="22"/>
        </w:rPr>
        <w:t>Apex shall procure and maintain, at its own expense, throughout the Term and for a period of three (3) years following expiration or termination, the following insurance coverage from carriers with an A.M. Best rating of A- VII or better: (a) commercial general liability insurance with limits of not less than Five Million Dollars ($5,000,000) per occurrence and Ten Million Dollars ($10,000,000) in the annual aggregate; (b) product liability insurance with limits of not less than Ten Million Dollars ($10,000,000) per occurrence and Twenty-Five Million Dollars ($25,000,000) in the annual aggregate; and (c) workers' compensation insurance as required by applicable law, together with employers' liability insurance with limits of not less than One Million Dollars ($1,000,000) per occurrence. Apex shall provide certificates of insurance to Northland upon request and shall provide at least thirty (30) days' prior written notice of any material change in or cancellation of coverage.</w:t>
      </w:r>
    </w:p>
    <w:p>
      <w:pPr>
        <w:keepNext/>
        <w:spacing w:line="276" w:lineRule="auto" w:before="360" w:after="120"/>
        <w:jc w:val="left"/>
      </w:pPr>
      <w:r>
        <w:rPr>
          <w:rFonts w:ascii="Times New Roman" w:hAnsi="Times New Roman"/>
          <w:b/>
          <w:color w:val="000000"/>
          <w:sz w:val="22"/>
          <w:u w:val="single"/>
        </w:rPr>
        <w:t>Section 11.2 — Additional Insured</w:t>
      </w:r>
    </w:p>
    <w:p>
      <w:pPr>
        <w:spacing w:line="276" w:lineRule="auto" w:before="0" w:after="120"/>
        <w:jc w:val="both"/>
      </w:pPr>
      <w:r>
        <w:rPr>
          <w:rFonts w:ascii="Times New Roman" w:hAnsi="Times New Roman"/>
          <w:color w:val="000000"/>
          <w:sz w:val="22"/>
        </w:rPr>
        <w:t>Northland Refining Corporation and its Affiliates shall be named as additional insureds on Apex's commercial general liability and product liability insurance policies with respect to claims arising from Products supplied under this Agreement. Such additional insured coverage shall be primary and non-contributory with respect to any insurance maintained by Northland.</w:t>
      </w:r>
    </w:p>
    <w:p>
      <w:r>
        <w:br w:type="page"/>
      </w:r>
    </w:p>
    <w:p>
      <w:pPr>
        <w:keepNext/>
        <w:spacing w:line="276" w:lineRule="auto" w:before="120" w:after="240"/>
        <w:jc w:val="center"/>
      </w:pPr>
      <w:r>
        <w:rPr>
          <w:rFonts w:ascii="Times New Roman" w:hAnsi="Times New Roman"/>
          <w:b/>
          <w:color w:val="000000"/>
          <w:sz w:val="28"/>
          <w:u w:val="single"/>
        </w:rPr>
        <w:t>ARTICLE 12 — FORCE MAJEURE</w:t>
      </w:r>
    </w:p>
    <w:p>
      <w:pPr>
        <w:keepNext/>
        <w:spacing w:line="276" w:lineRule="auto" w:before="360" w:after="120"/>
        <w:jc w:val="left"/>
      </w:pPr>
      <w:r>
        <w:rPr>
          <w:rFonts w:ascii="Times New Roman" w:hAnsi="Times New Roman"/>
          <w:b/>
          <w:color w:val="000000"/>
          <w:sz w:val="22"/>
          <w:u w:val="single"/>
        </w:rPr>
        <w:t>Section 12.1 — Force Majeure Events</w:t>
      </w:r>
    </w:p>
    <w:p>
      <w:pPr>
        <w:spacing w:line="276" w:lineRule="auto" w:before="0" w:after="120"/>
        <w:jc w:val="both"/>
      </w:pPr>
      <w:r>
        <w:rPr>
          <w:rFonts w:ascii="Times New Roman" w:hAnsi="Times New Roman"/>
          <w:color w:val="000000"/>
          <w:sz w:val="22"/>
        </w:rPr>
        <w:t>Neither Party shall be liable for any failure or delay in performing its obligations under this Agreement to the extent that such failure or delay results from a "</w:t>
      </w:r>
      <w:r>
        <w:rPr>
          <w:rFonts w:ascii="Times New Roman" w:hAnsi="Times New Roman"/>
          <w:b/>
          <w:color w:val="000000"/>
          <w:sz w:val="22"/>
        </w:rPr>
        <w:t>Force Majeure Event</w:t>
      </w:r>
      <w:r>
        <w:rPr>
          <w:rFonts w:ascii="Times New Roman" w:hAnsi="Times New Roman"/>
          <w:color w:val="000000"/>
          <w:sz w:val="22"/>
        </w:rPr>
        <w:t>," meaning any event beyond the reasonable control of the affected Party, including natural disasters (including earthquakes, hurricanes, floods, and fires), war, armed conflict, terrorism, civil unrest, epidemics, pandemics, actions of governmental authorities (including embargoes, sanctions, and export restrictions), labor disputes not involving the affected Party's own employees, failure of utilities, or disruption or failure of transportation systems.</w:t>
      </w:r>
    </w:p>
    <w:p>
      <w:pPr>
        <w:keepNext/>
        <w:spacing w:line="276" w:lineRule="auto" w:before="360" w:after="120"/>
        <w:jc w:val="left"/>
      </w:pPr>
      <w:r>
        <w:rPr>
          <w:rFonts w:ascii="Times New Roman" w:hAnsi="Times New Roman"/>
          <w:b/>
          <w:color w:val="000000"/>
          <w:sz w:val="22"/>
          <w:u w:val="single"/>
        </w:rPr>
        <w:t>Section 12.2 — Notice and Mitigation</w:t>
      </w:r>
    </w:p>
    <w:p>
      <w:pPr>
        <w:spacing w:line="276" w:lineRule="auto" w:before="0" w:after="120"/>
        <w:jc w:val="both"/>
      </w:pPr>
      <w:r>
        <w:rPr>
          <w:rFonts w:ascii="Times New Roman" w:hAnsi="Times New Roman"/>
          <w:color w:val="000000"/>
          <w:sz w:val="22"/>
        </w:rPr>
        <w:t>The Party affected by a Force Majeure Event shall notify the other Party in writing within five (5) business days of becoming aware of such event, specifying the nature and expected duration thereof. The affected Party shall use commercially reasonable efforts to mitigate the effects of the Force Majeure Event and to resume performance as soon as reasonably practicable. If a Force Majeure Event continues for more than one hundred eighty (180) consecutive days, either Party may terminate this Agreement upon thirty (30) days' prior written notice to the other Party, without liability for such termination.</w:t>
      </w:r>
    </w:p>
    <w:p>
      <w:pPr>
        <w:keepNext/>
        <w:spacing w:line="276" w:lineRule="auto" w:before="360" w:after="120"/>
        <w:jc w:val="left"/>
      </w:pPr>
      <w:r>
        <w:rPr>
          <w:rFonts w:ascii="Times New Roman" w:hAnsi="Times New Roman"/>
          <w:b/>
          <w:color w:val="000000"/>
          <w:sz w:val="22"/>
          <w:u w:val="single"/>
        </w:rPr>
        <w:t>Section 12.3 — Allocation During Shortage</w:t>
      </w:r>
    </w:p>
    <w:p>
      <w:pPr>
        <w:spacing w:line="276" w:lineRule="auto" w:before="0" w:after="120"/>
        <w:jc w:val="both"/>
      </w:pPr>
      <w:r>
        <w:rPr>
          <w:rFonts w:ascii="Times New Roman" w:hAnsi="Times New Roman"/>
          <w:color w:val="000000"/>
          <w:sz w:val="22"/>
        </w:rPr>
        <w:t>If a Force Majeure Event reduces Apex's manufacturing capacity such that Apex is unable to fulfill all outstanding Purchase Orders, Apex shall allocate its available production capacity among its customers (including Northland) on a fair and equitable pro rata basis, determined by reference to each customer's historical purchase volumes during the twelve (12)-month period preceding the commencement of the Force Majeure Event.</w:t>
      </w:r>
    </w:p>
    <w:p>
      <w:r>
        <w:br w:type="page"/>
      </w:r>
    </w:p>
    <w:p>
      <w:pPr>
        <w:keepNext/>
        <w:spacing w:line="276" w:lineRule="auto" w:before="120" w:after="240"/>
        <w:jc w:val="center"/>
      </w:pPr>
      <w:r>
        <w:rPr>
          <w:rFonts w:ascii="Times New Roman" w:hAnsi="Times New Roman"/>
          <w:b/>
          <w:color w:val="000000"/>
          <w:sz w:val="28"/>
          <w:u w:val="single"/>
        </w:rPr>
        <w:t>ARTICLE 13 — TERM AND TERMINATION</w:t>
      </w:r>
    </w:p>
    <w:p>
      <w:pPr>
        <w:keepNext/>
        <w:spacing w:line="276" w:lineRule="auto" w:before="360" w:after="120"/>
        <w:jc w:val="left"/>
      </w:pPr>
      <w:r>
        <w:rPr>
          <w:rFonts w:ascii="Times New Roman" w:hAnsi="Times New Roman"/>
          <w:b/>
          <w:color w:val="000000"/>
          <w:sz w:val="22"/>
          <w:u w:val="single"/>
        </w:rPr>
        <w:t>Section 13.1 — Initial Term</w:t>
      </w:r>
    </w:p>
    <w:p>
      <w:pPr>
        <w:spacing w:line="276" w:lineRule="auto" w:before="0" w:after="120"/>
        <w:jc w:val="both"/>
      </w:pPr>
      <w:r>
        <w:rPr>
          <w:rFonts w:ascii="Times New Roman" w:hAnsi="Times New Roman"/>
          <w:color w:val="000000"/>
          <w:sz w:val="22"/>
        </w:rPr>
        <w:t>The initial term of this Agreement commences on the Effective Date and continues for a period of five (5) years, expiring on January 14, 2024 (the "</w:t>
      </w:r>
      <w:r>
        <w:rPr>
          <w:rFonts w:ascii="Times New Roman" w:hAnsi="Times New Roman"/>
          <w:b/>
          <w:color w:val="000000"/>
          <w:sz w:val="22"/>
        </w:rPr>
        <w:t>Initial Term</w:t>
      </w:r>
      <w:r>
        <w:rPr>
          <w:rFonts w:ascii="Times New Roman" w:hAnsi="Times New Roman"/>
          <w:color w:val="000000"/>
          <w:sz w:val="22"/>
        </w:rPr>
        <w:t>"), unless earlier terminated in accordance with this Article 13. The Initial Term and any Renewal Term(s) are collectively referred to as the "</w:t>
      </w:r>
      <w:r>
        <w:rPr>
          <w:rFonts w:ascii="Times New Roman" w:hAnsi="Times New Roman"/>
          <w:b/>
          <w:color w:val="000000"/>
          <w:sz w:val="22"/>
        </w:rPr>
        <w:t>Term</w:t>
      </w:r>
      <w:r>
        <w:rPr>
          <w:rFonts w:ascii="Times New Roman" w:hAnsi="Times New Roman"/>
          <w:color w:val="000000"/>
          <w:sz w:val="22"/>
        </w:rPr>
        <w:t>."</w:t>
      </w:r>
    </w:p>
    <w:p>
      <w:pPr>
        <w:keepNext/>
        <w:spacing w:line="276" w:lineRule="auto" w:before="360" w:after="120"/>
        <w:jc w:val="left"/>
      </w:pPr>
      <w:r>
        <w:rPr>
          <w:rFonts w:ascii="Times New Roman" w:hAnsi="Times New Roman"/>
          <w:b/>
          <w:color w:val="000000"/>
          <w:sz w:val="22"/>
          <w:u w:val="single"/>
        </w:rPr>
        <w:t>Section 13.2 — Renewal</w:t>
      </w:r>
    </w:p>
    <w:p>
      <w:pPr>
        <w:spacing w:line="276" w:lineRule="auto" w:before="0" w:after="120"/>
        <w:jc w:val="both"/>
      </w:pPr>
      <w:r>
        <w:rPr>
          <w:rFonts w:ascii="Times New Roman" w:hAnsi="Times New Roman"/>
          <w:color w:val="000000"/>
          <w:sz w:val="22"/>
        </w:rPr>
        <w:t>Upon expiration of the Initial Term, this Agreement shall automatically renew for successive three (3)-year terms (each, a "</w:t>
      </w:r>
      <w:r>
        <w:rPr>
          <w:rFonts w:ascii="Times New Roman" w:hAnsi="Times New Roman"/>
          <w:b/>
          <w:color w:val="000000"/>
          <w:sz w:val="22"/>
        </w:rPr>
        <w:t>Renewal Term</w:t>
      </w:r>
      <w:r>
        <w:rPr>
          <w:rFonts w:ascii="Times New Roman" w:hAnsi="Times New Roman"/>
          <w:color w:val="000000"/>
          <w:sz w:val="22"/>
        </w:rPr>
        <w:t>"), unless either Party provides written notice of non-renewal to the other Party at least one hundred eighty (180) days prior to the expiration of the then-current Term. This Agreement renewed for its first Renewal Term effective January 15, 2024, which Renewal Term expires on January 14, 2027.</w:t>
      </w:r>
    </w:p>
    <w:p>
      <w:pPr>
        <w:keepNext/>
        <w:spacing w:line="276" w:lineRule="auto" w:before="360" w:after="120"/>
        <w:jc w:val="left"/>
      </w:pPr>
      <w:r>
        <w:rPr>
          <w:rFonts w:ascii="Times New Roman" w:hAnsi="Times New Roman"/>
          <w:b/>
          <w:color w:val="000000"/>
          <w:sz w:val="22"/>
          <w:u w:val="single"/>
        </w:rPr>
        <w:t>Section 13.3 — Termination for Cause</w:t>
      </w:r>
    </w:p>
    <w:p>
      <w:pPr>
        <w:spacing w:line="276" w:lineRule="auto" w:before="0" w:after="120"/>
        <w:jc w:val="both"/>
      </w:pPr>
      <w:r>
        <w:rPr>
          <w:rFonts w:ascii="Times New Roman" w:hAnsi="Times New Roman"/>
          <w:color w:val="000000"/>
          <w:sz w:val="22"/>
        </w:rPr>
        <w:t>Either Party may terminate this Agreement upon written notice to the other Party if: (a) the other Party commits a material breach of this Agreement and fails to cure such breach within sixty (60) days after receipt of written notice specifying the nature of the breach in reasonable detail; or (b) the other Party becomes insolvent, files a voluntary petition in bankruptcy, is the subject of an involuntary petition in bankruptcy not dismissed within sixty (60) days, makes a general assignment for the benefit of creditors, or has a receiver, trustee, or similar officer appointed for all or substantially all of its assets.</w:t>
      </w:r>
    </w:p>
    <w:p>
      <w:pPr>
        <w:keepNext/>
        <w:spacing w:line="276" w:lineRule="auto" w:before="360" w:after="120"/>
        <w:jc w:val="left"/>
      </w:pPr>
      <w:r>
        <w:rPr>
          <w:rFonts w:ascii="Times New Roman" w:hAnsi="Times New Roman"/>
          <w:b/>
          <w:color w:val="000000"/>
          <w:sz w:val="22"/>
          <w:u w:val="single"/>
        </w:rPr>
        <w:t>Section 13.4 — Termination for Convenience</w:t>
      </w:r>
    </w:p>
    <w:p>
      <w:pPr>
        <w:spacing w:line="276" w:lineRule="auto" w:before="0" w:after="120"/>
        <w:jc w:val="both"/>
      </w:pPr>
      <w:r>
        <w:rPr>
          <w:rFonts w:ascii="Times New Roman" w:hAnsi="Times New Roman"/>
          <w:color w:val="000000"/>
          <w:sz w:val="22"/>
        </w:rPr>
        <w:t>Either Party may terminate this Agreement for convenience, without cause, upon twelve (12) months' prior written notice to the other Party. Upon termination for convenience by Northland, Northland shall be obligated to accept and pay for all Products for which Purchase Orders have been accepted by Apex prior to the date of Northland's notice of termination and which have not been cancelled in accordance with Section 3.3. Upon termination for convenience by Apex, Apex shall be obligated to complete and deliver all Products for which Purchase Orders have been accepted prior to the date of Apex's notice of termination.</w:t>
      </w:r>
    </w:p>
    <w:p>
      <w:pPr>
        <w:keepNext/>
        <w:spacing w:line="276" w:lineRule="auto" w:before="360" w:after="120"/>
        <w:jc w:val="left"/>
      </w:pPr>
      <w:r>
        <w:rPr>
          <w:rFonts w:ascii="Times New Roman" w:hAnsi="Times New Roman"/>
          <w:b/>
          <w:color w:val="000000"/>
          <w:sz w:val="22"/>
          <w:u w:val="single"/>
        </w:rPr>
        <w:t>Section 13.5 — Effect of Termination</w:t>
      </w:r>
    </w:p>
    <w:p>
      <w:pPr>
        <w:spacing w:line="276" w:lineRule="auto" w:before="0" w:after="120"/>
        <w:jc w:val="both"/>
      </w:pPr>
      <w:r>
        <w:rPr>
          <w:rFonts w:ascii="Times New Roman" w:hAnsi="Times New Roman"/>
          <w:color w:val="000000"/>
          <w:sz w:val="22"/>
        </w:rPr>
        <w:t>Termination or expiration of this Agreement shall not release either Party from any liability or obligation that accrued prior to the effective date of such termination or expiration. Provisions of this Agreement that by their nature are intended to survive termination or expiration, including Articles 7 (Warranties), 8 (Intellectual Property), 9 (Confidentiality), 10 (Indemnification), and Sections 14.2, 15, and 16, shall survive any termination or expiration of this Agreement.</w:t>
      </w:r>
    </w:p>
    <w:p>
      <w:r>
        <w:br w:type="page"/>
      </w:r>
    </w:p>
    <w:p>
      <w:pPr>
        <w:keepNext/>
        <w:spacing w:line="276" w:lineRule="auto" w:before="120" w:after="240"/>
        <w:jc w:val="center"/>
      </w:pPr>
      <w:r>
        <w:rPr>
          <w:rFonts w:ascii="Times New Roman" w:hAnsi="Times New Roman"/>
          <w:b/>
          <w:color w:val="000000"/>
          <w:sz w:val="28"/>
          <w:u w:val="single"/>
        </w:rPr>
        <w:t>ARTICLE 14 — ASSIGNMENT AND SUBCONTRACTING</w:t>
      </w:r>
    </w:p>
    <w:p>
      <w:pPr>
        <w:keepNext/>
        <w:spacing w:line="276" w:lineRule="auto" w:before="360" w:after="120"/>
        <w:jc w:val="left"/>
      </w:pPr>
      <w:r>
        <w:rPr>
          <w:rFonts w:ascii="Times New Roman" w:hAnsi="Times New Roman"/>
          <w:b/>
          <w:color w:val="000000"/>
          <w:sz w:val="22"/>
          <w:u w:val="single"/>
        </w:rPr>
        <w:t>Section 14.1 — Subcontracting</w:t>
      </w:r>
    </w:p>
    <w:p>
      <w:pPr>
        <w:spacing w:line="276" w:lineRule="auto" w:before="0" w:after="120"/>
        <w:jc w:val="both"/>
      </w:pPr>
      <w:r>
        <w:rPr>
          <w:rFonts w:ascii="Times New Roman" w:hAnsi="Times New Roman"/>
          <w:color w:val="000000"/>
          <w:sz w:val="22"/>
        </w:rPr>
        <w:t>Apex may subcontract the manufacture of component parts of the Products, provided that: (a) Apex shall remain fully responsible for the performance, quality, and timely delivery of all Products, including any portions thereof manufactured by subcontractors; (b) all subcontractors shall be subject to confidentiality obligations consistent with Article 9 with respect to Northland's Confidential Information; and (c) Apex shall obtain Northland's prior written consent before engaging any new subcontractor not listed on Exhibit C (Approved Subcontractors), which consent shall not be unreasonably withheld, conditioned, or delayed. A list of currently approved subcontractors is set forth in Exhibit C attached hereto.</w:t>
      </w:r>
    </w:p>
    <w:p>
      <w:pPr>
        <w:keepNext/>
        <w:spacing w:line="276" w:lineRule="auto" w:before="360" w:after="120"/>
        <w:jc w:val="left"/>
      </w:pPr>
      <w:r>
        <w:rPr>
          <w:rFonts w:ascii="Times New Roman" w:hAnsi="Times New Roman"/>
          <w:b/>
          <w:color w:val="000000"/>
          <w:sz w:val="22"/>
          <w:u w:val="single"/>
        </w:rPr>
        <w:t>Section 14.2 — Assignment</w:t>
      </w:r>
    </w:p>
    <w:p>
      <w:pPr>
        <w:spacing w:line="276" w:lineRule="auto" w:before="0" w:after="120"/>
        <w:jc w:val="both"/>
      </w:pPr>
      <w:r>
        <w:rPr>
          <w:rFonts w:ascii="Times New Roman" w:hAnsi="Times New Roman"/>
          <w:color w:val="000000"/>
          <w:sz w:val="22"/>
        </w:rPr>
        <w:t>Neither Party shall assign, transfer, or delegate this Agreement or any of its rights, interests, or obligations hereunder, in whole or in part, whether by operation of law or otherwise, without the prior written consent of the other Party, which consent may be withheld in such Party's sole and absolute discretion. Any purported assignment, transfer, or delegation in violation of this Section 14.2 shall be null and void and of no force or effect.</w:t>
      </w:r>
    </w:p>
    <w:p>
      <w:pPr>
        <w:spacing w:line="276" w:lineRule="auto" w:before="0" w:after="120"/>
        <w:jc w:val="both"/>
      </w:pPr>
      <w:r>
        <w:rPr>
          <w:rFonts w:ascii="Times New Roman" w:hAnsi="Times New Roman"/>
          <w:color w:val="000000"/>
          <w:sz w:val="22"/>
        </w:rPr>
        <w:t>Notwithstanding the foregoing, either Party may assign this Agreement without the other Party's consent to an Affiliate of such Party; provided that (i) the assigning Party provides written notice to the other Party within thirty (30) days of such assignment, and (ii) the assigning Party remains jointly and severally liable for all obligations of its assignee under this Agreement.</w:t>
      </w:r>
    </w:p>
    <w:p>
      <w:pPr>
        <w:keepNext/>
        <w:spacing w:line="276" w:lineRule="auto" w:before="360" w:after="120"/>
        <w:jc w:val="left"/>
      </w:pPr>
      <w:r>
        <w:rPr>
          <w:rFonts w:ascii="Times New Roman" w:hAnsi="Times New Roman"/>
          <w:b/>
          <w:color w:val="000000"/>
          <w:sz w:val="22"/>
          <w:u w:val="single"/>
        </w:rPr>
        <w:t>Section 14.3 — Binding Effect</w:t>
      </w:r>
    </w:p>
    <w:p>
      <w:pPr>
        <w:spacing w:line="276" w:lineRule="auto" w:before="0" w:after="120"/>
        <w:jc w:val="both"/>
      </w:pPr>
      <w:r>
        <w:rPr>
          <w:rFonts w:ascii="Times New Roman" w:hAnsi="Times New Roman"/>
          <w:color w:val="000000"/>
          <w:sz w:val="22"/>
        </w:rPr>
        <w:t>Subject to the restrictions set forth in this Article 14, this Agreement shall be binding upon and inure to the benefit of the Parties and their respective successors and permitted assigns.</w:t>
      </w:r>
    </w:p>
    <w:p>
      <w:r>
        <w:br w:type="page"/>
      </w:r>
    </w:p>
    <w:p>
      <w:pPr>
        <w:keepNext/>
        <w:spacing w:line="276" w:lineRule="auto" w:before="120" w:after="240"/>
        <w:jc w:val="center"/>
      </w:pPr>
      <w:r>
        <w:rPr>
          <w:rFonts w:ascii="Times New Roman" w:hAnsi="Times New Roman"/>
          <w:b/>
          <w:color w:val="000000"/>
          <w:sz w:val="28"/>
          <w:u w:val="single"/>
        </w:rPr>
        <w:t>ARTICLE 15 — GOVERNING LAW AND DISPUTE RESOLUTION</w:t>
      </w:r>
    </w:p>
    <w:p>
      <w:pPr>
        <w:keepNext/>
        <w:spacing w:line="276" w:lineRule="auto" w:before="360" w:after="120"/>
        <w:jc w:val="left"/>
      </w:pPr>
      <w:r>
        <w:rPr>
          <w:rFonts w:ascii="Times New Roman" w:hAnsi="Times New Roman"/>
          <w:b/>
          <w:color w:val="000000"/>
          <w:sz w:val="22"/>
          <w:u w:val="single"/>
        </w:rPr>
        <w:t>Section 15.1 — Governing Law</w:t>
      </w:r>
    </w:p>
    <w:p>
      <w:pPr>
        <w:spacing w:line="276" w:lineRule="auto" w:before="0" w:after="120"/>
        <w:jc w:val="both"/>
      </w:pPr>
      <w:r>
        <w:rPr>
          <w:rFonts w:ascii="Times New Roman" w:hAnsi="Times New Roman"/>
          <w:color w:val="000000"/>
          <w:sz w:val="22"/>
        </w:rPr>
        <w:t>This Agreement shall be governed by and construed in accordance with the laws of the State of Ohio, without regard to its conflict of laws principles. The United Nations Convention on Contracts for the International Sale of Goods (CISG) is expressly excluded and shall not apply to this Agreement.</w:t>
      </w:r>
    </w:p>
    <w:p>
      <w:pPr>
        <w:keepNext/>
        <w:spacing w:line="276" w:lineRule="auto" w:before="360" w:after="120"/>
        <w:jc w:val="left"/>
      </w:pPr>
      <w:r>
        <w:rPr>
          <w:rFonts w:ascii="Times New Roman" w:hAnsi="Times New Roman"/>
          <w:b/>
          <w:color w:val="000000"/>
          <w:sz w:val="22"/>
          <w:u w:val="single"/>
        </w:rPr>
        <w:t>Section 15.2 — Dispute Resolution</w:t>
      </w:r>
    </w:p>
    <w:p>
      <w:pPr>
        <w:spacing w:line="276" w:lineRule="auto" w:before="0" w:after="120"/>
        <w:jc w:val="both"/>
      </w:pPr>
      <w:r>
        <w:rPr>
          <w:rFonts w:ascii="Times New Roman" w:hAnsi="Times New Roman"/>
          <w:color w:val="000000"/>
          <w:sz w:val="22"/>
        </w:rPr>
        <w:t>The Parties shall first attempt to resolve any dispute, controversy, or claim arising out of or relating to this Agreement through good-faith negotiation between senior executives of each Party at the vice president level or above for a period of thirty (30) days following written notice from either Party describing the dispute (the "</w:t>
      </w:r>
      <w:r>
        <w:rPr>
          <w:rFonts w:ascii="Times New Roman" w:hAnsi="Times New Roman"/>
          <w:b/>
          <w:color w:val="000000"/>
          <w:sz w:val="22"/>
        </w:rPr>
        <w:t>Negotiation Period</w:t>
      </w:r>
      <w:r>
        <w:rPr>
          <w:rFonts w:ascii="Times New Roman" w:hAnsi="Times New Roman"/>
          <w:color w:val="000000"/>
          <w:sz w:val="22"/>
        </w:rPr>
        <w:t>"). If the dispute is not resolved during the Negotiation Period, either Party may submit the dispute to binding arbitration administered by the American Arbitration Association ("</w:t>
      </w:r>
      <w:r>
        <w:rPr>
          <w:rFonts w:ascii="Times New Roman" w:hAnsi="Times New Roman"/>
          <w:b/>
          <w:color w:val="000000"/>
          <w:sz w:val="22"/>
        </w:rPr>
        <w:t>AAA</w:t>
      </w:r>
      <w:r>
        <w:rPr>
          <w:rFonts w:ascii="Times New Roman" w:hAnsi="Times New Roman"/>
          <w:color w:val="000000"/>
          <w:sz w:val="22"/>
        </w:rPr>
        <w:t>") under its Commercial Arbitration Rules then in effect. The arbitration shall be conducted in Cincinnati, Ohio, before a panel of three (3) arbitrators selected in accordance with the AAA rules. The arbitrators' award shall be final and binding and may be entered as a judgment in any court of competent jurisdiction.</w:t>
      </w:r>
    </w:p>
    <w:p>
      <w:pPr>
        <w:keepNext/>
        <w:spacing w:line="276" w:lineRule="auto" w:before="360" w:after="120"/>
        <w:jc w:val="left"/>
      </w:pPr>
      <w:r>
        <w:rPr>
          <w:rFonts w:ascii="Times New Roman" w:hAnsi="Times New Roman"/>
          <w:b/>
          <w:color w:val="000000"/>
          <w:sz w:val="22"/>
          <w:u w:val="single"/>
        </w:rPr>
        <w:t>Section 15.3 — Injunctive Relief</w:t>
      </w:r>
    </w:p>
    <w:p>
      <w:pPr>
        <w:spacing w:line="276" w:lineRule="auto" w:before="0" w:after="120"/>
        <w:jc w:val="both"/>
      </w:pPr>
      <w:r>
        <w:rPr>
          <w:rFonts w:ascii="Times New Roman" w:hAnsi="Times New Roman"/>
          <w:color w:val="000000"/>
          <w:sz w:val="22"/>
        </w:rPr>
        <w:t>Nothing in Section 15.2 shall prevent either Party from seeking temporary, preliminary, or permanent injunctive relief or other equitable relief in any court of competent jurisdiction to prevent irreparable harm pending the outcome of arbitration, without the necessity of proving actual damages or posting a bond.</w:t>
      </w:r>
    </w:p>
    <w:p>
      <w:pPr>
        <w:keepNext/>
        <w:spacing w:line="276" w:lineRule="auto" w:before="360" w:after="120"/>
        <w:jc w:val="left"/>
      </w:pPr>
      <w:r>
        <w:rPr>
          <w:rFonts w:ascii="Times New Roman" w:hAnsi="Times New Roman"/>
          <w:b/>
          <w:color w:val="000000"/>
          <w:sz w:val="22"/>
          <w:u w:val="single"/>
        </w:rPr>
        <w:t>Section 15.4 — Prevailing Party</w:t>
      </w:r>
    </w:p>
    <w:p>
      <w:pPr>
        <w:spacing w:line="276" w:lineRule="auto" w:before="0" w:after="120"/>
        <w:jc w:val="both"/>
      </w:pPr>
      <w:r>
        <w:rPr>
          <w:rFonts w:ascii="Times New Roman" w:hAnsi="Times New Roman"/>
          <w:color w:val="000000"/>
          <w:sz w:val="22"/>
        </w:rPr>
        <w:t>In any arbitration or legal proceeding arising under this Agreement, the prevailing Party shall be entitled to recover its reasonable attorneys' fees, expert fees, costs, and expenses incurred in connection with such proceeding.</w:t>
      </w:r>
    </w:p>
    <w:p>
      <w:r>
        <w:br w:type="page"/>
      </w:r>
    </w:p>
    <w:p>
      <w:pPr>
        <w:keepNext/>
        <w:spacing w:line="276" w:lineRule="auto" w:before="120" w:after="240"/>
        <w:jc w:val="center"/>
      </w:pPr>
      <w:r>
        <w:rPr>
          <w:rFonts w:ascii="Times New Roman" w:hAnsi="Times New Roman"/>
          <w:b/>
          <w:color w:val="000000"/>
          <w:sz w:val="28"/>
          <w:u w:val="single"/>
        </w:rPr>
        <w:t>ARTICLE 16 — GENERAL PROVISIONS</w:t>
      </w:r>
    </w:p>
    <w:p>
      <w:pPr>
        <w:keepNext/>
        <w:spacing w:line="276" w:lineRule="auto" w:before="360" w:after="120"/>
        <w:jc w:val="left"/>
      </w:pPr>
      <w:r>
        <w:rPr>
          <w:rFonts w:ascii="Times New Roman" w:hAnsi="Times New Roman"/>
          <w:b/>
          <w:color w:val="000000"/>
          <w:sz w:val="22"/>
          <w:u w:val="single"/>
        </w:rPr>
        <w:t>Section 16.1 — Notices</w:t>
      </w:r>
    </w:p>
    <w:p>
      <w:pPr>
        <w:spacing w:line="276" w:lineRule="auto" w:before="0" w:after="120"/>
        <w:jc w:val="both"/>
      </w:pPr>
      <w:r>
        <w:rPr>
          <w:rFonts w:ascii="Times New Roman" w:hAnsi="Times New Roman"/>
          <w:color w:val="000000"/>
          <w:sz w:val="22"/>
        </w:rPr>
        <w:t>All notices, requests, demands, consents, and other communications required or permitted under this Agreement shall be in writing and shall be deemed duly given when: (a) delivered personally; (b) sent by nationally recognized overnight courier service (with tracking confirmation); (c) sent by certified or registered mail, return receipt requested, postage prepaid; or (d) sent by email with confirmation of receipt from the recipient, addressed as follows:</w:t>
      </w:r>
    </w:p>
    <w:p>
      <w:pPr>
        <w:spacing w:line="276" w:lineRule="auto" w:before="0" w:after="120"/>
        <w:jc w:val="both"/>
      </w:pPr>
      <w:r>
        <w:rPr>
          <w:rFonts w:ascii="Times New Roman" w:hAnsi="Times New Roman"/>
          <w:b/>
          <w:color w:val="000000"/>
          <w:sz w:val="22"/>
        </w:rPr>
        <w:t>If to Northland:</w:t>
      </w:r>
    </w:p>
    <w:p>
      <w:pPr>
        <w:spacing w:line="276" w:lineRule="auto" w:before="0" w:after="120"/>
        <w:ind w:left="432"/>
        <w:jc w:val="both"/>
      </w:pPr>
      <w:r>
        <w:rPr>
          <w:rFonts w:ascii="Times New Roman" w:hAnsi="Times New Roman"/>
          <w:color w:val="000000"/>
          <w:sz w:val="22"/>
        </w:rPr>
        <w:t>Northland Refining Corporation</w:t>
      </w:r>
    </w:p>
    <w:p>
      <w:pPr>
        <w:spacing w:line="240" w:lineRule="auto" w:before="20" w:after="20"/>
        <w:ind w:left="432"/>
        <w:jc w:val="left"/>
      </w:pPr>
      <w:r>
        <w:rPr>
          <w:rFonts w:ascii="Times New Roman" w:hAnsi="Times New Roman"/>
          <w:color w:val="000000"/>
          <w:sz w:val="22"/>
        </w:rPr>
        <w:t>Attn: Gerald Dwyer, Vice President, Procurement</w:t>
      </w:r>
    </w:p>
    <w:p>
      <w:pPr>
        <w:spacing w:line="276" w:lineRule="auto" w:before="0" w:after="120"/>
        <w:ind w:left="432"/>
        <w:jc w:val="both"/>
      </w:pPr>
      <w:r>
        <w:rPr>
          <w:rFonts w:ascii="Times New Roman" w:hAnsi="Times New Roman"/>
          <w:color w:val="000000"/>
          <w:sz w:val="22"/>
        </w:rPr>
        <w:t>8500 Refinery Boulevard Beaumont, Texas 77701</w:t>
      </w:r>
    </w:p>
    <w:p>
      <w:pPr>
        <w:spacing w:line="276" w:lineRule="auto" w:before="0" w:after="120"/>
        <w:ind w:left="432"/>
        <w:jc w:val="both"/>
      </w:pPr>
      <w:r>
        <w:rPr>
          <w:rFonts w:ascii="Times New Roman" w:hAnsi="Times New Roman"/>
          <w:color w:val="000000"/>
          <w:sz w:val="22"/>
        </w:rPr>
        <w:t>With a copy (which shall not constitute notice) to:</w:t>
      </w:r>
    </w:p>
    <w:p>
      <w:pPr>
        <w:spacing w:line="276" w:lineRule="auto" w:before="0" w:after="120"/>
        <w:ind w:left="432"/>
        <w:jc w:val="both"/>
      </w:pPr>
      <w:r>
        <w:rPr>
          <w:rFonts w:ascii="Times New Roman" w:hAnsi="Times New Roman"/>
          <w:color w:val="000000"/>
          <w:sz w:val="22"/>
        </w:rPr>
        <w:t>General Counsel Northland Refining Corporation 8500 Refinery Boulevard Beaumont, Texas 77701</w:t>
      </w:r>
    </w:p>
    <w:p>
      <w:pPr>
        <w:spacing w:line="276" w:lineRule="auto" w:before="0" w:after="120"/>
        <w:jc w:val="both"/>
      </w:pPr>
      <w:r>
        <w:rPr>
          <w:rFonts w:ascii="Times New Roman" w:hAnsi="Times New Roman"/>
          <w:b/>
          <w:color w:val="000000"/>
          <w:sz w:val="22"/>
        </w:rPr>
        <w:t>If to Apex:</w:t>
      </w:r>
    </w:p>
    <w:p>
      <w:pPr>
        <w:spacing w:line="276" w:lineRule="auto" w:before="0" w:after="120"/>
        <w:ind w:left="432"/>
        <w:jc w:val="both"/>
      </w:pPr>
      <w:r>
        <w:rPr>
          <w:rFonts w:ascii="Times New Roman" w:hAnsi="Times New Roman"/>
          <w:color w:val="000000"/>
          <w:sz w:val="22"/>
        </w:rPr>
        <w:t>Apex Industrial Technologies, Inc.</w:t>
      </w:r>
    </w:p>
    <w:p>
      <w:pPr>
        <w:spacing w:line="240" w:lineRule="auto" w:before="20" w:after="20"/>
        <w:ind w:left="432"/>
        <w:jc w:val="left"/>
      </w:pPr>
      <w:r>
        <w:rPr>
          <w:rFonts w:ascii="Times New Roman" w:hAnsi="Times New Roman"/>
          <w:color w:val="000000"/>
          <w:sz w:val="22"/>
        </w:rPr>
        <w:t>Attn: Robert Fenn, General Counsel</w:t>
      </w:r>
    </w:p>
    <w:p>
      <w:pPr>
        <w:spacing w:line="276" w:lineRule="auto" w:before="0" w:after="120"/>
        <w:ind w:left="432"/>
        <w:jc w:val="both"/>
      </w:pPr>
      <w:r>
        <w:rPr>
          <w:rFonts w:ascii="Times New Roman" w:hAnsi="Times New Roman"/>
          <w:color w:val="000000"/>
          <w:sz w:val="22"/>
        </w:rPr>
        <w:t>4200 Crescent Ridge Parkway, Suite 600 Cincinnati, Ohio 45202</w:t>
      </w:r>
    </w:p>
    <w:p>
      <w:pPr>
        <w:spacing w:line="276" w:lineRule="auto" w:before="0" w:after="120"/>
        <w:jc w:val="both"/>
      </w:pPr>
      <w:r>
        <w:rPr>
          <w:rFonts w:ascii="Times New Roman" w:hAnsi="Times New Roman"/>
          <w:color w:val="000000"/>
          <w:sz w:val="22"/>
        </w:rPr>
        <w:t>Either Party may change its notice address by providing written notice to the other Party in accordance with this Section 16.1.</w:t>
      </w:r>
    </w:p>
    <w:p>
      <w:pPr>
        <w:keepNext/>
        <w:spacing w:line="276" w:lineRule="auto" w:before="360" w:after="120"/>
        <w:jc w:val="left"/>
      </w:pPr>
      <w:r>
        <w:rPr>
          <w:rFonts w:ascii="Times New Roman" w:hAnsi="Times New Roman"/>
          <w:b/>
          <w:color w:val="000000"/>
          <w:sz w:val="22"/>
          <w:u w:val="single"/>
        </w:rPr>
        <w:t>Section 16.2 — Entire Agreement</w:t>
      </w:r>
    </w:p>
    <w:p>
      <w:pPr>
        <w:spacing w:line="276" w:lineRule="auto" w:before="0" w:after="120"/>
        <w:jc w:val="both"/>
      </w:pPr>
      <w:r>
        <w:rPr>
          <w:rFonts w:ascii="Times New Roman" w:hAnsi="Times New Roman"/>
          <w:color w:val="000000"/>
          <w:sz w:val="22"/>
        </w:rPr>
        <w:t>This Agreement, including all Exhibits and Schedules attached hereto and all Purchase Orders issued hereunder, constitutes the entire agreement between the Parties with respect to the subject matter hereof and supersedes all prior and contemporaneous negotiations, representations, warranties, understandings, and agreements between the Parties, whether written or oral, with respect to such subject matter.</w:t>
      </w:r>
    </w:p>
    <w:p>
      <w:pPr>
        <w:keepNext/>
        <w:spacing w:line="276" w:lineRule="auto" w:before="360" w:after="120"/>
        <w:jc w:val="left"/>
      </w:pPr>
      <w:r>
        <w:rPr>
          <w:rFonts w:ascii="Times New Roman" w:hAnsi="Times New Roman"/>
          <w:b/>
          <w:color w:val="000000"/>
          <w:sz w:val="22"/>
          <w:u w:val="single"/>
        </w:rPr>
        <w:t>Section 16.3 — Amendment and Waiver</w:t>
      </w:r>
    </w:p>
    <w:p>
      <w:pPr>
        <w:spacing w:line="276" w:lineRule="auto" w:before="0" w:after="120"/>
        <w:jc w:val="both"/>
      </w:pPr>
      <w:r>
        <w:rPr>
          <w:rFonts w:ascii="Times New Roman" w:hAnsi="Times New Roman"/>
          <w:color w:val="000000"/>
          <w:sz w:val="22"/>
        </w:rPr>
        <w:t>No amendment, modification, or supplement to this Agreement shall be effective unless in writing and signed by duly authorized representatives of both Parties. No waiver of any breach of or default under this Agreement shall be deemed a waiver of any other or subsequent breach or default. No waiver shall be effective unless made in writing and signed by the waiving Party.</w:t>
      </w:r>
    </w:p>
    <w:p>
      <w:pPr>
        <w:keepNext/>
        <w:spacing w:line="276" w:lineRule="auto" w:before="360" w:after="120"/>
        <w:jc w:val="left"/>
      </w:pPr>
      <w:r>
        <w:rPr>
          <w:rFonts w:ascii="Times New Roman" w:hAnsi="Times New Roman"/>
          <w:b/>
          <w:color w:val="000000"/>
          <w:sz w:val="22"/>
          <w:u w:val="single"/>
        </w:rPr>
        <w:t>Section 16.4 — Severability</w:t>
      </w:r>
    </w:p>
    <w:p>
      <w:pPr>
        <w:spacing w:line="276" w:lineRule="auto" w:before="0" w:after="120"/>
        <w:jc w:val="both"/>
      </w:pPr>
      <w:r>
        <w:rPr>
          <w:rFonts w:ascii="Times New Roman" w:hAnsi="Times New Roman"/>
          <w:color w:val="000000"/>
          <w:sz w:val="22"/>
        </w:rPr>
        <w:t>If any provision of this Agreement is held to be invalid, illegal, or unenforceable by a court of competent jurisdiction, such provision shall be modified to the minimum extent necessary to make it valid, legal, and enforceable, and the remaining provisions of this Agreement shall continue in full force and effect.</w:t>
      </w:r>
    </w:p>
    <w:p>
      <w:pPr>
        <w:keepNext/>
        <w:spacing w:line="276" w:lineRule="auto" w:before="360" w:after="120"/>
        <w:jc w:val="left"/>
      </w:pPr>
      <w:r>
        <w:rPr>
          <w:rFonts w:ascii="Times New Roman" w:hAnsi="Times New Roman"/>
          <w:b/>
          <w:color w:val="000000"/>
          <w:sz w:val="22"/>
          <w:u w:val="single"/>
        </w:rPr>
        <w:t>Section 16.5 — Relationship of Parties</w:t>
      </w:r>
    </w:p>
    <w:p>
      <w:pPr>
        <w:spacing w:line="276" w:lineRule="auto" w:before="0" w:after="120"/>
        <w:jc w:val="both"/>
      </w:pPr>
      <w:r>
        <w:rPr>
          <w:rFonts w:ascii="Times New Roman" w:hAnsi="Times New Roman"/>
          <w:color w:val="000000"/>
          <w:sz w:val="22"/>
        </w:rPr>
        <w:t>The Parties are independent contractors. Nothing in this Agreement shall be construed as creating a partnership, joint venture, agency, franchise, or employment relationship between the Parties. Neither Party shall have the authority to bind or obligate the other Party in any manner.</w:t>
      </w:r>
    </w:p>
    <w:p>
      <w:pPr>
        <w:keepNext/>
        <w:spacing w:line="276" w:lineRule="auto" w:before="360" w:after="120"/>
        <w:jc w:val="left"/>
      </w:pPr>
      <w:r>
        <w:rPr>
          <w:rFonts w:ascii="Times New Roman" w:hAnsi="Times New Roman"/>
          <w:b/>
          <w:color w:val="000000"/>
          <w:sz w:val="22"/>
          <w:u w:val="single"/>
        </w:rPr>
        <w:t>Section 16.6 — Counterparts</w:t>
      </w:r>
    </w:p>
    <w:p>
      <w:pPr>
        <w:spacing w:line="276" w:lineRule="auto" w:before="0" w:after="120"/>
        <w:jc w:val="both"/>
      </w:pPr>
      <w:r>
        <w:rPr>
          <w:rFonts w:ascii="Times New Roman" w:hAnsi="Times New Roman"/>
          <w:color w:val="000000"/>
          <w:sz w:val="22"/>
        </w:rPr>
        <w:t>This Agreement may be executed in one or more counterparts, each of which shall be deemed an original and all of which together shall constitute one and the same instrument. Signatures delivered by facsimile or electronic transmission (including PDF) shall be deemed original signatures for all purposes.</w:t>
      </w:r>
    </w:p>
    <w:p>
      <w:pPr>
        <w:keepNext/>
        <w:spacing w:line="276" w:lineRule="auto" w:before="360" w:after="120"/>
        <w:jc w:val="left"/>
      </w:pPr>
      <w:r>
        <w:rPr>
          <w:rFonts w:ascii="Times New Roman" w:hAnsi="Times New Roman"/>
          <w:b/>
          <w:color w:val="000000"/>
          <w:sz w:val="22"/>
          <w:u w:val="single"/>
        </w:rPr>
        <w:t>Section 16.7 — No Third-Party Beneficiaries</w:t>
      </w:r>
    </w:p>
    <w:p>
      <w:pPr>
        <w:spacing w:line="276" w:lineRule="auto" w:before="0" w:after="120"/>
        <w:jc w:val="both"/>
      </w:pPr>
      <w:r>
        <w:rPr>
          <w:rFonts w:ascii="Times New Roman" w:hAnsi="Times New Roman"/>
          <w:color w:val="000000"/>
          <w:sz w:val="22"/>
        </w:rPr>
        <w:t>This Agreement is for the sole benefit of the Parties and their respective permitted successors and assigns. Nothing in this Agreement, express or implied, is intended to or shall confer upon any third party any legal or equitable right, benefit, remedy, or claim under or by reason of this Agreement.</w:t>
      </w:r>
    </w:p>
    <w:p>
      <w:r>
        <w:br w:type="page"/>
      </w:r>
    </w:p>
    <w:p>
      <w:pPr>
        <w:spacing w:line="276" w:lineRule="auto" w:before="0" w:after="120"/>
        <w:jc w:val="center"/>
      </w:pPr>
      <w:r>
        <w:rPr>
          <w:rFonts w:ascii="Times New Roman" w:hAnsi="Times New Roman"/>
          <w:i/>
          <w:color w:val="000000"/>
          <w:sz w:val="22"/>
        </w:rPr>
        <w:t>[Signature Page Follows]</w:t>
      </w:r>
    </w:p>
    <w:p>
      <w:r>
        <w:br w:type="page"/>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have caused this Master Supply Agreement to be executed by their duly authorized representatives as of the Effective Date first written above.</w:t>
      </w:r>
    </w:p>
    <w:p>
      <w:pPr>
        <w:spacing w:line="276" w:lineRule="auto" w:before="0" w:after="120"/>
        <w:jc w:val="both"/>
      </w:pPr>
      <w:r>
        <w:rPr>
          <w:rFonts w:ascii="Times New Roman" w:hAnsi="Times New Roman"/>
          <w:color w:val="000000"/>
          <w:sz w:val="22"/>
        </w:rPr>
        <w:t>&amp;nbsp;</w:t>
      </w:r>
    </w:p>
    <w:p>
      <w:pPr>
        <w:spacing w:line="240" w:lineRule="auto" w:before="20" w:after="20"/>
        <w:jc w:val="both"/>
      </w:pPr>
      <w:r>
        <w:rPr>
          <w:rFonts w:ascii="Times New Roman" w:hAnsi="Times New Roman"/>
          <w:b/>
          <w:color w:val="000000"/>
          <w:sz w:val="22"/>
        </w:rPr>
        <w:t>NORTHLAND REFINING CORPORATION</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Gerald Dwyer</w:t>
      </w:r>
    </w:p>
    <w:p>
      <w:pPr>
        <w:spacing w:line="240" w:lineRule="auto" w:before="20" w:after="20"/>
        <w:jc w:val="left"/>
      </w:pPr>
      <w:r>
        <w:rPr>
          <w:rFonts w:ascii="Times New Roman" w:hAnsi="Times New Roman"/>
          <w:color w:val="000000"/>
          <w:sz w:val="22"/>
        </w:rPr>
        <w:t>Title: Vice President, Procurement</w:t>
      </w:r>
    </w:p>
    <w:p>
      <w:pPr>
        <w:spacing w:line="240" w:lineRule="auto" w:before="20" w:after="20"/>
        <w:jc w:val="left"/>
      </w:pPr>
      <w:r>
        <w:rPr>
          <w:rFonts w:ascii="Times New Roman" w:hAnsi="Times New Roman"/>
          <w:color w:val="000000"/>
          <w:sz w:val="22"/>
        </w:rPr>
        <w:t>Date: January 15, 2019</w:t>
      </w:r>
    </w:p>
    <w:p>
      <w:pPr>
        <w:spacing w:line="276" w:lineRule="auto" w:before="0" w:after="120"/>
        <w:jc w:val="both"/>
      </w:pPr>
      <w:r>
        <w:rPr>
          <w:rFonts w:ascii="Times New Roman" w:hAnsi="Times New Roman"/>
          <w:color w:val="000000"/>
          <w:sz w:val="22"/>
        </w:rPr>
        <w:t>&amp;nbsp;</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Date: January 15, 2019</w:t>
      </w:r>
    </w:p>
    <w:p>
      <w:r>
        <w:br w:type="page"/>
      </w:r>
    </w:p>
    <w:p>
      <w:pPr>
        <w:keepNext/>
        <w:spacing w:line="276" w:lineRule="auto" w:before="120" w:after="240"/>
        <w:jc w:val="center"/>
      </w:pPr>
      <w:r>
        <w:rPr>
          <w:rFonts w:ascii="Times New Roman" w:hAnsi="Times New Roman"/>
          <w:b/>
          <w:color w:val="000000"/>
          <w:sz w:val="28"/>
          <w:u w:val="single"/>
        </w:rPr>
        <w:t>EXHIBIT A — PRODUCT CATALOG AND SPECIFICATIONS</w:t>
      </w:r>
    </w:p>
    <w:p>
      <w:pPr>
        <w:spacing w:line="276" w:lineRule="auto" w:before="0" w:after="120"/>
        <w:jc w:val="both"/>
      </w:pPr>
      <w:r>
        <w:rPr>
          <w:rFonts w:ascii="Times New Roman" w:hAnsi="Times New Roman"/>
          <w:color w:val="000000"/>
          <w:sz w:val="22"/>
        </w:rPr>
        <w:t>The following sets forth the principal categories of Products supplied by Apex to Northland under this Agreement. All Products are manufactured goods within the meaning of applicable commercial law.</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Category</w:t>
            </w:r>
          </w:p>
        </w:tc>
        <w:tc>
          <w:tcPr>
            <w:tcW w:type="dxa" w:w="2880"/>
          </w:tcPr>
          <w:p>
            <w:pPr>
              <w:spacing w:line="276" w:lineRule="auto" w:before="20" w:after="20"/>
            </w:pPr>
            <w:r>
              <w:rPr>
                <w:b/>
              </w:rPr>
            </w:r>
            <w:r>
              <w:rPr>
                <w:rFonts w:ascii="Times New Roman" w:hAnsi="Times New Roman"/>
                <w:b/>
                <w:color w:val="000000"/>
                <w:sz w:val="18"/>
              </w:rPr>
              <w:t>Description</w:t>
            </w:r>
          </w:p>
        </w:tc>
        <w:tc>
          <w:tcPr>
            <w:tcW w:type="dxa" w:w="2880"/>
          </w:tcPr>
          <w:p>
            <w:pPr>
              <w:spacing w:line="276" w:lineRule="auto" w:before="20" w:after="20"/>
            </w:pPr>
            <w:r>
              <w:rPr>
                <w:b/>
              </w:rPr>
            </w:r>
            <w:r>
              <w:rPr>
                <w:rFonts w:ascii="Times New Roman" w:hAnsi="Times New Roman"/>
                <w:b/>
                <w:color w:val="000000"/>
                <w:sz w:val="18"/>
              </w:rPr>
              <w:t>Product Series</w:t>
            </w:r>
          </w:p>
        </w:tc>
      </w:tr>
      <w:tr>
        <w:tc>
          <w:tcPr>
            <w:tcW w:type="dxa" w:w="2880"/>
          </w:tcPr>
          <w:p>
            <w:pPr>
              <w:spacing w:line="276" w:lineRule="auto" w:before="20" w:after="20"/>
            </w:pPr>
            <w:r/>
            <w:r>
              <w:rPr>
                <w:rFonts w:ascii="Times New Roman" w:hAnsi="Times New Roman"/>
                <w:b/>
                <w:color w:val="000000"/>
                <w:sz w:val="18"/>
              </w:rPr>
              <w:t>Category 1</w:t>
            </w:r>
          </w:p>
        </w:tc>
        <w:tc>
          <w:tcPr>
            <w:tcW w:type="dxa" w:w="2880"/>
          </w:tcPr>
          <w:p>
            <w:pPr>
              <w:spacing w:line="276" w:lineRule="auto" w:before="20" w:after="20"/>
            </w:pPr>
            <w:r/>
            <w:r>
              <w:rPr>
                <w:rFonts w:ascii="Times New Roman" w:hAnsi="Times New Roman"/>
                <w:b/>
                <w:color w:val="000000"/>
                <w:sz w:val="18"/>
              </w:rPr>
              <w:t>Precision Control Valves</w:t>
            </w:r>
            <w:r>
              <w:rPr>
                <w:rFonts w:ascii="Times New Roman" w:hAnsi="Times New Roman"/>
                <w:color w:val="000000"/>
                <w:sz w:val="18"/>
              </w:rPr>
              <w:t xml:space="preserve"> — Globe valves, gate valves, butterfly valves, and check valves designed for high-pressure and high-temperature fluid control applications in petroleum refining and petrochemical processing environments</w:t>
            </w:r>
          </w:p>
        </w:tc>
        <w:tc>
          <w:tcPr>
            <w:tcW w:type="dxa" w:w="2880"/>
          </w:tcPr>
          <w:p>
            <w:pPr>
              <w:spacing w:line="276" w:lineRule="auto" w:before="20" w:after="20"/>
            </w:pPr>
            <w:r/>
            <w:r>
              <w:rPr>
                <w:rFonts w:ascii="Times New Roman" w:hAnsi="Times New Roman"/>
                <w:color w:val="000000"/>
                <w:sz w:val="18"/>
              </w:rPr>
              <w:t>Series AX-3000 through AX-5000</w:t>
            </w:r>
          </w:p>
        </w:tc>
      </w:tr>
      <w:tr>
        <w:tc>
          <w:tcPr>
            <w:tcW w:type="dxa" w:w="2880"/>
          </w:tcPr>
          <w:p>
            <w:pPr>
              <w:spacing w:line="276" w:lineRule="auto" w:before="20" w:after="20"/>
            </w:pPr>
            <w:r/>
            <w:r>
              <w:rPr>
                <w:rFonts w:ascii="Times New Roman" w:hAnsi="Times New Roman"/>
                <w:b/>
                <w:color w:val="000000"/>
                <w:sz w:val="18"/>
              </w:rPr>
              <w:t>Category 2</w:t>
            </w:r>
          </w:p>
        </w:tc>
        <w:tc>
          <w:tcPr>
            <w:tcW w:type="dxa" w:w="2880"/>
          </w:tcPr>
          <w:p>
            <w:pPr>
              <w:spacing w:line="276" w:lineRule="auto" w:before="20" w:after="20"/>
            </w:pPr>
            <w:r/>
            <w:r>
              <w:rPr>
                <w:rFonts w:ascii="Times New Roman" w:hAnsi="Times New Roman"/>
                <w:b/>
                <w:color w:val="000000"/>
                <w:sz w:val="18"/>
              </w:rPr>
              <w:t>Pneumatic and Electric Actuators</w:t>
            </w:r>
            <w:r>
              <w:rPr>
                <w:rFonts w:ascii="Times New Roman" w:hAnsi="Times New Roman"/>
                <w:color w:val="000000"/>
                <w:sz w:val="18"/>
              </w:rPr>
              <w:t xml:space="preserve"> — Pneumatic actuators (spring-return and double-acting) and electric actuators (multi-turn and quarter-turn) for automated valve control</w:t>
            </w:r>
          </w:p>
        </w:tc>
        <w:tc>
          <w:tcPr>
            <w:tcW w:type="dxa" w:w="2880"/>
          </w:tcPr>
          <w:p>
            <w:pPr>
              <w:spacing w:line="276" w:lineRule="auto" w:before="20" w:after="20"/>
            </w:pPr>
            <w:r/>
            <w:r>
              <w:rPr>
                <w:rFonts w:ascii="Times New Roman" w:hAnsi="Times New Roman"/>
                <w:color w:val="000000"/>
                <w:sz w:val="18"/>
              </w:rPr>
              <w:t>Series ACT-100 through ACT-400</w:t>
            </w:r>
          </w:p>
        </w:tc>
      </w:tr>
      <w:tr>
        <w:tc>
          <w:tcPr>
            <w:tcW w:type="dxa" w:w="2880"/>
          </w:tcPr>
          <w:p>
            <w:pPr>
              <w:spacing w:line="276" w:lineRule="auto" w:before="20" w:after="20"/>
            </w:pPr>
            <w:r/>
            <w:r>
              <w:rPr>
                <w:rFonts w:ascii="Times New Roman" w:hAnsi="Times New Roman"/>
                <w:b/>
                <w:color w:val="000000"/>
                <w:sz w:val="18"/>
              </w:rPr>
              <w:t>Category 3</w:t>
            </w:r>
          </w:p>
        </w:tc>
        <w:tc>
          <w:tcPr>
            <w:tcW w:type="dxa" w:w="2880"/>
          </w:tcPr>
          <w:p>
            <w:pPr>
              <w:spacing w:line="276" w:lineRule="auto" w:before="20" w:after="20"/>
            </w:pPr>
            <w:r/>
            <w:r>
              <w:rPr>
                <w:rFonts w:ascii="Times New Roman" w:hAnsi="Times New Roman"/>
                <w:b/>
                <w:color w:val="000000"/>
                <w:sz w:val="18"/>
              </w:rPr>
              <w:t>Integrated Valve-Actuator Assemblies</w:t>
            </w:r>
            <w:r>
              <w:rPr>
                <w:rFonts w:ascii="Times New Roman" w:hAnsi="Times New Roman"/>
                <w:color w:val="000000"/>
                <w:sz w:val="18"/>
              </w:rPr>
              <w:t xml:space="preserve"> — Pre-assembled and tested valve-actuator combinations incorporating advanced flow control logic and diagnostics, designed for critical process applications</w:t>
            </w:r>
          </w:p>
        </w:tc>
        <w:tc>
          <w:tcPr>
            <w:tcW w:type="dxa" w:w="2880"/>
          </w:tcPr>
          <w:p>
            <w:pPr>
              <w:spacing w:line="276" w:lineRule="auto" w:before="20" w:after="20"/>
            </w:pPr>
            <w:r/>
            <w:r>
              <w:rPr>
                <w:rFonts w:ascii="Times New Roman" w:hAnsi="Times New Roman"/>
                <w:color w:val="000000"/>
                <w:sz w:val="18"/>
              </w:rPr>
              <w:t>Series AX-7000</w:t>
            </w:r>
          </w:p>
        </w:tc>
      </w:tr>
      <w:tr>
        <w:tc>
          <w:tcPr>
            <w:tcW w:type="dxa" w:w="2880"/>
          </w:tcPr>
          <w:p>
            <w:pPr>
              <w:spacing w:line="276" w:lineRule="auto" w:before="20" w:after="20"/>
            </w:pPr>
            <w:r/>
            <w:r>
              <w:rPr>
                <w:rFonts w:ascii="Times New Roman" w:hAnsi="Times New Roman"/>
                <w:b/>
                <w:color w:val="000000"/>
                <w:sz w:val="18"/>
              </w:rPr>
              <w:t>Category 4</w:t>
            </w:r>
          </w:p>
        </w:tc>
        <w:tc>
          <w:tcPr>
            <w:tcW w:type="dxa" w:w="2880"/>
          </w:tcPr>
          <w:p>
            <w:pPr>
              <w:spacing w:line="276" w:lineRule="auto" w:before="20" w:after="20"/>
            </w:pPr>
            <w:r/>
            <w:r>
              <w:rPr>
                <w:rFonts w:ascii="Times New Roman" w:hAnsi="Times New Roman"/>
                <w:b/>
                <w:color w:val="000000"/>
                <w:sz w:val="18"/>
              </w:rPr>
              <w:t>Spare Parts and Replacement Components</w:t>
            </w:r>
            <w:r>
              <w:rPr>
                <w:rFonts w:ascii="Times New Roman" w:hAnsi="Times New Roman"/>
                <w:color w:val="000000"/>
                <w:sz w:val="18"/>
              </w:rPr>
              <w:t xml:space="preserve"> — Replacement trim sets, packing kits, actuator diaphragms, positioner modules, seals, gaskets, and other wear components</w:t>
            </w:r>
          </w:p>
        </w:tc>
        <w:tc>
          <w:tcPr>
            <w:tcW w:type="dxa" w:w="2880"/>
          </w:tcPr>
          <w:p>
            <w:pPr>
              <w:spacing w:line="276" w:lineRule="auto" w:before="20" w:after="20"/>
            </w:pPr>
            <w:r/>
            <w:r>
              <w:rPr>
                <w:rFonts w:ascii="Times New Roman" w:hAnsi="Times New Roman"/>
                <w:color w:val="000000"/>
                <w:sz w:val="18"/>
              </w:rPr>
              <w:t>Various (per Product Series)</w:t>
            </w:r>
          </w:p>
        </w:tc>
      </w:tr>
      <w:tr>
        <w:tc>
          <w:tcPr>
            <w:tcW w:type="dxa" w:w="2880"/>
          </w:tcPr>
          <w:p>
            <w:pPr>
              <w:spacing w:line="276" w:lineRule="auto" w:before="20" w:after="20"/>
            </w:pPr>
            <w:r/>
            <w:r>
              <w:rPr>
                <w:rFonts w:ascii="Times New Roman" w:hAnsi="Times New Roman"/>
                <w:b/>
                <w:color w:val="000000"/>
                <w:sz w:val="18"/>
              </w:rPr>
              <w:t>Category 5</w:t>
            </w:r>
          </w:p>
        </w:tc>
        <w:tc>
          <w:tcPr>
            <w:tcW w:type="dxa" w:w="2880"/>
          </w:tcPr>
          <w:p>
            <w:pPr>
              <w:spacing w:line="276" w:lineRule="auto" w:before="20" w:after="20"/>
            </w:pPr>
            <w:r/>
            <w:r>
              <w:rPr>
                <w:rFonts w:ascii="Times New Roman" w:hAnsi="Times New Roman"/>
                <w:b/>
                <w:color w:val="000000"/>
                <w:sz w:val="18"/>
              </w:rPr>
              <w:t>Custom-Engineered Fluid Control Solutions</w:t>
            </w:r>
            <w:r>
              <w:rPr>
                <w:rFonts w:ascii="Times New Roman" w:hAnsi="Times New Roman"/>
                <w:color w:val="000000"/>
                <w:sz w:val="18"/>
              </w:rPr>
              <w:t xml:space="preserve"> — Engineered-to-order valve assemblies and control systems designed to meet Northland's specific application requirements, including non-standard materials, sizing, and configurations</w:t>
            </w:r>
          </w:p>
        </w:tc>
        <w:tc>
          <w:tcPr>
            <w:tcW w:type="dxa" w:w="2880"/>
          </w:tcPr>
          <w:p>
            <w:pPr>
              <w:spacing w:line="276" w:lineRule="auto" w:before="20" w:after="20"/>
            </w:pPr>
            <w:r/>
            <w:r>
              <w:rPr>
                <w:rFonts w:ascii="Times New Roman" w:hAnsi="Times New Roman"/>
                <w:color w:val="000000"/>
                <w:sz w:val="18"/>
              </w:rPr>
              <w:t>Per customer specification</w:t>
            </w:r>
          </w:p>
        </w:tc>
      </w:tr>
    </w:tbl>
    <w:p/>
    <w:p>
      <w:pPr>
        <w:spacing w:line="276" w:lineRule="auto" w:before="0" w:after="120"/>
        <w:jc w:val="both"/>
      </w:pPr>
      <w:r>
        <w:rPr>
          <w:rFonts w:ascii="Times New Roman" w:hAnsi="Times New Roman"/>
          <w:color w:val="000000"/>
          <w:sz w:val="22"/>
        </w:rPr>
        <w:t>Detailed technical specifications for each Product Series, including materials of construction, pressure and temperature ratings, flow coefficients, dimensional drawings, and testing protocols, are maintained by Apex in separate specification sheets, which are incorporated herein by reference. Apex shall provide updated specification sheets to Northland upon request and shall notify Northland of any updates in accordance with Section 6.5.</w:t>
      </w:r>
    </w:p>
    <w:p>
      <w:pPr>
        <w:spacing w:line="276" w:lineRule="auto" w:before="0" w:after="120"/>
        <w:jc w:val="both"/>
      </w:pPr>
      <w:r>
        <w:rPr>
          <w:rFonts w:ascii="Times New Roman" w:hAnsi="Times New Roman"/>
          <w:color w:val="000000"/>
          <w:sz w:val="22"/>
        </w:rPr>
        <w:t>All Products listed herein are manufactured goods consisting of tangible, movable items produced through Apex's manufacturing processes.</w:t>
      </w:r>
    </w:p>
    <w:p>
      <w:r>
        <w:br w:type="page"/>
      </w:r>
    </w:p>
    <w:p>
      <w:pPr>
        <w:keepNext/>
        <w:spacing w:line="276" w:lineRule="auto" w:before="120" w:after="240"/>
        <w:jc w:val="center"/>
      </w:pPr>
      <w:r>
        <w:rPr>
          <w:rFonts w:ascii="Times New Roman" w:hAnsi="Times New Roman"/>
          <w:b/>
          <w:color w:val="000000"/>
          <w:sz w:val="28"/>
          <w:u w:val="single"/>
        </w:rPr>
        <w:t>EXHIBIT B — PRICING SCHEDULE</w:t>
      </w:r>
    </w:p>
    <w:p>
      <w:pPr>
        <w:spacing w:line="276" w:lineRule="auto" w:before="0" w:after="120"/>
        <w:jc w:val="both"/>
      </w:pPr>
      <w:r>
        <w:rPr>
          <w:rFonts w:ascii="Times New Roman" w:hAnsi="Times New Roman"/>
          <w:b/>
          <w:color w:val="000000"/>
          <w:sz w:val="22"/>
        </w:rPr>
        <w:t>Base Pricing — Effective January 15, 2019</w:t>
      </w:r>
      <w:r>
        <w:rPr>
          <w:rFonts w:ascii="Times New Roman" w:hAnsi="Times New Roman"/>
          <w:color w:val="000000"/>
          <w:sz w:val="22"/>
        </w:rPr>
        <w:t xml:space="preserve"> </w:t>
      </w:r>
      <w:r>
        <w:rPr>
          <w:rFonts w:ascii="Times New Roman" w:hAnsi="Times New Roman"/>
          <w:i/>
          <w:color w:val="000000"/>
          <w:sz w:val="22"/>
        </w:rPr>
        <w:t>(As amended from time to time in accordance with Section 4.2)</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Product Category</w:t>
            </w:r>
          </w:p>
        </w:tc>
        <w:tc>
          <w:tcPr>
            <w:tcW w:type="dxa" w:w="2880"/>
          </w:tcPr>
          <w:p>
            <w:pPr>
              <w:spacing w:line="276" w:lineRule="auto" w:before="20" w:after="20"/>
            </w:pPr>
            <w:r>
              <w:rPr>
                <w:b/>
              </w:rPr>
            </w:r>
            <w:r>
              <w:rPr>
                <w:rFonts w:ascii="Times New Roman" w:hAnsi="Times New Roman"/>
                <w:b/>
                <w:color w:val="000000"/>
                <w:sz w:val="18"/>
              </w:rPr>
              <w:t>Product Series</w:t>
            </w:r>
          </w:p>
        </w:tc>
        <w:tc>
          <w:tcPr>
            <w:tcW w:type="dxa" w:w="2880"/>
          </w:tcPr>
          <w:p>
            <w:pPr>
              <w:spacing w:line="276" w:lineRule="auto" w:before="20" w:after="20"/>
            </w:pPr>
            <w:r>
              <w:rPr>
                <w:b/>
              </w:rPr>
            </w:r>
            <w:r>
              <w:rPr>
                <w:rFonts w:ascii="Times New Roman" w:hAnsi="Times New Roman"/>
                <w:b/>
                <w:color w:val="000000"/>
                <w:sz w:val="18"/>
              </w:rPr>
              <w:t>Unit Price Range (USD)</w:t>
            </w:r>
          </w:p>
        </w:tc>
      </w:tr>
      <w:tr>
        <w:tc>
          <w:tcPr>
            <w:tcW w:type="dxa" w:w="2880"/>
          </w:tcPr>
          <w:p>
            <w:pPr>
              <w:spacing w:line="276" w:lineRule="auto" w:before="20" w:after="20"/>
            </w:pPr>
            <w:r/>
            <w:r>
              <w:rPr>
                <w:rFonts w:ascii="Times New Roman" w:hAnsi="Times New Roman"/>
                <w:color w:val="000000"/>
                <w:sz w:val="18"/>
              </w:rPr>
              <w:t>Precision Control Valves</w:t>
            </w:r>
          </w:p>
        </w:tc>
        <w:tc>
          <w:tcPr>
            <w:tcW w:type="dxa" w:w="2880"/>
          </w:tcPr>
          <w:p>
            <w:pPr>
              <w:spacing w:line="276" w:lineRule="auto" w:before="20" w:after="20"/>
            </w:pPr>
            <w:r/>
            <w:r>
              <w:rPr>
                <w:rFonts w:ascii="Times New Roman" w:hAnsi="Times New Roman"/>
                <w:color w:val="000000"/>
                <w:sz w:val="18"/>
              </w:rPr>
              <w:t>AX-3000</w:t>
            </w:r>
          </w:p>
        </w:tc>
        <w:tc>
          <w:tcPr>
            <w:tcW w:type="dxa" w:w="2880"/>
          </w:tcPr>
          <w:p>
            <w:pPr>
              <w:spacing w:line="276" w:lineRule="auto" w:before="20" w:after="20"/>
            </w:pPr>
            <w:r/>
            <w:r>
              <w:rPr>
                <w:rFonts w:ascii="Times New Roman" w:hAnsi="Times New Roman"/>
                <w:color w:val="000000"/>
                <w:sz w:val="18"/>
              </w:rPr>
              <w:t>$4,200 – $18,500</w:t>
            </w:r>
          </w:p>
        </w:tc>
      </w:tr>
      <w:tr>
        <w:tc>
          <w:tcPr>
            <w:tcW w:type="dxa" w:w="2880"/>
          </w:tcPr>
          <w:p>
            <w:pPr>
              <w:spacing w:line="276" w:lineRule="auto" w:before="20" w:after="20"/>
            </w:pPr>
            <w:r/>
            <w:r>
              <w:rPr>
                <w:rFonts w:ascii="Times New Roman" w:hAnsi="Times New Roman"/>
                <w:color w:val="000000"/>
                <w:sz w:val="18"/>
              </w:rPr>
              <w:t>Precision Control Valves</w:t>
            </w:r>
          </w:p>
        </w:tc>
        <w:tc>
          <w:tcPr>
            <w:tcW w:type="dxa" w:w="2880"/>
          </w:tcPr>
          <w:p>
            <w:pPr>
              <w:spacing w:line="276" w:lineRule="auto" w:before="20" w:after="20"/>
            </w:pPr>
            <w:r/>
            <w:r>
              <w:rPr>
                <w:rFonts w:ascii="Times New Roman" w:hAnsi="Times New Roman"/>
                <w:color w:val="000000"/>
                <w:sz w:val="18"/>
              </w:rPr>
              <w:t>AX-4000</w:t>
            </w:r>
          </w:p>
        </w:tc>
        <w:tc>
          <w:tcPr>
            <w:tcW w:type="dxa" w:w="2880"/>
          </w:tcPr>
          <w:p>
            <w:pPr>
              <w:spacing w:line="276" w:lineRule="auto" w:before="20" w:after="20"/>
            </w:pPr>
            <w:r/>
            <w:r>
              <w:rPr>
                <w:rFonts w:ascii="Times New Roman" w:hAnsi="Times New Roman"/>
                <w:color w:val="000000"/>
                <w:sz w:val="18"/>
              </w:rPr>
              <w:t>$12,800 – $47,600</w:t>
            </w:r>
          </w:p>
        </w:tc>
      </w:tr>
      <w:tr>
        <w:tc>
          <w:tcPr>
            <w:tcW w:type="dxa" w:w="2880"/>
          </w:tcPr>
          <w:p>
            <w:pPr>
              <w:spacing w:line="276" w:lineRule="auto" w:before="20" w:after="20"/>
            </w:pPr>
            <w:r/>
            <w:r>
              <w:rPr>
                <w:rFonts w:ascii="Times New Roman" w:hAnsi="Times New Roman"/>
                <w:color w:val="000000"/>
                <w:sz w:val="18"/>
              </w:rPr>
              <w:t>Precision Control Valves</w:t>
            </w:r>
          </w:p>
        </w:tc>
        <w:tc>
          <w:tcPr>
            <w:tcW w:type="dxa" w:w="2880"/>
          </w:tcPr>
          <w:p>
            <w:pPr>
              <w:spacing w:line="276" w:lineRule="auto" w:before="20" w:after="20"/>
            </w:pPr>
            <w:r/>
            <w:r>
              <w:rPr>
                <w:rFonts w:ascii="Times New Roman" w:hAnsi="Times New Roman"/>
                <w:color w:val="000000"/>
                <w:sz w:val="18"/>
              </w:rPr>
              <w:t>AX-5000</w:t>
            </w:r>
          </w:p>
        </w:tc>
        <w:tc>
          <w:tcPr>
            <w:tcW w:type="dxa" w:w="2880"/>
          </w:tcPr>
          <w:p>
            <w:pPr>
              <w:spacing w:line="276" w:lineRule="auto" w:before="20" w:after="20"/>
            </w:pPr>
            <w:r/>
            <w:r>
              <w:rPr>
                <w:rFonts w:ascii="Times New Roman" w:hAnsi="Times New Roman"/>
                <w:color w:val="000000"/>
                <w:sz w:val="18"/>
              </w:rPr>
              <w:t>$28,500 – $96,000</w:t>
            </w:r>
          </w:p>
        </w:tc>
      </w:tr>
      <w:tr>
        <w:tc>
          <w:tcPr>
            <w:tcW w:type="dxa" w:w="2880"/>
          </w:tcPr>
          <w:p>
            <w:pPr>
              <w:spacing w:line="276" w:lineRule="auto" w:before="20" w:after="20"/>
            </w:pPr>
            <w:r/>
            <w:r>
              <w:rPr>
                <w:rFonts w:ascii="Times New Roman" w:hAnsi="Times New Roman"/>
                <w:color w:val="000000"/>
                <w:sz w:val="18"/>
              </w:rPr>
              <w:t>Pneumatic Actuators</w:t>
            </w:r>
          </w:p>
        </w:tc>
        <w:tc>
          <w:tcPr>
            <w:tcW w:type="dxa" w:w="2880"/>
          </w:tcPr>
          <w:p>
            <w:pPr>
              <w:spacing w:line="276" w:lineRule="auto" w:before="20" w:after="20"/>
            </w:pPr>
            <w:r/>
            <w:r>
              <w:rPr>
                <w:rFonts w:ascii="Times New Roman" w:hAnsi="Times New Roman"/>
                <w:color w:val="000000"/>
                <w:sz w:val="18"/>
              </w:rPr>
              <w:t>ACT-100 / ACT-200</w:t>
            </w:r>
          </w:p>
        </w:tc>
        <w:tc>
          <w:tcPr>
            <w:tcW w:type="dxa" w:w="2880"/>
          </w:tcPr>
          <w:p>
            <w:pPr>
              <w:spacing w:line="276" w:lineRule="auto" w:before="20" w:after="20"/>
            </w:pPr>
            <w:r/>
            <w:r>
              <w:rPr>
                <w:rFonts w:ascii="Times New Roman" w:hAnsi="Times New Roman"/>
                <w:color w:val="000000"/>
                <w:sz w:val="18"/>
              </w:rPr>
              <w:t>$3,100 – $22,400</w:t>
            </w:r>
          </w:p>
        </w:tc>
      </w:tr>
      <w:tr>
        <w:tc>
          <w:tcPr>
            <w:tcW w:type="dxa" w:w="2880"/>
          </w:tcPr>
          <w:p>
            <w:pPr>
              <w:spacing w:line="276" w:lineRule="auto" w:before="20" w:after="20"/>
            </w:pPr>
            <w:r/>
            <w:r>
              <w:rPr>
                <w:rFonts w:ascii="Times New Roman" w:hAnsi="Times New Roman"/>
                <w:color w:val="000000"/>
                <w:sz w:val="18"/>
              </w:rPr>
              <w:t>Electric Actuators</w:t>
            </w:r>
          </w:p>
        </w:tc>
        <w:tc>
          <w:tcPr>
            <w:tcW w:type="dxa" w:w="2880"/>
          </w:tcPr>
          <w:p>
            <w:pPr>
              <w:spacing w:line="276" w:lineRule="auto" w:before="20" w:after="20"/>
            </w:pPr>
            <w:r/>
            <w:r>
              <w:rPr>
                <w:rFonts w:ascii="Times New Roman" w:hAnsi="Times New Roman"/>
                <w:color w:val="000000"/>
                <w:sz w:val="18"/>
              </w:rPr>
              <w:t>ACT-300 / ACT-400</w:t>
            </w:r>
          </w:p>
        </w:tc>
        <w:tc>
          <w:tcPr>
            <w:tcW w:type="dxa" w:w="2880"/>
          </w:tcPr>
          <w:p>
            <w:pPr>
              <w:spacing w:line="276" w:lineRule="auto" w:before="20" w:after="20"/>
            </w:pPr>
            <w:r/>
            <w:r>
              <w:rPr>
                <w:rFonts w:ascii="Times New Roman" w:hAnsi="Times New Roman"/>
                <w:color w:val="000000"/>
                <w:sz w:val="18"/>
              </w:rPr>
              <w:t>$8,600 – $41,200</w:t>
            </w:r>
          </w:p>
        </w:tc>
      </w:tr>
      <w:tr>
        <w:tc>
          <w:tcPr>
            <w:tcW w:type="dxa" w:w="2880"/>
          </w:tcPr>
          <w:p>
            <w:pPr>
              <w:spacing w:line="276" w:lineRule="auto" w:before="20" w:after="20"/>
            </w:pPr>
            <w:r/>
            <w:r>
              <w:rPr>
                <w:rFonts w:ascii="Times New Roman" w:hAnsi="Times New Roman"/>
                <w:color w:val="000000"/>
                <w:sz w:val="18"/>
              </w:rPr>
              <w:t>Integrated Valve-Actuator Assemblies</w:t>
            </w:r>
          </w:p>
        </w:tc>
        <w:tc>
          <w:tcPr>
            <w:tcW w:type="dxa" w:w="2880"/>
          </w:tcPr>
          <w:p>
            <w:pPr>
              <w:spacing w:line="276" w:lineRule="auto" w:before="20" w:after="20"/>
            </w:pPr>
            <w:r/>
            <w:r>
              <w:rPr>
                <w:rFonts w:ascii="Times New Roman" w:hAnsi="Times New Roman"/>
                <w:color w:val="000000"/>
                <w:sz w:val="18"/>
              </w:rPr>
              <w:t>AX-7000</w:t>
            </w:r>
          </w:p>
        </w:tc>
        <w:tc>
          <w:tcPr>
            <w:tcW w:type="dxa" w:w="2880"/>
          </w:tcPr>
          <w:p>
            <w:pPr>
              <w:spacing w:line="276" w:lineRule="auto" w:before="20" w:after="20"/>
            </w:pPr>
            <w:r/>
            <w:r>
              <w:rPr>
                <w:rFonts w:ascii="Times New Roman" w:hAnsi="Times New Roman"/>
                <w:color w:val="000000"/>
                <w:sz w:val="18"/>
              </w:rPr>
              <w:t>$38,000 – $185,000</w:t>
            </w:r>
          </w:p>
        </w:tc>
      </w:tr>
      <w:tr>
        <w:tc>
          <w:tcPr>
            <w:tcW w:type="dxa" w:w="2880"/>
          </w:tcPr>
          <w:p>
            <w:pPr>
              <w:spacing w:line="276" w:lineRule="auto" w:before="20" w:after="20"/>
            </w:pPr>
            <w:r/>
            <w:r>
              <w:rPr>
                <w:rFonts w:ascii="Times New Roman" w:hAnsi="Times New Roman"/>
                <w:color w:val="000000"/>
                <w:sz w:val="18"/>
              </w:rPr>
              <w:t>Spare Parts &amp; Replacement Components</w:t>
            </w:r>
          </w:p>
        </w:tc>
        <w:tc>
          <w:tcPr>
            <w:tcW w:type="dxa" w:w="2880"/>
          </w:tcPr>
          <w:p>
            <w:pPr>
              <w:spacing w:line="276" w:lineRule="auto" w:before="20" w:after="20"/>
            </w:pPr>
            <w:r/>
            <w:r>
              <w:rPr>
                <w:rFonts w:ascii="Times New Roman" w:hAnsi="Times New Roman"/>
                <w:color w:val="000000"/>
                <w:sz w:val="18"/>
              </w:rPr>
              <w:t>Various</w:t>
            </w:r>
          </w:p>
        </w:tc>
        <w:tc>
          <w:tcPr>
            <w:tcW w:type="dxa" w:w="2880"/>
          </w:tcPr>
          <w:p>
            <w:pPr>
              <w:spacing w:line="276" w:lineRule="auto" w:before="20" w:after="20"/>
            </w:pPr>
            <w:r/>
            <w:r>
              <w:rPr>
                <w:rFonts w:ascii="Times New Roman" w:hAnsi="Times New Roman"/>
                <w:color w:val="000000"/>
                <w:sz w:val="18"/>
              </w:rPr>
              <w:t>Per parts price list</w:t>
            </w:r>
          </w:p>
        </w:tc>
      </w:tr>
      <w:tr>
        <w:tc>
          <w:tcPr>
            <w:tcW w:type="dxa" w:w="2880"/>
          </w:tcPr>
          <w:p>
            <w:pPr>
              <w:spacing w:line="276" w:lineRule="auto" w:before="20" w:after="20"/>
            </w:pPr>
            <w:r/>
            <w:r>
              <w:rPr>
                <w:rFonts w:ascii="Times New Roman" w:hAnsi="Times New Roman"/>
                <w:color w:val="000000"/>
                <w:sz w:val="18"/>
              </w:rPr>
              <w:t>Custom-Engineered Solutions</w:t>
            </w:r>
          </w:p>
        </w:tc>
        <w:tc>
          <w:tcPr>
            <w:tcW w:type="dxa" w:w="2880"/>
          </w:tcPr>
          <w:p>
            <w:pPr>
              <w:spacing w:line="276" w:lineRule="auto" w:before="20" w:after="20"/>
            </w:pPr>
            <w:r/>
            <w:r>
              <w:rPr>
                <w:rFonts w:ascii="Times New Roman" w:hAnsi="Times New Roman"/>
                <w:color w:val="000000"/>
                <w:sz w:val="18"/>
              </w:rPr>
              <w:t>Per specification</w:t>
            </w:r>
          </w:p>
        </w:tc>
        <w:tc>
          <w:tcPr>
            <w:tcW w:type="dxa" w:w="2880"/>
          </w:tcPr>
          <w:p>
            <w:pPr>
              <w:spacing w:line="276" w:lineRule="auto" w:before="20" w:after="20"/>
            </w:pPr>
            <w:r/>
            <w:r>
              <w:rPr>
                <w:rFonts w:ascii="Times New Roman" w:hAnsi="Times New Roman"/>
                <w:color w:val="000000"/>
                <w:sz w:val="18"/>
              </w:rPr>
              <w:t>Quoted per project</w:t>
            </w:r>
          </w:p>
        </w:tc>
      </w:tr>
    </w:tbl>
    <w:p/>
    <w:p>
      <w:pPr>
        <w:spacing w:line="276" w:lineRule="auto" w:before="0" w:after="120"/>
        <w:jc w:val="both"/>
      </w:pPr>
      <w:r>
        <w:rPr>
          <w:rFonts w:ascii="Times New Roman" w:hAnsi="Times New Roman"/>
          <w:b/>
          <w:color w:val="000000"/>
          <w:sz w:val="22"/>
        </w:rPr>
        <w:t>Notes:</w:t>
      </w:r>
    </w:p>
    <w:p>
      <w:pPr>
        <w:spacing w:line="276" w:lineRule="auto" w:before="20" w:after="20"/>
        <w:ind w:left="432" w:hanging="432"/>
        <w:jc w:val="both"/>
      </w:pPr>
      <w:r>
        <w:rPr>
          <w:rFonts w:ascii="Times New Roman" w:hAnsi="Times New Roman"/>
          <w:color w:val="000000"/>
          <w:sz w:val="22"/>
        </w:rPr>
        <w:t>1.  Prices above are illustrative base ranges as of the Effective Date. Actual unit prices for each Purchase Order shall be determined by reference to the detailed pricing matrix maintained by the Parties and updated annually pursuant to Section 4.2.</w:t>
      </w:r>
    </w:p>
    <w:p>
      <w:pPr>
        <w:spacing w:line="276" w:lineRule="auto" w:before="20" w:after="20"/>
        <w:ind w:left="432" w:hanging="432"/>
        <w:jc w:val="both"/>
      </w:pPr>
      <w:r>
        <w:rPr>
          <w:rFonts w:ascii="Times New Roman" w:hAnsi="Times New Roman"/>
          <w:color w:val="000000"/>
          <w:sz w:val="22"/>
        </w:rPr>
        <w:t>2.  Volume-based pricing adjustments apply in accordance with Section 4.3. Annual purchases have historically ranged between $30,000,000 and $38,000,000.</w:t>
      </w:r>
    </w:p>
    <w:p>
      <w:pPr>
        <w:spacing w:line="276" w:lineRule="auto" w:before="20" w:after="20"/>
        <w:ind w:left="432" w:hanging="432"/>
        <w:jc w:val="both"/>
      </w:pPr>
      <w:r>
        <w:rPr>
          <w:rFonts w:ascii="Times New Roman" w:hAnsi="Times New Roman"/>
          <w:color w:val="000000"/>
          <w:sz w:val="22"/>
        </w:rPr>
        <w:t>3.  All prices are FCA (Incoterms® 2020) Apex's manufacturing facility, Cincinnati, Ohio, and are exclusive of applicable taxes pursuant to Section 4.5.</w:t>
      </w:r>
    </w:p>
    <w:p>
      <w:pPr>
        <w:spacing w:line="276" w:lineRule="auto" w:before="20" w:after="20"/>
        <w:ind w:left="432" w:hanging="432"/>
        <w:jc w:val="both"/>
      </w:pPr>
      <w:r>
        <w:rPr>
          <w:rFonts w:ascii="Times New Roman" w:hAnsi="Times New Roman"/>
          <w:color w:val="000000"/>
          <w:sz w:val="22"/>
        </w:rPr>
        <w:t>4.  Pricing for custom-engineered solutions (Category 5) shall be quoted by Apex on a project-by-project basis and shall be agreed upon in the applicable Purchase Order.</w:t>
      </w:r>
    </w:p>
    <w:p>
      <w:r>
        <w:br w:type="page"/>
      </w:r>
    </w:p>
    <w:p>
      <w:pPr>
        <w:keepNext/>
        <w:spacing w:line="276" w:lineRule="auto" w:before="120" w:after="240"/>
        <w:jc w:val="center"/>
      </w:pPr>
      <w:r>
        <w:rPr>
          <w:rFonts w:ascii="Times New Roman" w:hAnsi="Times New Roman"/>
          <w:b/>
          <w:color w:val="000000"/>
          <w:sz w:val="28"/>
          <w:u w:val="single"/>
        </w:rPr>
        <w:t>EXHIBIT C — APPROVED SUBCONTRACTORS</w:t>
      </w:r>
    </w:p>
    <w:p>
      <w:pPr>
        <w:spacing w:line="276" w:lineRule="auto" w:before="0" w:after="120"/>
        <w:jc w:val="both"/>
      </w:pPr>
      <w:r>
        <w:rPr>
          <w:rFonts w:ascii="Times New Roman" w:hAnsi="Times New Roman"/>
          <w:color w:val="000000"/>
          <w:sz w:val="22"/>
        </w:rPr>
        <w:t>The following subcontractors have been approved by Northland for the manufacture of component parts of Products under this Agreement, pursuant to Section 14.1:</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Subcontractor</w:t>
            </w:r>
          </w:p>
        </w:tc>
        <w:tc>
          <w:tcPr>
            <w:tcW w:type="dxa" w:w="2880"/>
          </w:tcPr>
          <w:p>
            <w:pPr>
              <w:spacing w:line="276" w:lineRule="auto" w:before="20" w:after="20"/>
            </w:pPr>
            <w:r>
              <w:rPr>
                <w:b/>
              </w:rPr>
            </w:r>
            <w:r>
              <w:rPr>
                <w:rFonts w:ascii="Times New Roman" w:hAnsi="Times New Roman"/>
                <w:b/>
                <w:color w:val="000000"/>
                <w:sz w:val="18"/>
              </w:rPr>
              <w:t>Location</w:t>
            </w:r>
          </w:p>
        </w:tc>
        <w:tc>
          <w:tcPr>
            <w:tcW w:type="dxa" w:w="2880"/>
          </w:tcPr>
          <w:p>
            <w:pPr>
              <w:spacing w:line="276" w:lineRule="auto" w:before="20" w:after="20"/>
            </w:pPr>
            <w:r>
              <w:rPr>
                <w:b/>
              </w:rPr>
            </w:r>
            <w:r>
              <w:rPr>
                <w:rFonts w:ascii="Times New Roman" w:hAnsi="Times New Roman"/>
                <w:b/>
                <w:color w:val="000000"/>
                <w:sz w:val="18"/>
              </w:rPr>
              <w:t>Scope of Work</w:t>
            </w:r>
          </w:p>
        </w:tc>
      </w:tr>
      <w:tr>
        <w:tc>
          <w:tcPr>
            <w:tcW w:type="dxa" w:w="2880"/>
          </w:tcPr>
          <w:p>
            <w:pPr>
              <w:spacing w:line="276" w:lineRule="auto" w:before="20" w:after="20"/>
            </w:pPr>
            <w:r/>
            <w:r>
              <w:rPr>
                <w:rFonts w:ascii="Times New Roman" w:hAnsi="Times New Roman"/>
                <w:color w:val="000000"/>
                <w:sz w:val="18"/>
              </w:rPr>
              <w:t>Meridian Precision Castings, Inc.</w:t>
            </w:r>
          </w:p>
        </w:tc>
        <w:tc>
          <w:tcPr>
            <w:tcW w:type="dxa" w:w="2880"/>
          </w:tcPr>
          <w:p>
            <w:pPr>
              <w:spacing w:line="276" w:lineRule="auto" w:before="20" w:after="20"/>
            </w:pPr>
            <w:r/>
            <w:r>
              <w:rPr>
                <w:rFonts w:ascii="Times New Roman" w:hAnsi="Times New Roman"/>
                <w:color w:val="000000"/>
                <w:sz w:val="18"/>
              </w:rPr>
              <w:t>Cleveland, Ohio</w:t>
            </w:r>
          </w:p>
        </w:tc>
        <w:tc>
          <w:tcPr>
            <w:tcW w:type="dxa" w:w="2880"/>
          </w:tcPr>
          <w:p>
            <w:pPr>
              <w:spacing w:line="276" w:lineRule="auto" w:before="20" w:after="20"/>
            </w:pPr>
            <w:r/>
            <w:r>
              <w:rPr>
                <w:rFonts w:ascii="Times New Roman" w:hAnsi="Times New Roman"/>
                <w:color w:val="000000"/>
                <w:sz w:val="18"/>
              </w:rPr>
              <w:t>Valve body castings and forged components</w:t>
            </w:r>
          </w:p>
        </w:tc>
      </w:tr>
      <w:tr>
        <w:tc>
          <w:tcPr>
            <w:tcW w:type="dxa" w:w="2880"/>
          </w:tcPr>
          <w:p>
            <w:pPr>
              <w:spacing w:line="276" w:lineRule="auto" w:before="20" w:after="20"/>
            </w:pPr>
            <w:r/>
            <w:r>
              <w:rPr>
                <w:rFonts w:ascii="Times New Roman" w:hAnsi="Times New Roman"/>
                <w:color w:val="000000"/>
                <w:sz w:val="18"/>
              </w:rPr>
              <w:t>Trident Seal &amp; Gasket Co.</w:t>
            </w:r>
          </w:p>
        </w:tc>
        <w:tc>
          <w:tcPr>
            <w:tcW w:type="dxa" w:w="2880"/>
          </w:tcPr>
          <w:p>
            <w:pPr>
              <w:spacing w:line="276" w:lineRule="auto" w:before="20" w:after="20"/>
            </w:pPr>
            <w:r/>
            <w:r>
              <w:rPr>
                <w:rFonts w:ascii="Times New Roman" w:hAnsi="Times New Roman"/>
                <w:color w:val="000000"/>
                <w:sz w:val="18"/>
              </w:rPr>
              <w:t>Houston, Texas</w:t>
            </w:r>
          </w:p>
        </w:tc>
        <w:tc>
          <w:tcPr>
            <w:tcW w:type="dxa" w:w="2880"/>
          </w:tcPr>
          <w:p>
            <w:pPr>
              <w:spacing w:line="276" w:lineRule="auto" w:before="20" w:after="20"/>
            </w:pPr>
            <w:r/>
            <w:r>
              <w:rPr>
                <w:rFonts w:ascii="Times New Roman" w:hAnsi="Times New Roman"/>
                <w:color w:val="000000"/>
                <w:sz w:val="18"/>
              </w:rPr>
              <w:t>Seals, gaskets, packing sets, and elastomeric components</w:t>
            </w:r>
          </w:p>
        </w:tc>
      </w:tr>
      <w:tr>
        <w:tc>
          <w:tcPr>
            <w:tcW w:type="dxa" w:w="2880"/>
          </w:tcPr>
          <w:p>
            <w:pPr>
              <w:spacing w:line="276" w:lineRule="auto" w:before="20" w:after="20"/>
            </w:pPr>
            <w:r/>
            <w:r>
              <w:rPr>
                <w:rFonts w:ascii="Times New Roman" w:hAnsi="Times New Roman"/>
                <w:color w:val="000000"/>
                <w:sz w:val="18"/>
              </w:rPr>
              <w:t>Harlan Spring Works, LLC</w:t>
            </w:r>
          </w:p>
        </w:tc>
        <w:tc>
          <w:tcPr>
            <w:tcW w:type="dxa" w:w="2880"/>
          </w:tcPr>
          <w:p>
            <w:pPr>
              <w:spacing w:line="276" w:lineRule="auto" w:before="20" w:after="20"/>
            </w:pPr>
            <w:r/>
            <w:r>
              <w:rPr>
                <w:rFonts w:ascii="Times New Roman" w:hAnsi="Times New Roman"/>
                <w:color w:val="000000"/>
                <w:sz w:val="18"/>
              </w:rPr>
              <w:t>Dayton, Ohio</w:t>
            </w:r>
          </w:p>
        </w:tc>
        <w:tc>
          <w:tcPr>
            <w:tcW w:type="dxa" w:w="2880"/>
          </w:tcPr>
          <w:p>
            <w:pPr>
              <w:spacing w:line="276" w:lineRule="auto" w:before="20" w:after="20"/>
            </w:pPr>
            <w:r/>
            <w:r>
              <w:rPr>
                <w:rFonts w:ascii="Times New Roman" w:hAnsi="Times New Roman"/>
                <w:color w:val="000000"/>
                <w:sz w:val="18"/>
              </w:rPr>
              <w:t>Actuator spring assemblies and mechanical return mechanisms</w:t>
            </w:r>
          </w:p>
        </w:tc>
      </w:tr>
      <w:tr>
        <w:tc>
          <w:tcPr>
            <w:tcW w:type="dxa" w:w="2880"/>
          </w:tcPr>
          <w:p>
            <w:pPr>
              <w:spacing w:line="276" w:lineRule="auto" w:before="20" w:after="20"/>
            </w:pPr>
            <w:r/>
            <w:r>
              <w:rPr>
                <w:rFonts w:ascii="Times New Roman" w:hAnsi="Times New Roman"/>
                <w:color w:val="000000"/>
                <w:sz w:val="18"/>
              </w:rPr>
              <w:t>Optima Coatings International, Ltd.</w:t>
            </w:r>
          </w:p>
        </w:tc>
        <w:tc>
          <w:tcPr>
            <w:tcW w:type="dxa" w:w="2880"/>
          </w:tcPr>
          <w:p>
            <w:pPr>
              <w:spacing w:line="276" w:lineRule="auto" w:before="20" w:after="20"/>
            </w:pPr>
            <w:r/>
            <w:r>
              <w:rPr>
                <w:rFonts w:ascii="Times New Roman" w:hAnsi="Times New Roman"/>
                <w:color w:val="000000"/>
                <w:sz w:val="18"/>
              </w:rPr>
              <w:t>Pittsburgh, Pennsylvania</w:t>
            </w:r>
          </w:p>
        </w:tc>
        <w:tc>
          <w:tcPr>
            <w:tcW w:type="dxa" w:w="2880"/>
          </w:tcPr>
          <w:p>
            <w:pPr>
              <w:spacing w:line="276" w:lineRule="auto" w:before="20" w:after="20"/>
            </w:pPr>
            <w:r/>
            <w:r>
              <w:rPr>
                <w:rFonts w:ascii="Times New Roman" w:hAnsi="Times New Roman"/>
                <w:color w:val="000000"/>
                <w:sz w:val="18"/>
              </w:rPr>
              <w:t>Surface treatments, protective coatings, and corrosion-resistant finishes</w:t>
            </w:r>
          </w:p>
        </w:tc>
      </w:tr>
    </w:tbl>
    <w:p/>
    <w:p>
      <w:pPr>
        <w:spacing w:line="276" w:lineRule="auto" w:before="0" w:after="120"/>
        <w:jc w:val="both"/>
      </w:pPr>
      <w:r>
        <w:rPr>
          <w:rFonts w:ascii="Times New Roman" w:hAnsi="Times New Roman"/>
          <w:color w:val="000000"/>
          <w:sz w:val="22"/>
        </w:rPr>
        <w:t>Apex shall maintain current quality agreements with each approved subcontractor and shall ensure that all subcontracted work complies with the quality requirements set forth in Article 6 of this Agreement. Any changes to the list of approved subcontractors, including the addition of new subcontractors or the removal of existing subcontractors, shall be subject to the requirements of Section 14.1.</w:t>
      </w:r>
    </w:p>
    <w:p>
      <w:pPr>
        <w:spacing w:line="276" w:lineRule="auto" w:before="0" w:after="120"/>
        <w:jc w:val="center"/>
      </w:pPr>
      <w:r>
        <w:rPr>
          <w:rFonts w:ascii="Times New Roman" w:hAnsi="Times New Roman"/>
          <w:i/>
          <w:color w:val="000000"/>
          <w:sz w:val="22"/>
        </w:rPr>
        <w:t>[End of Exhibits]</w:t>
      </w:r>
    </w:p>
    <w:p>
      <w:pPr>
        <w:spacing w:line="276" w:lineRule="auto" w:before="0" w:after="120"/>
        <w:jc w:val="center"/>
      </w:pPr>
      <w:r>
        <w:rPr>
          <w:rFonts w:ascii="Times New Roman" w:hAnsi="Times New Roman"/>
          <w:i/>
          <w:color w:val="000000"/>
          <w:sz w:val="22"/>
        </w:rPr>
        <w:t>[End of Master Supply Agreement — Contract No. MSA-2019-0042]</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Master Supply Agreement — Contract No. MSA-2019-0042</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MSA-2019-0042 — Northland Refining / Apex Industrial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