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NASA-STD-7009B Credibility Assessment Narrative</w:t>
      </w:r>
    </w:p>
    <w:p>
      <w:r>
        <w:rPr>
          <w:rFonts w:ascii="Arial" w:hAnsi="Arial"/>
          <w:b/>
        </w:rPr>
        <w:t>HPT Blade Conjugate Heat Transfer Analysis — Take-off Transient (COU1)</w:t>
      </w:r>
    </w:p>
    <w:p>
      <w:r>
        <w:rPr>
          <w:rFonts w:ascii="Arial" w:hAnsi="Arial"/>
        </w:rPr>
        <w:t>Dr. A. Patel, Propulsion Credibility Board</w:t>
      </w:r>
    </w:p>
    <w:p>
      <w:r>
        <w:rPr>
          <w:rFonts w:ascii="Arial" w:hAnsi="Arial"/>
        </w:rPr>
        <w:t>Assessment Date: March 20, 2026</w:t>
      </w:r>
    </w:p>
    <w:p>
      <w:r>
        <w:rPr>
          <w:rFonts w:ascii="Arial" w:hAnsi="Arial"/>
        </w:rPr>
        <w:t>Model Risk Level: MRL 3 (Medium-High)</w:t>
      </w:r>
    </w:p>
    <w:p>
      <w:r>
        <w:rPr>
          <w:rFonts w:ascii="Arial" w:hAnsi="Arial"/>
        </w:rPr>
        <w:t>Criteria Set: NASA-STD-7009B with SST k-omega CHT model</w:t>
      </w:r>
    </w:p>
    <w:p>
      <w:r>
        <w:rPr>
          <w:rFonts w:ascii="Arial" w:hAnsi="Arial"/>
        </w:rPr>
      </w:r>
    </w:p>
    <w:p>
      <w:pPr>
        <w:pStyle w:val="Heading1"/>
      </w:pPr>
      <w:r>
        <w:t>1. Verification Factors</w:t>
      </w:r>
    </w:p>
    <w:p>
      <w:pPr>
        <w:pStyle w:val="Heading2"/>
      </w:pPr>
      <w:r>
        <w:t>1.1 Software Quality Assurance (SQA)</w:t>
      </w:r>
    </w:p>
    <w:p>
      <w:r>
        <w:rPr>
          <w:rFonts w:ascii="Arial" w:hAnsi="Arial"/>
        </w:rPr>
        <w:t>ANSYS CFX 2025 R1 is a commercial solver with ISO 9001 certification and extensive V&amp;V documentation. The software includes regression testing suites and version-controlled release processes. Vendor release notes for R1 cycle reviewed by analyst of record. Assessment: Level 2.</w:t>
      </w:r>
    </w:p>
    <w:p>
      <w:pPr>
        <w:pStyle w:val="Heading2"/>
      </w:pPr>
      <w:r>
        <w:t>1.2 Numerical Code Verification (NCV)</w:t>
      </w:r>
    </w:p>
    <w:p>
      <w:r>
        <w:rPr>
          <w:rFonts w:ascii="Arial" w:hAnsi="Arial"/>
        </w:rPr>
        <w:t>Code verification was performed using the Method of Manufactured Solutions (MMS) for the conjugate heat transfer coupling. All 5 MMS benchmark cases passed with errors below 0.01 percent against analytical manufactured solutions. Test cases cover: 1D conduction, 2D convection-diffusion, coupled CHT with rotation, CHT with variable properties, and CHT with turbulence closure. Assessment: Level 3.</w:t>
      </w:r>
    </w:p>
    <w:p>
      <w:pPr>
        <w:pStyle w:val="Heading2"/>
      </w:pPr>
      <w:r>
        <w:t>1.3 Discretization Error</w:t>
      </w:r>
    </w:p>
    <w:p>
      <w:r>
        <w:rPr>
          <w:rFonts w:ascii="Arial" w:hAnsi="Arial"/>
        </w:rPr>
        <w:t>A grid convergence study was conducted at blade mid-span using three refinement levels (1.6M, 3.2M, 6.4M cells, refinement ratio r = 1.26). GCI at mid-span was 0.8 percent at peak temperature location. The refinement ratio falls below the Celik et al. 2008 / Roache recommended value of r &gt;= 1.3; monotonic convergence was demonstrated and the production mesh is judged to be in the asymptotic range. However, the blade tip region has NOT been assessed for mesh convergence. The tip region contains complex tip-gap flows and is where peak metal temperature actually occurs during take-off transient. This is a known gap flagged by the credibility board (see review minutes Action 3.1).</w:t>
      </w:r>
    </w:p>
    <w:p>
      <w:r>
        <w:rPr>
          <w:rFonts w:ascii="Arial" w:hAnsi="Arial"/>
          <w:b/>
        </w:rPr>
        <w:t>Assessment: Achieved Level 1 against Required Level 3. Gap carried as condition for MRL 4 readiness.</w:t>
      </w:r>
    </w:p>
    <w:p>
      <w:pPr>
        <w:pStyle w:val="Heading2"/>
      </w:pPr>
      <w:r>
        <w:t>1.4 Numerical Solver Error</w:t>
      </w:r>
    </w:p>
    <w:p>
      <w:r>
        <w:rPr>
          <w:rFonts w:ascii="Arial" w:hAnsi="Arial"/>
        </w:rPr>
        <w:t>Numerical solver error is bounded within the discretization error budget via residual history and double precision arithmetic. Residuals converged to 4.2e-7 to 8.8e-7 (RMS, all equations) against the 1e-6 target at 2341 iterations. Round-off error is bounded by double-precision representation (machine epsilon ~2.2e-16). No dedicated iterative error study (e.g., Cadafalch) was conducted. The credibility board accepted this as a partial assessment per NASA-STD-7009B Factor 5.1.2 guidance on bounded numerical error evidence. Assessment: Level 1.</w:t>
      </w:r>
    </w:p>
    <w:p>
      <w:pPr>
        <w:pStyle w:val="Heading2"/>
      </w:pPr>
      <w:r>
        <w:t>1.5 Use Error</w:t>
      </w:r>
    </w:p>
    <w:p>
      <w:r>
        <w:rPr>
          <w:rFonts w:ascii="Arial" w:hAnsi="Arial"/>
        </w:rPr>
        <w:t>Analysis performed by lead analyst with 12+ years of turbomachinery CFD experience following the organization's standard CHT workflow (Procedure TMC-CHT-007 Rev D). Boundary condition setup and mesh quality metrics reviewed by a second analyst prior to production run. All run logs and setup files under configuration control (Git, tag HPT-TOFF-v2.1). Assessment: Level 2.</w:t>
      </w:r>
    </w:p>
    <w:p>
      <w:pPr>
        <w:pStyle w:val="Heading1"/>
      </w:pPr>
      <w:r>
        <w:t>2. Validation Factors</w:t>
      </w:r>
    </w:p>
    <w:p>
      <w:pPr>
        <w:pStyle w:val="Heading2"/>
      </w:pPr>
      <w:r>
        <w:t>2.1 Model Form</w:t>
      </w:r>
    </w:p>
    <w:p>
      <w:r>
        <w:rPr>
          <w:rFonts w:ascii="Arial" w:hAnsi="Arial"/>
        </w:rPr>
        <w:t>RANS with SST k-omega turbulence model (Menter 1994, 2003 revision). Appropriate for attached flow over turbine airfoils with adverse pressure gradient. CHT coupling uses a partitioned approach with 1-equation coupling at fluid-solid interface. Known limitation: k-omega SST underpredicts heat transfer in tip-gap separated flow regions, which is relevant here because peak temperature occurs at the tip. Assessment: Level 3 for mid-span, acknowledged limitation at tip.</w:t>
      </w:r>
    </w:p>
    <w:p>
      <w:pPr>
        <w:pStyle w:val="Heading2"/>
      </w:pPr>
      <w:r>
        <w:t>2.2 Model Inputs</w:t>
      </w:r>
    </w:p>
    <w:p>
      <w:r>
        <w:rPr>
          <w:rFonts w:ascii="Arial" w:hAnsi="Arial"/>
        </w:rPr>
        <w:t>Inlet total temperature and pressure radial profiles taken from engine test Run #47 (T3 rake, 60-point traverse). Material properties from MMPDS-18 and vendor-certified Inconel 718 data sheets (lot MC-2024-0341). All inputs traceable to calibrated instruments (ISO 17025) or certified material testing. Assessment: Level 3.</w:t>
      </w:r>
    </w:p>
    <w:p>
      <w:pPr>
        <w:pStyle w:val="Heading2"/>
      </w:pPr>
      <w:r>
        <w:t>2.3 Test Samples</w:t>
      </w:r>
    </w:p>
    <w:p>
      <w:r>
        <w:rPr>
          <w:rFonts w:ascii="Arial" w:hAnsi="Arial"/>
        </w:rPr>
        <w:t>Cascade rig: 48-point K-type thermocouple rake at cascade exit plane covering full blade span (0 to 100 percent, 2.1 percent spacing). Thermocouple uncertainty 3.4 to 7.9 K (k=2, expanded uncertainty per ISO/IEC Guide 98-3) dominated by thermocouple wire tolerance at 1100+ K. Supplementary thermal paint data from engine ground test Run GT-2025-14. Assessment: Level 2.</w:t>
      </w:r>
    </w:p>
    <w:p>
      <w:pPr>
        <w:pStyle w:val="Heading2"/>
      </w:pPr>
      <w:r>
        <w:t>2.4 Test Conditions</w:t>
      </w:r>
    </w:p>
    <w:p>
      <w:r>
        <w:rPr>
          <w:rFonts w:ascii="Arial" w:hAnsi="Arial"/>
        </w:rPr>
        <w:t>Cascade rig operated at engine-representative Reynolds number (Re_cascade = 1.20e6 vs Re_engine = 1.26e6, 4.8 percent delta) and exit Mach number (M_cascade = 0.92 vs M_engine = 0.94, 2.1 percent delta). All instruments calibrated to ISO 17025 within 90 days of test run. Flow conditions maintained within +/-2 percent of target over the 48 TC data acquisition period. Assessment: Level 3.</w:t>
      </w:r>
    </w:p>
    <w:p>
      <w:pPr>
        <w:pStyle w:val="Heading1"/>
      </w:pPr>
      <w:r>
        <w:t>3. Assessment Factors</w:t>
      </w:r>
    </w:p>
    <w:p>
      <w:pPr>
        <w:pStyle w:val="Heading2"/>
      </w:pPr>
      <w:r>
        <w:t>3.1 Equivalency of Input Parameters</w:t>
      </w:r>
    </w:p>
    <w:p>
      <w:r>
        <w:rPr>
          <w:rFonts w:ascii="Arial" w:hAnsi="Arial"/>
        </w:rPr>
        <w:t>Cascade rig geometry matches engine blade profile within 0.5 mm on the pressure surface and 0.3 mm on the suction surface (verified by CMM scan, report CMM-2025-0892). Reynolds and Mach match within 5 percent as documented above. Inlet turbulence intensity match: cascade Tu = 5.1 percent, engine estimated Tu = 5.0 +/- 1.0 percent. Assessment: Level 2.</w:t>
      </w:r>
    </w:p>
    <w:p>
      <w:pPr>
        <w:pStyle w:val="Heading2"/>
      </w:pPr>
      <w:r>
        <w:t>3.2 Output Comparison</w:t>
      </w:r>
    </w:p>
    <w:p>
      <w:r>
        <w:rPr>
          <w:rFonts w:ascii="Arial" w:hAnsi="Arial"/>
        </w:rPr>
        <w:t>48-point cascade TC measurements compared to CFD prediction: mean absolute error 1.8 percent (21 K at 1150 K level), maximum 4.2 percent (48 K) at endwall station 18 (span 36.2 percent). Thermal paint hot-spot location matches CFD prediction within 2 mm. Validation metric (per Oberkampf 2010): mean error &lt; 2 percent meets the acceptance criterion for preliminary screening. Assessment: Level 3.</w:t>
      </w:r>
    </w:p>
    <w:p>
      <w:pPr>
        <w:pStyle w:val="Heading1"/>
      </w:pPr>
      <w:r>
        <w:t>4. Applicability Factors</w:t>
      </w:r>
    </w:p>
    <w:p>
      <w:pPr>
        <w:pStyle w:val="Heading2"/>
      </w:pPr>
      <w:r>
        <w:t>4.1 Relevance of QOI</w:t>
      </w:r>
    </w:p>
    <w:p>
      <w:r>
        <w:rPr>
          <w:rFonts w:ascii="Arial" w:hAnsi="Arial"/>
        </w:rPr>
        <w:t>Peak metal surface temperature is the primary QoI and the design-limiting parameter for blade creep life. The 1150K limit corresponds to the Inconel 718 creep-rupture allowable for the required mission lifetime at blade-stress envelope per MMPDS-18 Section 6.3.1.1. Assessment: Level 2.</w:t>
      </w:r>
    </w:p>
    <w:p>
      <w:pPr>
        <w:pStyle w:val="Heading2"/>
      </w:pPr>
      <w:r>
        <w:t>4.2 Relevance of Validation to COU</w:t>
      </w:r>
    </w:p>
    <w:p>
      <w:r>
        <w:rPr>
          <w:rFonts w:ascii="Arial" w:hAnsi="Arial"/>
        </w:rPr>
        <w:t>Cascade rig is representative of take-off conditions at mid-span to 75 percent span. Cascade does NOT reproduce: (a) annular duct secondary flows (linear cascade is 2D), (b) film cooling (see §4.3), (c) tip-gap leakage flow (flat endwall), (d) rotor-stator interaction unsteadiness. Acceptable for preliminary take-off screening given the documented exclusions; NOT acceptable extrapolation for cruise, off-design, or tip-focused predictions. Assessment: Level 2.</w:t>
      </w:r>
    </w:p>
    <w:p>
      <w:pPr>
        <w:pStyle w:val="Heading2"/>
      </w:pPr>
      <w:r>
        <w:t>4.3 Film Cooling Validation Status</w:t>
      </w:r>
    </w:p>
    <w:p>
      <w:r>
        <w:rPr>
          <w:rFonts w:ascii="Arial" w:hAnsi="Arial"/>
        </w:rPr>
        <w:t>The engine HPT blade has 47 film cooling holes across three row groups: showerhead (12 holes at leading edge), pressure-side rows (18 holes in 3 rows), and suction-side rows (17 holes in 2 rows). Film cooling effectiveness is the dominant physical mechanism governing local metal temperature in the leading-edge and pressure-side hot-spot regions.</w:t>
      </w:r>
    </w:p>
    <w:p>
      <w:r>
        <w:rPr>
          <w:rFonts w:ascii="Arial" w:hAnsi="Arial"/>
        </w:rPr>
        <w:t>The cascade rig used for validation is NOT film cooled. Cascade blades are solid Inconel 718 with no internal cooling passages and no surface film holes. The cascade therefore provides zero validation evidence for the film cooling model employed in the CFD (discrete-hole resolved meshing with plenum coupling).</w:t>
      </w:r>
    </w:p>
    <w:p>
      <w:r>
        <w:rPr>
          <w:rFonts w:ascii="Arial" w:hAnsi="Arial"/>
        </w:rPr>
        <w:t>The CFD film cooling model is calibrated against rig-scale flat-plate film effectiveness measurements from external literature (Schroeder &amp; Thole 2016 open-literature benchmark). This is a relevant but not engine-geometry-specific dataset. Curvature, pressure-gradient, and rotational effects on film effectiveness are NOT validated for this specific blade geometry.</w:t>
      </w:r>
    </w:p>
    <w:p>
      <w:r>
        <w:rPr>
          <w:rFonts w:ascii="Arial" w:hAnsi="Arial"/>
          <w:b/>
        </w:rPr>
        <w:t>Assessment: Achieved Level 1 against Required Level 3 for the film cooling sub-model. The credibility board flagged this as a material applicability gap for the peak-temperature QoI (review minutes Action 5.1, 5.2). Gap carried as condition for MRL 4.</w:t>
      </w:r>
    </w:p>
    <w:p>
      <w:pPr>
        <w:pStyle w:val="Heading1"/>
      </w:pPr>
      <w:r>
        <w:t>5. NASA-STD-7009B Additional Factors</w:t>
      </w:r>
    </w:p>
    <w:p>
      <w:pPr>
        <w:pStyle w:val="Heading2"/>
      </w:pPr>
      <w:r>
        <w:t>5.1 Data Pedigree</w:t>
      </w:r>
    </w:p>
    <w:p>
      <w:r>
        <w:rPr>
          <w:rFonts w:ascii="Arial" w:hAnsi="Arial"/>
        </w:rPr>
        <w:t>All input data from ISO 17025 calibrated instruments with traceable pedigree. Calibration certificates on file under document control (DC-Propulsion-CFD-Cal-2026). Material data sheets include lot numbers traceable to vendor heat treatment and chemistry certifications. Assessment: Level 3.</w:t>
      </w:r>
    </w:p>
    <w:p>
      <w:pPr>
        <w:pStyle w:val="Heading2"/>
      </w:pPr>
      <w:r>
        <w:t>5.2 Development Technical Review</w:t>
      </w:r>
    </w:p>
    <w:p>
      <w:r>
        <w:rPr>
          <w:rFonts w:ascii="Arial" w:hAnsi="Arial"/>
        </w:rPr>
        <w:t>Independent review conducted quarterly by the Propulsion Credibility Board (chaired by Dr. A. Patel) with a standing independent reviewer (S. Thompson, not reporting to CFD group). All prior action items from Q4 2025 review closed prior to current review. Assessment: Level 3.</w:t>
      </w:r>
    </w:p>
    <w:p>
      <w:pPr>
        <w:pStyle w:val="Heading2"/>
      </w:pPr>
      <w:r>
        <w:t>5.3 Development Process and Product Management</w:t>
      </w:r>
    </w:p>
    <w:p>
      <w:r>
        <w:rPr>
          <w:rFonts w:ascii="Arial" w:hAnsi="Arial"/>
        </w:rPr>
        <w:t>Configuration management via Git (repository TMC-CHT, tag HPT-TOFF-v2.1). ANSYS Workbench project archives stored under document control. Change control records document all modifications from prior release (v2.0 to v2.1: inlet BC profile update, mesh densification in endwall region). Assessment: Level 2.</w:t>
      </w:r>
    </w:p>
    <w:p>
      <w:pPr>
        <w:pStyle w:val="Heading2"/>
      </w:pPr>
      <w:r>
        <w:t>5.4 Results Uncertainty</w:t>
      </w:r>
    </w:p>
    <w:p>
      <w:r>
        <w:rPr>
          <w:rFonts w:ascii="Arial" w:hAnsi="Arial"/>
        </w:rPr>
        <w:t>Results uncertainty quantification has NOT been performed for the engine COU peak temperature prediction. Monte Carlo uncertainty propagation with Latin Hypercube Sampling (500 samples, 15 uncertain parameters) was completed for the cascade comparison as part of validation analysis. The cascade UQ demonstrates that the analysis methodology and tooling are capable, but the engine-COU probabilistic analysis has not been executed. Per NASA-STD-7009B Factor 5.4, probabilistic UQ is required at MRL 3.</w:t>
      </w:r>
    </w:p>
    <w:p>
      <w:r>
        <w:rPr>
          <w:rFonts w:ascii="Arial" w:hAnsi="Arial"/>
          <w:b/>
        </w:rPr>
        <w:t>Status: Not Assessed. Condition carried for MRL 4 readiness per review Action 4.1.</w:t>
      </w:r>
    </w:p>
    <w:p>
      <w:pPr>
        <w:pStyle w:val="Heading2"/>
      </w:pPr>
      <w:r>
        <w:t>5.5 Results Robustness</w:t>
      </w:r>
    </w:p>
    <w:p>
      <w:r>
        <w:rPr>
          <w:rFonts w:ascii="Arial" w:hAnsi="Arial"/>
        </w:rPr>
        <w:t>Sensitivity study executed on 4 input parameter classes: turbulence intensity (+/-40 percent), inlet temperature profile (+/-30K uniform shift, +/-10 percent OTDF), cooling flow ratio (+/-10 percent). Peak metal temperature response documented in sensitivity_study_turbulence_intensity.csv. Most-sensitive parameter: inlet temperature profile shift (dT_peak/dT_in ~ 1.0, 1:1 transmission). Assessment: Level 2.</w:t>
      </w:r>
    </w:p>
    <w:p>
      <w:pPr>
        <w:pStyle w:val="Heading2"/>
      </w:pPr>
      <w:r>
        <w:t>5.6 Use History</w:t>
      </w:r>
    </w:p>
    <w:p>
      <w:r>
        <w:rPr>
          <w:rFonts w:ascii="Arial" w:hAnsi="Arial"/>
        </w:rPr>
        <w:t>Previous CHT model version (v1.3) used for 3 engine variants over a 6-year period with accumulated 47 documented runs. Current version 2.1 retains the same solver framework, turbulence model, and CHT coupling approach; changes limited to mesh refinement and inlet BC profile. No known adverse prior outcomes from the v1.3 use history. Assessment: Level 2.</w:t>
      </w:r>
    </w:p>
    <w:p>
      <w:pPr>
        <w:pStyle w:val="Heading1"/>
      </w:pPr>
      <w:r>
        <w:t>6. Assessment Summary</w:t>
      </w:r>
    </w:p>
    <w:p>
      <w:r>
        <w:rPr>
          <w:rFonts w:ascii="Arial" w:hAnsi="Arial"/>
        </w:rPr>
        <w:t>Summary of achieved vs required levels:</w:t>
      </w:r>
    </w:p>
    <w:p>
      <w:r>
        <w:rPr>
          <w:rFonts w:ascii="Arial" w:hAnsi="Arial"/>
        </w:rPr>
        <w:t>• Verification factors: 4 of 5 meet required level; Discretization Error achieves L1 of required L3 (tip region gap).</w:t>
      </w:r>
    </w:p>
    <w:p>
      <w:r>
        <w:rPr>
          <w:rFonts w:ascii="Arial" w:hAnsi="Arial"/>
        </w:rPr>
        <w:t>• Validation factors: 4 of 4 meet required level for mid-span; tip performance caveated.</w:t>
      </w:r>
    </w:p>
    <w:p>
      <w:r>
        <w:rPr>
          <w:rFonts w:ascii="Arial" w:hAnsi="Arial"/>
        </w:rPr>
        <w:t>• Assessment factors: 2 of 2 meet required level.</w:t>
      </w:r>
    </w:p>
    <w:p>
      <w:r>
        <w:rPr>
          <w:rFonts w:ascii="Arial" w:hAnsi="Arial"/>
        </w:rPr>
        <w:t>• Applicability factors: 2 of 3 meet required level; Film Cooling Validation achieves L1 of required L3.</w:t>
      </w:r>
    </w:p>
    <w:p>
      <w:r>
        <w:rPr>
          <w:rFonts w:ascii="Arial" w:hAnsi="Arial"/>
        </w:rPr>
        <w:t>• NASA Additional factors: 5 of 6 meet required level; Results Uncertainty not assessed.</w:t>
      </w:r>
    </w:p>
    <w:p>
      <w:r>
        <w:rPr>
          <w:rFonts w:ascii="Arial" w:hAnsi="Arial"/>
        </w:rPr>
      </w:r>
    </w:p>
    <w:p>
      <w:r>
        <w:rPr>
          <w:rFonts w:ascii="Arial" w:hAnsi="Arial"/>
          <w:b/>
        </w:rPr>
        <w:t>Credibility gaps (3 level-gaps + 1 not-assessed):</w:t>
      </w:r>
    </w:p>
    <w:p>
      <w:r>
        <w:rPr>
          <w:rFonts w:ascii="Arial" w:hAnsi="Arial"/>
        </w:rPr>
        <w:t>1. Factor 1.3 Discretization Error: L1 achieved vs L3 required (tip).</w:t>
      </w:r>
    </w:p>
    <w:p>
      <w:r>
        <w:rPr>
          <w:rFonts w:ascii="Arial" w:hAnsi="Arial"/>
        </w:rPr>
        <w:t>2. Factor 4.3 Film Cooling Validation: L1 achieved vs L3 required.</w:t>
      </w:r>
    </w:p>
    <w:p>
      <w:r>
        <w:rPr>
          <w:rFonts w:ascii="Arial" w:hAnsi="Arial"/>
        </w:rPr>
        <w:t>3. Factor 5.4 Results Uncertainty: Not Assessed (required at MRL 3).</w:t>
      </w:r>
    </w:p>
    <w:p>
      <w:r>
        <w:rPr>
          <w:rFonts w:ascii="Arial" w:hAnsi="Arial"/>
        </w:rPr>
        <w:t>4. Factor 4.2 Relevance of Validation: L2 achieved vs L3 required (cascade limitations noted).</w:t>
      </w:r>
    </w:p>
    <w:p>
      <w:r>
        <w:rPr>
          <w:rFonts w:ascii="Arial" w:hAnsi="Arial"/>
        </w:rPr>
      </w:r>
    </w:p>
    <w:p>
      <w:r>
        <w:rPr>
          <w:rFonts w:ascii="Arial" w:hAnsi="Arial"/>
          <w:b/>
        </w:rPr>
        <w:t>Decision: Accepted for preliminary screening at MRL 3 with conditions. Model use constrained to concept-stage down-selection; marginal designs (within +/-50K of limit) must proceed to engine ground test. All conditions to be closed before MRL 4 readiness review.</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