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Context of Use Definition</w:t>
      </w:r>
    </w:p>
    <w:p>
      <w:r>
        <w:rPr>
          <w:rFonts w:ascii="Arial" w:hAnsi="Arial"/>
          <w:b/>
        </w:rPr>
        <w:t>HPT Blade CHT — Cruise Steady-State (COU2)</w:t>
      </w:r>
    </w:p>
    <w:p>
      <w:r>
        <w:rPr>
          <w:rFonts w:ascii="Arial" w:hAnsi="Arial"/>
        </w:rPr>
        <w:t>Program: Advanced Turbine Engine Program</w:t>
      </w:r>
    </w:p>
    <w:p>
      <w:r>
        <w:rPr>
          <w:rFonts w:ascii="Arial" w:hAnsi="Arial"/>
        </w:rPr>
        <w:t>Date: April 2026</w:t>
      </w:r>
    </w:p>
    <w:p>
      <w:r>
        <w:rPr>
          <w:rFonts w:ascii="Arial" w:hAnsi="Arial"/>
        </w:rPr>
        <w:t>Related COU: See aero-evidence-cou1 (Take-off Transient) for the model's primary validated operating point.</w:t>
      </w:r>
    </w:p>
    <w:p>
      <w:pPr>
        <w:pStyle w:val="Heading1"/>
      </w:pPr>
      <w:r>
        <w:t>Scope</w:t>
      </w:r>
    </w:p>
    <w:p>
      <w:r>
        <w:rPr>
          <w:rFonts w:ascii="Arial" w:hAnsi="Arial"/>
        </w:rPr>
        <w:t>A conjugate heat transfer (CHT) computational model predicts quasi-steady metal temperature distribution on a high-pressure turbine (HPT) blade at cruise conditions. This COU extends the existing take-off transient model (COU1, MRL 3) to long-duration cruise operation for blade creep-life margin assessment over the mission profile.</w:t>
      </w:r>
    </w:p>
    <w:p>
      <w:r>
        <w:rPr>
          <w:rFonts w:ascii="Arial" w:hAnsi="Arial"/>
        </w:rPr>
        <w:t>The SAME CFD model (same solver configuration, same mesh, same turbulence model) is being re-purposed for a different operating point. No changes to model form or numerics relative to COU1.</w:t>
      </w:r>
    </w:p>
    <w:p>
      <w:pPr>
        <w:pStyle w:val="Heading1"/>
      </w:pPr>
      <w:r>
        <w:t>Question of Interest</w:t>
      </w:r>
    </w:p>
    <w:p>
      <w:r>
        <w:rPr>
          <w:rFonts w:ascii="Arial" w:hAnsi="Arial"/>
        </w:rPr>
        <w:t>What is the peak metal temperature at cruise steady-state, and does the creep-damage accumulation rate integrated over the mission cruise segment remain within the life-limiting allowable for the 25,000-hour design target?</w:t>
      </w:r>
    </w:p>
    <w:p>
      <w:r>
        <w:rPr>
          <w:rFonts w:ascii="Arial" w:hAnsi="Arial"/>
        </w:rPr>
        <w:t>Acceptance criterion: peak metal temperature at cruise &lt;= 1080K with 95 percent confidence; integrated creep damage over 25,000 cruise hours &lt;= 0.7 (Miner fraction on creep).</w:t>
      </w:r>
    </w:p>
    <w:p>
      <w:pPr>
        <w:pStyle w:val="Heading1"/>
      </w:pPr>
      <w:r>
        <w:t>Model Risk Level</w:t>
      </w:r>
    </w:p>
    <w:p>
      <w:r>
        <w:rPr>
          <w:rFonts w:ascii="Arial" w:hAnsi="Arial"/>
        </w:rPr>
        <w:t>Model influence: HIGH (primary quantitative input to blade life certification margin calculation). Decision consequence: HIGH (blade service life determination; retirement-for-cause interval). Per NASA-STD-7009B risk matrix: HIGH x HIGH = MRL 4.</w:t>
      </w:r>
    </w:p>
    <w:p>
      <w:r>
        <w:rPr>
          <w:rFonts w:ascii="Arial" w:hAnsi="Arial"/>
          <w:b/>
        </w:rPr>
        <w:t>Note: this is a higher MRL than COU1 (MRL 3) because cruise predictions drive certification-facing life analysis rather than preliminary screening.</w:t>
      </w:r>
    </w:p>
    <w:p>
      <w:pPr>
        <w:pStyle w:val="Heading1"/>
      </w:pPr>
      <w:r>
        <w:t>Operating Envelope</w:t>
      </w:r>
    </w:p>
    <w:p>
      <w:r>
        <w:rPr>
          <w:rFonts w:ascii="Arial" w:hAnsi="Arial"/>
        </w:rPr>
        <w:t>Cruise steady-state at FL350, M 0.82:</w:t>
      </w:r>
    </w:p>
    <w:p>
      <w:r>
        <w:rPr>
          <w:rFonts w:ascii="Arial" w:hAnsi="Arial"/>
        </w:rPr>
        <w:t>• Inlet Total Temperature: 1440 to 1460 K (nominal 1450 K)</w:t>
      </w:r>
    </w:p>
    <w:p>
      <w:r>
        <w:rPr>
          <w:rFonts w:ascii="Arial" w:hAnsi="Arial"/>
        </w:rPr>
        <w:t>• Inlet Total Pressure: 17.5 to 18.5 bar (nominal 18.0 bar)</w:t>
      </w:r>
    </w:p>
    <w:p>
      <w:r>
        <w:rPr>
          <w:rFonts w:ascii="Arial" w:hAnsi="Arial"/>
        </w:rPr>
        <w:t>• Rotational Speed: 10,200 to 10,800 RPM (nominal 10,500 RPM)</w:t>
      </w:r>
    </w:p>
    <w:p>
      <w:r>
        <w:rPr>
          <w:rFonts w:ascii="Arial" w:hAnsi="Arial"/>
        </w:rPr>
        <w:t>• Cooling Flow Ratio: 3.3 to 3.7 percent mainstream (nominal 3.5 percent)</w:t>
      </w:r>
    </w:p>
    <w:p>
      <w:r>
        <w:rPr>
          <w:rFonts w:ascii="Arial" w:hAnsi="Arial"/>
        </w:rPr>
        <w:t>• Duration per cycle: continuous during cruise segment (~90 percent of total flight time for long-haul missions)</w:t>
      </w:r>
    </w:p>
    <w:p>
      <w:pPr>
        <w:pStyle w:val="Heading1"/>
      </w:pPr>
      <w:r>
        <w:t>Exclusions</w:t>
      </w:r>
    </w:p>
    <w:p>
      <w:r>
        <w:rPr>
          <w:rFonts w:ascii="Arial" w:hAnsi="Arial"/>
        </w:rPr>
        <w:t>Does not cover: take-off (see COU1), climb, top-of-descent throttle transients, approach, hold patterns at unusual altitudes, off-design conditions, deteriorated engines, FOD events.</w:t>
      </w:r>
    </w:p>
    <w:p>
      <w:pPr>
        <w:pStyle w:val="Heading1"/>
      </w:pPr>
      <w:r>
        <w:t>Validation Strategy</w:t>
      </w:r>
    </w:p>
    <w:p>
      <w:r>
        <w:rPr>
          <w:rFonts w:ascii="Arial" w:hAnsi="Arial"/>
        </w:rPr>
        <w:t>At the time of this assessment, no cruise-specific experimental validation data exists for this blade geometry. The validation evidence package is re-used from COU1 (cascade rig at take-off Reynolds and Mach numbers). This re-use is the central credibility concern addressed in the credibility assessment narrative §2-§4.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