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system-requirements"/>
    <w:p>
      <w:pPr>
        <w:pStyle w:val="Heading2"/>
      </w:pPr>
      <w:r>
        <w:t xml:space="preserve">system-requirements</w:t>
      </w:r>
    </w:p>
    <w:bookmarkEnd w:id="9"/>
    <w:bookmarkStart w:id="12" w:name="sys-001-telemetry-data-rate"/>
    <w:p>
      <w:pPr>
        <w:pStyle w:val="Heading1"/>
      </w:pPr>
      <w:r>
        <w:t xml:space="preserve">SYS-001: Telemetry Data Rate</w:t>
      </w:r>
    </w:p>
    <w:bookmarkStart w:id="11" w:name="rationale"/>
    <w:p>
      <w:pPr>
        <w:pStyle w:val="Heading2"/>
      </w:pPr>
      <w:r>
        <w:t xml:space="preserve">Rationale</w:t>
      </w:r>
    </w:p>
    <w:p>
      <w:pPr>
        <w:pStyle w:val="FirstParagraph"/>
      </w:pPr>
      <w:r>
        <w:t xml:space="preserve">This requirement is derived from BVLOS operational safety standards (EASA SC-RPAS).</w:t>
      </w:r>
    </w:p>
    <w:p>
      <w:pPr>
        <w:pStyle w:val="BodyText"/>
      </w:pPr>
      <w:r>
        <w:t xml:space="preserve">Real-time telemetry is essential for situational awareness during Beyond Visual Line of Sight (BVLOS) operations. A 10 Hz minimum rate ensures the ground operator can detect anomalies within 100ms.</w:t>
      </w:r>
    </w:p>
    <w:p>
      <w:pPr>
        <w:pStyle w:val="BodyText"/>
      </w:pPr>
      <w:r>
        <w:t xml:space="preserve">Consider increasing to 20 Hz for high-dynamics phases (takeoff/landing).</w:t>
      </w:r>
    </w:p>
    <w:bookmarkStart w:id="10" w:name="sys-001"/>
    <w:p>
      <w:pPr>
        <w:pStyle w:val="Heading3"/>
      </w:pPr>
      <w:r>
        <w:t xml:space="preserve">SYS-001</w:t>
      </w:r>
    </w:p>
    <w:p>
      <w:pPr>
        <w:pStyle w:val="FirstParagraph"/>
      </w:pPr>
      <w:r>
        <w:t xml:space="preserve">The UAV system shall transmit telemetry data to the ground station at a minimum rate of 10 Hz under normal flight conditions.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category</w:t>
            </w:r>
          </w:p>
        </w:tc>
        <w:tc>
          <w:tcPr/>
          <w:p>
            <w:pPr>
              <w:pStyle w:val="Compact"/>
            </w:pPr>
            <w:r>
              <w:t xml:space="preserve">performance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critical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active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Telemetry Data Rate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</w:tr>
    </w:tbl>
    <w:bookmarkEnd w:id="10"/>
    <w:bookmarkEnd w:id="11"/>
    <w:bookmarkEnd w:id="12"/>
    <w:bookmarkStart w:id="14" w:name="sys-002-failsafe-behavior"/>
    <w:p>
      <w:pPr>
        <w:pStyle w:val="Heading1"/>
      </w:pPr>
      <w:r>
        <w:t xml:space="preserve">SYS-002: Failsafe Behavior</w:t>
      </w:r>
    </w:p>
    <w:bookmarkStart w:id="13" w:name="sys-002"/>
    <w:p>
      <w:pPr>
        <w:pStyle w:val="Heading3"/>
      </w:pPr>
      <w:r>
        <w:t xml:space="preserve">SYS-002</w:t>
      </w:r>
    </w:p>
    <w:p>
      <w:pPr>
        <w:pStyle w:val="FirstParagraph"/>
      </w:pPr>
      <w:r>
        <w:t xml:space="preserve">The UAV system shall activate failsafe mode and execute a return-to-home sequence within 2 seconds of losing the ground station link (updated).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category</w:t>
            </w:r>
          </w:p>
        </w:tc>
        <w:tc>
          <w:tcPr/>
          <w:p>
            <w:pPr>
              <w:pStyle w:val="Compact"/>
            </w:pPr>
            <w:r>
              <w:t xml:space="preserve">safety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critical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active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Failsafe Behavior on Link Loss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verified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</w:tr>
    </w:tbl>
    <w:bookmarkEnd w:id="13"/>
    <w:bookmarkEnd w:id="14"/>
    <w:bookmarkStart w:id="19" w:name="sys-003-ground-station-interface"/>
    <w:p>
      <w:pPr>
        <w:pStyle w:val="Heading1"/>
      </w:pPr>
      <w:r>
        <w:t xml:space="preserve">SYS-003: Ground Station Interface</w:t>
      </w:r>
    </w:p>
    <w:bookmarkStart w:id="15" w:name="sys-003"/>
    <w:p>
      <w:pPr>
        <w:pStyle w:val="Heading3"/>
      </w:pPr>
      <w:r>
        <w:t xml:space="preserve">SYS-003</w:t>
      </w:r>
    </w:p>
    <w:p>
      <w:pPr>
        <w:pStyle w:val="FirstParagraph"/>
      </w:pPr>
      <w:r>
        <w:t xml:space="preserve">The UAV system shall support simultaneous command and control communication with the ground station over encrypted radio links.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category</w:t>
            </w:r>
          </w:p>
        </w:tc>
        <w:tc>
          <w:tcPr/>
          <w:p>
            <w:pPr>
              <w:pStyle w:val="Compact"/>
            </w:pPr>
            <w:r>
              <w:t xml:space="preserve">interface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Ground Station Command Link</w:t>
            </w:r>
          </w:p>
        </w:tc>
      </w:tr>
    </w:tbl>
    <w:bookmarkEnd w:id="15"/>
    <w:bookmarkStart w:id="17" w:name="system-diagrams"/>
    <w:p>
      <w:pPr>
        <w:pStyle w:val="Heading2"/>
      </w:pPr>
      <w:r>
        <w:t xml:space="preserve">system-diagrams</w:t>
      </w:r>
    </w:p>
    <w:bookmarkStart w:id="16" w:name="sys-004"/>
    <w:p>
      <w:pPr>
        <w:pStyle w:val="Heading3"/>
      </w:pPr>
      <w:r>
        <w:t xml:space="preserve">SYS-004</w:t>
      </w:r>
    </w:p>
    <w:p>
      <w:pPr>
        <w:pStyle w:val="FirstParagraph"/>
      </w:pPr>
      <w:r>
        <w:t xml:space="preserve">A diagram showing the high-level architecture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System architecture diagram</w:t>
            </w:r>
          </w:p>
        </w:tc>
      </w:tr>
    </w:tbl>
    <w:bookmarkEnd w:id="16"/>
    <w:bookmarkEnd w:id="17"/>
    <w:bookmarkStart w:id="18" w:name="software-requirements"/>
    <w:p>
      <w:pPr>
        <w:pStyle w:val="Heading2"/>
      </w:pPr>
      <w:r>
        <w:t xml:space="preserve">software-requirements</w:t>
      </w:r>
    </w:p>
    <w:bookmarkEnd w:id="18"/>
    <w:bookmarkEnd w:id="19"/>
    <w:bookmarkStart w:id="24" w:name="req-001-telemetry-pipeline"/>
    <w:p>
      <w:pPr>
        <w:pStyle w:val="Heading1"/>
      </w:pPr>
      <w:r>
        <w:t xml:space="preserve">REQ-001: Telemetry Pipeline</w:t>
      </w:r>
    </w:p>
    <w:bookmarkStart w:id="20" w:name="background"/>
    <w:p>
      <w:pPr>
        <w:pStyle w:val="Heading2"/>
      </w:pPr>
      <w:r>
        <w:t xml:space="preserve">Background</w:t>
      </w:r>
    </w:p>
    <w:p>
      <w:pPr>
        <w:pStyle w:val="FirstParagraph"/>
      </w:pPr>
      <w:r>
        <w:t xml:space="preserve">The telemetry subsystem is critical for real-time monitoring of the UAV during flight. Data must be serialized and transmitted without introducing jitter into the control loops. See [</w:t>
      </w:r>
      <w:hyperlink w:anchor="sys-001">
        <w:r>
          <w:rPr>
            <w:rStyle w:val="Hyperlink"/>
          </w:rPr>
          <w:t xml:space="preserve">SYS-001</w:t>
        </w:r>
      </w:hyperlink>
      <w:r>
        <w:t xml:space="preserve">] for the system-level data rate requirement.</w:t>
      </w:r>
    </w:p>
    <w:bookmarkEnd w:id="20"/>
    <w:bookmarkStart w:id="22" w:name="requirement"/>
    <w:p>
      <w:pPr>
        <w:pStyle w:val="Heading2"/>
      </w:pPr>
      <w:r>
        <w:t xml:space="preserve">Requirement</w:t>
      </w:r>
    </w:p>
    <w:bookmarkStart w:id="21" w:name="req-001"/>
    <w:p>
      <w:pPr>
        <w:pStyle w:val="Heading3"/>
      </w:pPr>
      <w:r>
        <w:t xml:space="preserve">REQ-001</w:t>
      </w:r>
    </w:p>
    <w:p>
      <w:pPr>
        <w:pStyle w:val="FirstParagraph"/>
      </w:pPr>
      <w:r>
        <w:t xml:space="preserve">The flight computer software shall implement a non-blocking telemetry pipeline that serializes and transmits sensor data at configurable rates without affecting the flight control loops.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derived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SYS-001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critical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related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active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tag</w:t>
            </w:r>
          </w:p>
        </w:tc>
        <w:tc>
          <w:tcPr/>
          <w:p>
            <w:pPr>
              <w:pStyle w:val="Compact"/>
            </w:pPr>
            <w:r>
              <w:t xml:space="preserve">performance, telemetry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Async Telemetry Serialization Pipeline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verify</w:t>
            </w:r>
          </w:p>
        </w:tc>
        <w:tc>
          <w:tcPr/>
          <w:p>
            <w:pPr>
              <w:pStyle w:val="Compact"/>
            </w:pPr>
            <w:r>
              <w:t xml:space="preserve">Integration test: test_telemetry_rate_10hz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</w:tr>
    </w:tbl>
    <w:bookmarkEnd w:id="21"/>
    <w:bookmarkEnd w:id="22"/>
    <w:bookmarkStart w:id="23" w:name="design-notes"/>
    <w:p>
      <w:pPr>
        <w:pStyle w:val="Heading2"/>
      </w:pPr>
      <w:r>
        <w:t xml:space="preserve">Design Notes</w:t>
      </w:r>
    </w:p>
    <w:p>
      <w:pPr>
        <w:pStyle w:val="FirstParagraph"/>
      </w:pPr>
      <w:r>
        <w:t xml:space="preserve">The implementation uses a lock-free ring buffer to decouple sensor sampling from the serialization thread. This ensures that even under high CPU load, telemetry frames are queued without blocking the flight controller’s main loop.</w:t>
      </w:r>
    </w:p>
    <w:bookmarkEnd w:id="23"/>
    <w:bookmarkEnd w:id="24"/>
    <w:bookmarkStart w:id="26" w:name="req-002-failsafe-handler"/>
    <w:p>
      <w:pPr>
        <w:pStyle w:val="Heading1"/>
      </w:pPr>
      <w:r>
        <w:t xml:space="preserve">REQ-002: Failsafe Handler</w:t>
      </w:r>
    </w:p>
    <w:bookmarkStart w:id="25" w:name="req-002"/>
    <w:p>
      <w:pPr>
        <w:pStyle w:val="Heading3"/>
      </w:pPr>
      <w:r>
        <w:t xml:space="preserve">REQ-002</w:t>
      </w:r>
    </w:p>
    <w:p>
      <w:pPr>
        <w:pStyle w:val="FirstParagraph"/>
      </w:pPr>
      <w:r>
        <w:t xml:space="preserve">The flight computer software shall monitor the command link watchdog timer and trigger the failsafe state machine upon timeout, initiating return-to-home guidance mode.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derived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SYS-002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critical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related</w:t>
            </w:r>
          </w:p>
        </w:tc>
        <w:tc>
          <w:tcPr/>
          <w:p>
            <w:pPr>
              <w:pStyle w:val="Compact"/>
            </w:pPr>
            <w:r>
              <w:t xml:space="preserve">REQ-001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active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tag</w:t>
            </w:r>
          </w:p>
        </w:tc>
        <w:tc>
          <w:tcPr/>
          <w:p>
            <w:pPr>
              <w:pStyle w:val="Compact"/>
            </w:pPr>
            <w:r>
              <w:t xml:space="preserve">safety, failsafe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Link Loss Failsafe Handler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verify</w:t>
            </w:r>
          </w:p>
        </w:tc>
        <w:tc>
          <w:tcPr/>
          <w:p>
            <w:pPr>
              <w:pStyle w:val="Compact"/>
            </w:pPr>
            <w:r>
              <w:t xml:space="preserve">Hardware-in-the-loop test: test_failsafe_rth_trigger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</w:tbl>
    <w:bookmarkEnd w:id="25"/>
    <w:bookmarkEnd w:id="26"/>
    <w:bookmarkStart w:id="30" w:name="req-003-gcs-link-manager"/>
    <w:p>
      <w:pPr>
        <w:pStyle w:val="Heading1"/>
      </w:pPr>
      <w:r>
        <w:t xml:space="preserve">REQ-003: GCS Link Manager</w:t>
      </w:r>
    </w:p>
    <w:bookmarkStart w:id="28" w:name="context"/>
    <w:p>
      <w:pPr>
        <w:pStyle w:val="Heading2"/>
      </w:pPr>
      <w:r>
        <w:t xml:space="preserve">Context</w:t>
      </w:r>
    </w:p>
    <w:p>
      <w:pPr>
        <w:pStyle w:val="FirstParagraph"/>
      </w:pPr>
      <w:r>
        <w:t xml:space="preserve">MAVLink v2 is used as the communication protocol between the flight computer and the ground control station. The link must support encryption (AES-256) and handle intermittent connectivity gracefully.</w:t>
      </w:r>
    </w:p>
    <w:bookmarkStart w:id="27" w:name="req-003"/>
    <w:p>
      <w:pPr>
        <w:pStyle w:val="Heading3"/>
      </w:pPr>
      <w:r>
        <w:t xml:space="preserve">REQ-003</w:t>
      </w:r>
    </w:p>
    <w:p>
      <w:pPr>
        <w:pStyle w:val="FirstParagraph"/>
      </w:pPr>
      <w:r>
        <w:t xml:space="preserve">The flight computer software shall manage the encrypted MAVLink session with the ground control station, handling connection establishment, keepalive, and graceful reconnection.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derived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SYS-003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related</w:t>
            </w:r>
          </w:p>
        </w:tc>
        <w:tc>
          <w:tcPr/>
          <w:p>
            <w:pPr>
              <w:pStyle w:val="Compact"/>
            </w:pPr>
            <w:r>
              <w:t xml:space="preserve">REQ-001, REQ-002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tag</w:t>
            </w:r>
          </w:p>
        </w:tc>
        <w:tc>
          <w:tcPr/>
          <w:p>
            <w:pPr>
              <w:pStyle w:val="Compact"/>
            </w:pPr>
            <w:r>
              <w:t xml:space="preserve">interface, communications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GCS MAVLink Session Manager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</w:tbl>
    <w:bookmarkEnd w:id="27"/>
    <w:bookmarkEnd w:id="28"/>
    <w:bookmarkStart w:id="29" w:name="open-questions"/>
    <w:p>
      <w:pPr>
        <w:pStyle w:val="Heading2"/>
      </w:pPr>
      <w:r>
        <w:t xml:space="preserve">Open Questions</w:t>
      </w:r>
    </w:p>
    <w:p>
      <w:pPr>
        <w:pStyle w:val="Compact"/>
        <w:numPr>
          <w:ilvl w:val="0"/>
          <w:numId w:val="1001"/>
        </w:numPr>
      </w:pPr>
      <w:r>
        <w:t xml:space="preserve">Should reconnection attempts be bounded or infinite?</w:t>
      </w:r>
    </w:p>
    <w:p>
      <w:pPr>
        <w:pStyle w:val="Compact"/>
        <w:numPr>
          <w:ilvl w:val="0"/>
          <w:numId w:val="1001"/>
        </w:numPr>
      </w:pPr>
      <w:r>
        <w:t xml:space="preserve">What is the maximum acceptable reconnection latency?</w:t>
      </w:r>
    </w:p>
    <w:bookmarkEnd w:id="29"/>
    <w:bookmarkEnd w:id="30"/>
    <w:bookmarkStart w:id="32" w:name="req-004-gcs-contingency-control"/>
    <w:p>
      <w:pPr>
        <w:pStyle w:val="Heading1"/>
      </w:pPr>
      <w:r>
        <w:t xml:space="preserve">REQ-004: GCS Contingency Control</w:t>
      </w:r>
    </w:p>
    <w:bookmarkStart w:id="31" w:name="req-004"/>
    <w:p>
      <w:pPr>
        <w:pStyle w:val="Heading3"/>
      </w:pPr>
      <w:r>
        <w:t xml:space="preserve">REQ-004</w:t>
      </w:r>
    </w:p>
    <w:p>
      <w:pPr>
        <w:pStyle w:val="FirstParagraph"/>
      </w:pPr>
      <w:r>
        <w:t xml:space="preserve">The flight computer software shall implement a contingency control mode that allows the ground control station to take over manual control of the aircraft in case of a failure in the autonomous flight system (updated).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derived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SYS-003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related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tag</w:t>
            </w:r>
          </w:p>
        </w:tc>
        <w:tc>
          <w:tcPr/>
          <w:p>
            <w:pPr>
              <w:pStyle w:val="Compact"/>
            </w:pPr>
            <w:r>
              <w:t xml:space="preserve">interface, communications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GCS Contingency Control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</w:tbl>
    <w:bookmarkEnd w:id="31"/>
    <w:bookmarkEnd w:id="32"/>
    <w:bookmarkStart w:id="35" w:name="X5bfe69af0aeb41e9b3a52407ea95fa3a1ff3c91"/>
    <w:p>
      <w:pPr>
        <w:pStyle w:val="Heading1"/>
      </w:pPr>
      <w:r>
        <w:t xml:space="preserve">REQ-005: Derived Requirement without a Parent</w:t>
      </w:r>
    </w:p>
    <w:bookmarkStart w:id="33" w:name="req-005"/>
    <w:p>
      <w:pPr>
        <w:pStyle w:val="Heading3"/>
      </w:pPr>
      <w:r>
        <w:t xml:space="preserve">REQ-005</w:t>
      </w:r>
    </w:p>
    <w:p>
      <w:pPr>
        <w:pStyle w:val="FirstParagraph"/>
      </w:pPr>
      <w:r>
        <w:t xml:space="preserve">Derived requirement Without a parent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derived</w:t>
            </w:r>
          </w:p>
        </w:tc>
        <w:tc>
          <w:tcPr/>
          <w:p>
            <w:pPr>
              <w:pStyle w:val="Compact"/>
            </w:pPr>
            <w:r>
              <w:t xml:space="preserve">True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</w:pPr>
            <w:r>
              <w:t xml:space="preserve">We really need it!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priority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related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</w:pPr>
            <w:r>
              <w:t xml:space="preserve">tag</w:t>
            </w:r>
          </w:p>
        </w:tc>
        <w:tc>
          <w:tcPr/>
          <w:p>
            <w:pPr>
              <w:pStyle w:val="Compact"/>
            </w:pPr>
            <w:r>
              <w:t xml:space="preserve">interface, communications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title</w:t>
            </w:r>
          </w:p>
        </w:tc>
        <w:tc>
          <w:tcPr/>
          <w:p>
            <w:pPr>
              <w:pStyle w:val="Compact"/>
            </w:pPr>
            <w:r>
              <w:t xml:space="preserve">Derived 005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</w:tbl>
    <w:bookmarkEnd w:id="33"/>
    <w:bookmarkStart w:id="34" w:name="implementation"/>
    <w:p>
      <w:pPr>
        <w:pStyle w:val="Heading2"/>
      </w:pPr>
      <w:r>
        <w:t xml:space="preserve">implementation</w:t>
      </w:r>
    </w:p>
    <w:bookmarkEnd w:id="34"/>
    <w:bookmarkEnd w:id="35"/>
    <w:bookmarkStart w:id="37" w:name="section"/>
    <w:p>
      <w:pPr>
        <w:pStyle w:val="Heading1"/>
      </w:pPr>
    </w:p>
    <w:bookmarkStart w:id="36" w:name="src-004"/>
    <w:p>
      <w:pPr>
        <w:pStyle w:val="Heading3"/>
      </w:pPr>
      <w:r>
        <w:t xml:space="preserve">SRC-004</w:t>
      </w:r>
    </w:p>
    <w:p>
      <w:pPr>
        <w:pStyle w:val="FirstParagraph"/>
      </w:pPr>
      <w:r>
        <w:t xml:space="preserve">def activate_contingency_mode():</w:t>
      </w:r>
      <w:r>
        <w:t xml:space="preserve"> </w:t>
      </w:r>
      <w:r>
        <w:t xml:space="preserve"># Transfer control to GCS</w:t>
      </w:r>
      <w:r>
        <w:t xml:space="preserve"> </w:t>
      </w:r>
      <w:r>
        <w:t xml:space="preserve">pass</w:t>
      </w:r>
    </w:p>
    <w:bookmarkEnd w:id="36"/>
    <w:bookmarkEnd w:id="37"/>
    <w:bookmarkStart w:id="38" w:name="section-1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REQ-004</w:t>
            </w:r>
          </w:p>
        </w:tc>
      </w:tr>
    </w:tbl>
    <w:bookmarkEnd w:id="38"/>
    <w:bookmarkStart w:id="40" w:name="section-2"/>
    <w:p>
      <w:pPr>
        <w:pStyle w:val="Heading1"/>
      </w:pPr>
    </w:p>
    <w:bookmarkStart w:id="39" w:name="src-002"/>
    <w:p>
      <w:pPr>
        <w:pStyle w:val="Heading3"/>
      </w:pPr>
      <w:r>
        <w:t xml:space="preserve">SRC-002</w:t>
      </w:r>
    </w:p>
    <w:p>
      <w:pPr>
        <w:pStyle w:val="FirstParagraph"/>
      </w:pPr>
      <w:r>
        <w:t xml:space="preserve">def handle_failsafe(event):</w:t>
      </w:r>
      <w:r>
        <w:t xml:space="preserve"> </w:t>
      </w:r>
      <w:r>
        <w:t xml:space="preserve">if event ==</w:t>
      </w:r>
      <w:r>
        <w:t xml:space="preserve"> </w:t>
      </w:r>
      <w:r>
        <w:t xml:space="preserve">‘LINK_LOSS’</w:t>
      </w:r>
      <w:r>
        <w:t xml:space="preserve">:</w:t>
      </w:r>
      <w:r>
        <w:t xml:space="preserve"> </w:t>
      </w:r>
      <w:r>
        <w:t xml:space="preserve">trigger_rth()</w:t>
      </w:r>
    </w:p>
    <w:bookmarkEnd w:id="39"/>
    <w:bookmarkEnd w:id="40"/>
    <w:bookmarkStart w:id="41" w:name="section-3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REQ-002</w:t>
            </w:r>
          </w:p>
        </w:tc>
      </w:tr>
    </w:tbl>
    <w:bookmarkEnd w:id="41"/>
    <w:bookmarkStart w:id="43" w:name="section-4"/>
    <w:p>
      <w:pPr>
        <w:pStyle w:val="Heading1"/>
      </w:pPr>
    </w:p>
    <w:bookmarkStart w:id="42" w:name="src-003"/>
    <w:p>
      <w:pPr>
        <w:pStyle w:val="Heading3"/>
      </w:pPr>
      <w:r>
        <w:t xml:space="preserve">SRC-003</w:t>
      </w:r>
    </w:p>
    <w:p>
      <w:pPr>
        <w:pStyle w:val="FirstParagraph"/>
      </w:pPr>
      <w:r>
        <w:t xml:space="preserve">class MAVLinkManager:</w:t>
      </w:r>
      <w:r>
        <w:t xml:space="preserve"> </w:t>
      </w:r>
      <w:r>
        <w:t xml:space="preserve">def connect(self, uri):</w:t>
      </w:r>
      <w:r>
        <w:t xml:space="preserve"> </w:t>
      </w:r>
      <w:r>
        <w:t xml:space="preserve"># Establish encrypted session</w:t>
      </w:r>
      <w:r>
        <w:t xml:space="preserve"> </w:t>
      </w:r>
      <w:r>
        <w:t xml:space="preserve">pass</w:t>
      </w:r>
    </w:p>
    <w:bookmarkEnd w:id="42"/>
    <w:bookmarkEnd w:id="43"/>
    <w:bookmarkStart w:id="44" w:name="section-5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REQ-003</w:t>
            </w:r>
          </w:p>
        </w:tc>
      </w:tr>
    </w:tbl>
    <w:bookmarkEnd w:id="44"/>
    <w:bookmarkStart w:id="46" w:name="section-6"/>
    <w:p>
      <w:pPr>
        <w:pStyle w:val="Heading1"/>
      </w:pPr>
    </w:p>
    <w:bookmarkStart w:id="45" w:name="src-001"/>
    <w:p>
      <w:pPr>
        <w:pStyle w:val="Heading3"/>
      </w:pPr>
      <w:r>
        <w:t xml:space="preserve">SRC-001</w:t>
      </w:r>
    </w:p>
    <w:p>
      <w:pPr>
        <w:pStyle w:val="FirstParagraph"/>
      </w:pPr>
      <w:r>
        <w:t xml:space="preserve">class TelemetryPipeline:</w:t>
      </w:r>
      <w:r>
        <w:t xml:space="preserve"> </w:t>
      </w:r>
      <w:r>
        <w:t xml:space="preserve">def</w:t>
      </w:r>
      <w:r>
        <w:t xml:space="preserve"> </w:t>
      </w:r>
      <w:r>
        <w:rPr>
          <w:b/>
          <w:bCs/>
        </w:rPr>
        <w:t xml:space="preserve">init</w:t>
      </w:r>
      <w:r>
        <w:t xml:space="preserve">(self, rate_hz=10):</w:t>
      </w:r>
      <w:r>
        <w:t xml:space="preserve"> </w:t>
      </w:r>
      <w:r>
        <w:t xml:space="preserve">self.rate_hz = rate_hz</w:t>
      </w:r>
    </w:p>
    <w:p>
      <w:pPr>
        <w:pStyle w:val="SourceCode"/>
      </w:pPr>
      <w:r>
        <w:rPr>
          <w:rStyle w:val="VerbatimChar"/>
        </w:rPr>
        <w:t xml:space="preserve">def push(self, data):</w:t>
      </w:r>
      <w:r>
        <w:br/>
      </w:r>
      <w:r>
        <w:rPr>
          <w:rStyle w:val="VerbatimChar"/>
        </w:rPr>
        <w:t xml:space="preserve">    # Non-blocking push to queue</w:t>
      </w:r>
      <w:r>
        <w:br/>
      </w:r>
      <w:r>
        <w:rPr>
          <w:rStyle w:val="VerbatimChar"/>
        </w:rPr>
        <w:t xml:space="preserve">    pass</w:t>
      </w:r>
    </w:p>
    <w:bookmarkEnd w:id="45"/>
    <w:bookmarkEnd w:id="46"/>
    <w:bookmarkStart w:id="48" w:name="section-7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REQ-001</w:t>
            </w:r>
          </w:p>
        </w:tc>
      </w:tr>
    </w:tbl>
    <w:bookmarkStart w:id="47" w:name="verification"/>
    <w:p>
      <w:pPr>
        <w:pStyle w:val="Heading2"/>
      </w:pPr>
      <w:r>
        <w:t xml:space="preserve">verification</w:t>
      </w:r>
    </w:p>
    <w:bookmarkEnd w:id="47"/>
    <w:bookmarkEnd w:id="48"/>
    <w:bookmarkStart w:id="50" w:name="section-8"/>
    <w:p>
      <w:pPr>
        <w:pStyle w:val="Heading1"/>
      </w:pPr>
    </w:p>
    <w:bookmarkStart w:id="49" w:name="test-004"/>
    <w:p>
      <w:pPr>
        <w:pStyle w:val="Heading3"/>
      </w:pPr>
      <w:r>
        <w:t xml:space="preserve">TEST-004</w:t>
      </w:r>
    </w:p>
    <w:p>
      <w:pPr>
        <w:pStyle w:val="FirstParagraph"/>
      </w:pPr>
      <w:r>
        <w:t xml:space="preserve">def test_gcs_takeover():</w:t>
      </w:r>
      <w:r>
        <w:t xml:space="preserve"> </w:t>
      </w:r>
      <w:r>
        <w:t xml:space="preserve"># Verify manual control takeover</w:t>
      </w:r>
      <w:r>
        <w:t xml:space="preserve"> </w:t>
      </w:r>
      <w:r>
        <w:t xml:space="preserve">pass</w:t>
      </w:r>
    </w:p>
    <w:bookmarkEnd w:id="49"/>
    <w:bookmarkEnd w:id="50"/>
    <w:bookmarkStart w:id="51" w:name="section-9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REQ-004, SRC-004</w:t>
            </w:r>
          </w:p>
        </w:tc>
      </w:tr>
    </w:tbl>
    <w:bookmarkEnd w:id="51"/>
    <w:bookmarkStart w:id="53" w:name="section-10"/>
    <w:p>
      <w:pPr>
        <w:pStyle w:val="Heading1"/>
      </w:pPr>
    </w:p>
    <w:bookmarkStart w:id="52" w:name="test-002"/>
    <w:p>
      <w:pPr>
        <w:pStyle w:val="Heading3"/>
      </w:pPr>
      <w:r>
        <w:t xml:space="preserve">TEST-002</w:t>
      </w:r>
    </w:p>
    <w:p>
      <w:pPr>
        <w:pStyle w:val="FirstParagraph"/>
      </w:pPr>
      <w:r>
        <w:t xml:space="preserve">def test_failsafe_rth_trigger():</w:t>
      </w:r>
      <w:r>
        <w:t xml:space="preserve"> </w:t>
      </w:r>
      <w:r>
        <w:t xml:space="preserve"># Simulate link loss and check RTH trigger</w:t>
      </w:r>
      <w:r>
        <w:t xml:space="preserve"> </w:t>
      </w:r>
      <w:r>
        <w:t xml:space="preserve">pass</w:t>
      </w:r>
    </w:p>
    <w:bookmarkEnd w:id="52"/>
    <w:bookmarkEnd w:id="53"/>
    <w:bookmarkStart w:id="54" w:name="section-11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REQ-002, SRC-002</w:t>
            </w:r>
          </w:p>
        </w:tc>
      </w:tr>
    </w:tbl>
    <w:bookmarkEnd w:id="54"/>
    <w:bookmarkStart w:id="56" w:name="section-12"/>
    <w:p>
      <w:pPr>
        <w:pStyle w:val="Heading1"/>
      </w:pPr>
    </w:p>
    <w:bookmarkStart w:id="55" w:name="test-003"/>
    <w:p>
      <w:pPr>
        <w:pStyle w:val="Heading3"/>
      </w:pPr>
      <w:r>
        <w:t xml:space="preserve">TEST-003</w:t>
      </w:r>
    </w:p>
    <w:p>
      <w:pPr>
        <w:pStyle w:val="FirstParagraph"/>
      </w:pPr>
      <w:r>
        <w:t xml:space="preserve">def test_mavlink_reconnection():</w:t>
      </w:r>
      <w:r>
        <w:t xml:space="preserve"> </w:t>
      </w:r>
      <w:r>
        <w:t xml:space="preserve"># Test graceful reconnection after link drop</w:t>
      </w:r>
      <w:r>
        <w:t xml:space="preserve"> </w:t>
      </w:r>
      <w:r>
        <w:t xml:space="preserve">pass</w:t>
      </w:r>
    </w:p>
    <w:bookmarkEnd w:id="55"/>
    <w:bookmarkEnd w:id="56"/>
    <w:bookmarkStart w:id="57" w:name="section-13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REQ-003, SRC-003</w:t>
            </w:r>
          </w:p>
        </w:tc>
      </w:tr>
    </w:tbl>
    <w:bookmarkEnd w:id="57"/>
    <w:bookmarkStart w:id="59" w:name="section-14"/>
    <w:p>
      <w:pPr>
        <w:pStyle w:val="Heading1"/>
      </w:pPr>
    </w:p>
    <w:bookmarkStart w:id="58" w:name="test-001"/>
    <w:p>
      <w:pPr>
        <w:pStyle w:val="Heading3"/>
      </w:pPr>
      <w:r>
        <w:t xml:space="preserve">TEST-001</w:t>
      </w:r>
    </w:p>
    <w:p>
      <w:pPr>
        <w:pStyle w:val="FirstParagraph"/>
      </w:pPr>
      <w:r>
        <w:t xml:space="preserve">def test_telemetry_rate_10hz():</w:t>
      </w:r>
      <w:r>
        <w:t xml:space="preserve"> </w:t>
      </w:r>
      <w:r>
        <w:t xml:space="preserve">pipe = TelemetryPipeline(rate_hz=10)</w:t>
      </w:r>
      <w:r>
        <w:t xml:space="preserve"> </w:t>
      </w:r>
      <w:r>
        <w:t xml:space="preserve">assert pipe.rate_hz == 10</w:t>
      </w:r>
    </w:p>
    <w:bookmarkEnd w:id="58"/>
    <w:bookmarkEnd w:id="59"/>
    <w:bookmarkStart w:id="60" w:name="section-15"/>
    <w:p>
      <w:pPr>
        <w:pStyle w:val="Heading1"/>
      </w:pP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parent</w:t>
            </w:r>
          </w:p>
        </w:tc>
        <w:tc>
          <w:tcPr/>
          <w:p>
            <w:pPr>
              <w:pStyle w:val="Compact"/>
            </w:pPr>
            <w:r>
              <w:t xml:space="preserve">REQ-001, SRC-001</w:t>
            </w:r>
          </w:p>
        </w:tc>
      </w:tr>
    </w:tbl>
    <w:bookmarkEnd w:id="6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2026-07-02T14:15:42Z</dcterms:created>
  <dcterms:modified xsi:type="dcterms:W3CDTF">2026-07-02T14:15:42Z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