
<file path=[Content_Types].xml><?xml version="1.0" encoding="utf-8"?>
<Types xmlns="http://schemas.openxmlformats.org/package/2006/content-types">
  <Default Extension="xml" ContentType="application/xml"/>
  <Default Extension="rels" ContentType="application/vnd.openxmlformats-package.relationships+xml"/>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media/rId43.png" ContentType="image/png"/>
  <Override PartName="/word/media/rId45.png" ContentType="image/png"/>
  <Override PartName="/word/media/rId47.png" ContentType="image/png"/>
  <Override PartName="/word/media/rId49.png" ContentType="image/png"/>
  <Override PartName="/word/media/rId51.png" ContentType="image/png"/>
  <Override PartName="/word/media/rId31.png" ContentType="image/png"/>
  <Override PartName="/word/media/rId33.png" ContentType="image/png"/>
  <Override PartName="/word/media/rId35.png" ContentType="image/png"/>
  <Override PartName="/word/media/rId37.png" ContentType="image/png"/>
  <Override PartName="/word/media/rId39.png" ContentType="image/png"/>
  <Override PartName="/word/media/rId41.png" ContentType="image/png"/>
  <Override PartName="/word/media/rId71.png" ContentType="image/png"/>
  <Override PartName="/word/media/rId73.png" ContentType="image/png"/>
  <Override PartName="/word/media/rId20.png" ContentType="image/png"/>
  <Override PartName="/word/media/rId69.png" ContentType="image/png"/>
  <Override PartName="/word/media/rId30.png" ContentType="image/png"/>
  <Override PartName="/word/media/rId55.png" ContentType="image/png"/>
  <Override PartName="/word/media/rId59.png" ContentType="image/png"/>
  <Override PartName="/word/media/rId62.jpg" ContentType="image/jpeg"/>
</Types>
</file>

<file path=_rels/.rels><?xml version="1.0" encoding="UTF-8"?>
<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Title"/>
      </w:pPr>
      <w:r>
        <w:t xml:space="preserve">EON</w:t>
      </w:r>
      <w:r>
        <w:t xml:space="preserve"> </w:t>
      </w:r>
      <w:r>
        <w:t xml:space="preserve">GPR</w:t>
      </w:r>
      <w:r>
        <w:t xml:space="preserve"> </w:t>
      </w:r>
      <w:r>
        <w:t xml:space="preserve">Test</w:t>
      </w:r>
      <w:r>
        <w:t xml:space="preserve"> </w:t>
      </w:r>
      <w:r>
        <w:t xml:space="preserve">Systems</w:t>
      </w:r>
      <w:r>
        <w:br/>
      </w:r>
      <w:r>
        <w:t xml:space="preserve">Under</w:t>
      </w:r>
      <w:r>
        <w:t xml:space="preserve"> </w:t>
      </w:r>
      <w:r>
        <w:t xml:space="preserve">the</w:t>
      </w:r>
      <w:r>
        <w:t xml:space="preserve"> </w:t>
      </w:r>
      <w:r>
        <w:t xml:space="preserve">Auspices</w:t>
      </w:r>
      <w:r>
        <w:t xml:space="preserve"> </w:t>
      </w:r>
      <w:r>
        <w:t xml:space="preserve">of</w:t>
      </w:r>
      <w:r>
        <w:t xml:space="preserve"> </w:t>
      </w:r>
      <w:r>
        <w:t xml:space="preserve">REAXPRO</w:t>
      </w:r>
    </w:p>
    <w:p>
      <w:pPr>
        <w:pStyle w:val="Author"/>
      </w:pPr>
      <w:r>
        <w:t xml:space="preserve">Alejandro,</w:t>
      </w:r>
      <w:r>
        <w:t xml:space="preserve"> </w:t>
      </w:r>
      <w:r>
        <w:t xml:space="preserve">Hannes,</w:t>
      </w:r>
      <w:r>
        <w:t xml:space="preserve"> </w:t>
      </w:r>
      <w:r>
        <w:t xml:space="preserve">Rohit,</w:t>
      </w:r>
      <w:r>
        <w:t xml:space="preserve"> </w:t>
      </w:r>
      <w:r>
        <w:t xml:space="preserve">Satish,</w:t>
      </w:r>
      <w:r>
        <w:t xml:space="preserve"> </w:t>
      </w:r>
      <w:r>
        <w:t xml:space="preserve">Maxim</w:t>
      </w:r>
    </w:p>
    <w:p>
      <w:pPr>
        <w:pStyle w:val="Abstract"/>
      </w:pPr>
      <w:r>
        <w:t xml:space="preserve">Brief</w:t>
      </w:r>
      <w:r>
        <w:t xml:space="preserve"> </w:t>
      </w:r>
      <w:r>
        <w:t xml:space="preserve">system</w:t>
      </w:r>
      <w:r>
        <w:t xml:space="preserve"> </w:t>
      </w:r>
      <w:r>
        <w:t xml:space="preserve">descriptions</w:t>
      </w:r>
      <w:r>
        <w:t xml:space="preserve"> </w:t>
      </w:r>
      <w:r>
        <w:t xml:space="preserve">of</w:t>
      </w:r>
      <w:r>
        <w:t xml:space="preserve"> </w:t>
      </w:r>
      <w:r>
        <w:t xml:space="preserve">test</w:t>
      </w:r>
      <w:r>
        <w:t xml:space="preserve"> </w:t>
      </w:r>
      <w:r>
        <w:t xml:space="preserve">cases</w:t>
      </w:r>
      <w:r>
        <w:t xml:space="preserve"> </w:t>
      </w:r>
      <w:r>
        <w:t xml:space="preserve">considered.</w:t>
      </w:r>
      <w:r>
        <w:t xml:space="preserve"> </w:t>
      </w:r>
      <w:r>
        <w:t xml:space="preserve">Also</w:t>
      </w:r>
      <w:r>
        <w:t xml:space="preserve"> </w:t>
      </w:r>
      <w:r>
        <w:t xml:space="preserve">includes</w:t>
      </w:r>
      <w:r>
        <w:t xml:space="preserve"> </w:t>
      </w:r>
      <w:r>
        <w:t xml:space="preserve">developer</w:t>
      </w:r>
      <w:r>
        <w:t xml:space="preserve"> </w:t>
      </w:r>
      <w:r>
        <w:rPr>
          <w:rStyle w:val="VerbatimChar"/>
        </w:rPr>
        <w:t xml:space="preserve">TODO</w:t>
      </w:r>
      <w:r>
        <w:t xml:space="preserve"> </w:t>
      </w:r>
      <w:r>
        <w:t xml:space="preserve">items.</w:t>
      </w:r>
    </w:p>
    <w:p>
      <w:pPr>
        <w:pStyle w:val="FirstParagraph"/>
      </w:pPr>
      <w:r>
        <w:t xml:space="preserve">Many of the systems studied here are taken from</w:t>
      </w:r>
      <w:r>
        <w:t xml:space="preserve"> </w:t>
      </w:r>
      <w:r>
        <w:t xml:space="preserve"> </w:t>
      </w:r>
      <w:r>
        <w:t xml:space="preserve">and the data has been kindly provided by Villi. Before describing the data-sets used, as well as the results; we will give a brief overview of the coupling of</w:t>
      </w:r>
      <w:r>
        <w:t xml:space="preserve"> </w:t>
      </w:r>
      <w:r>
        <w:rPr>
          <w:rStyle w:val="VerbatimChar"/>
        </w:rPr>
        <w:t xml:space="preserve">eon</w:t>
      </w:r>
      <w:r>
        <w:t xml:space="preserve"> </w:t>
      </w:r>
      <w:r>
        <w:t xml:space="preserve">to the</w:t>
      </w:r>
      <w:r>
        <w:t xml:space="preserve"> </w:t>
      </w:r>
      <w:r>
        <w:rPr>
          <w:rStyle w:val="VerbatimChar"/>
        </w:rPr>
        <w:t xml:space="preserve">GPR Dimer</w:t>
      </w:r>
      <w:r>
        <w:t xml:space="preserve"> </w:t>
      </w:r>
      <w:r>
        <w:t xml:space="preserve">library. The results of</w:t>
      </w:r>
      <w:r>
        <w:t xml:space="preserve"> </w:t>
      </w:r>
      <w:r>
        <w:t xml:space="preserve"> </w:t>
      </w:r>
      <w:r>
        <w:t xml:space="preserve">established a baseline for studying the effects of accelerating saddle search methods namely:</w:t>
      </w:r>
    </w:p>
    <w:p>
      <w:pPr>
        <w:numPr>
          <w:ilvl w:val="0"/>
          <w:numId w:val="1001"/>
        </w:numPr>
      </w:pPr>
      <w:r>
        <w:t xml:space="preserve">Nudged elastic band calculation</w:t>
      </w:r>
      <w:r>
        <w:t xml:space="preserve"> </w:t>
      </w:r>
    </w:p>
    <w:p>
      <w:pPr>
        <w:numPr>
          <w:ilvl w:val="0"/>
          <w:numId w:val="1001"/>
        </w:numPr>
      </w:pPr>
      <w:r>
        <w:t xml:space="preserve">Tailored bespoke covariance functions for atomic data</w:t>
      </w:r>
      <w:r>
        <w:t xml:space="preserve"> </w:t>
      </w:r>
    </w:p>
    <w:p>
      <w:pPr>
        <w:numPr>
          <w:ilvl w:val="0"/>
          <w:numId w:val="1001"/>
        </w:numPr>
      </w:pPr>
      <w:r>
        <w:t xml:space="preserve">Proof of concept studies of accelerating surface walking methods like the dimer</w:t>
      </w:r>
      <w:r>
        <w:t xml:space="preserve"> </w:t>
      </w:r>
      <w:r>
        <w:t xml:space="preserve"> </w:t>
      </w:r>
      <w:r>
        <w:t xml:space="preserve">using Gaussian Process Regression</w:t>
      </w:r>
      <w:r>
        <w:t xml:space="preserve"> </w:t>
      </w:r>
    </w:p>
    <w:p>
      <w:pPr>
        <w:pStyle w:val="FirstParagraph"/>
      </w:pPr>
      <w:r>
        <w:t xml:space="preserve">However, these proof of concept studies were implemented in MATLAB and were not amenable to large systems due to both theoretical restrictions and computational inefficiency.</w:t>
      </w:r>
    </w:p>
    <w:bookmarkStart w:id="27" w:name="sec:orga688c1a"/>
    <w:p>
      <w:pPr>
        <w:pStyle w:val="Heading1"/>
      </w:pPr>
      <w:r>
        <w:t xml:space="preserve">Architecture</w:t>
      </w:r>
    </w:p>
    <w:p>
      <w:pPr>
        <w:pStyle w:val="FirstParagraph"/>
      </w:pPr>
      <w:r>
        <w:t xml:space="preserve">The structure of the interface is given below:</w:t>
      </w:r>
    </w:p>
    <w:p>
      <w:pPr>
        <w:pStyle w:val="CaptionedFigure"/>
      </w:pPr>
      <w:r>
        <w:drawing>
          <wp:inline>
            <wp:extent cx="5334000" cy="2763878"/>
            <wp:effectExtent b="0" l="0" r="0" t="0"/>
            <wp:docPr descr="EON to GPR Dimer interface" title="" id="1" name="Picture"/>
            <a:graphic>
              <a:graphicData uri="http://schemas.openxmlformats.org/drawingml/2006/picture">
                <pic:pic>
                  <pic:nvPicPr>
                    <pic:cNvPr descr="images/Architecture/2021-02-26_16-18-25_screenshot.png" id="0" name="Picture"/>
                    <pic:cNvPicPr>
                      <a:picLocks noChangeArrowheads="1" noChangeAspect="1"/>
                    </pic:cNvPicPr>
                  </pic:nvPicPr>
                  <pic:blipFill>
                    <a:blip r:embed="rId20"/>
                    <a:stretch>
                      <a:fillRect/>
                    </a:stretch>
                  </pic:blipFill>
                  <pic:spPr bwMode="auto">
                    <a:xfrm>
                      <a:off x="0" y="0"/>
                      <a:ext cx="5334000" cy="2763878"/>
                    </a:xfrm>
                    <a:prstGeom prst="rect">
                      <a:avLst/>
                    </a:prstGeom>
                    <a:noFill/>
                    <a:ln w="9525">
                      <a:noFill/>
                      <a:headEnd/>
                      <a:tailEnd/>
                    </a:ln>
                  </pic:spPr>
                </pic:pic>
              </a:graphicData>
            </a:graphic>
          </wp:inline>
        </w:drawing>
      </w:r>
    </w:p>
    <w:p>
      <w:pPr>
        <w:pStyle w:val="ImageCaption"/>
      </w:pPr>
      <w:r>
        <w:t xml:space="preserve">EON to GPR Dimer interface</w:t>
      </w:r>
    </w:p>
    <w:bookmarkStart w:id="26" w:name="sec:orgddb4eb8"/>
    <w:p>
      <w:pPr>
        <w:pStyle w:val="Heading2"/>
      </w:pPr>
      <w:r>
        <w:t xml:space="preserve">Programming Methodology</w:t>
      </w:r>
    </w:p>
    <w:p>
      <w:pPr>
        <w:pStyle w:val="FirstParagraph"/>
      </w:pPr>
      <w:r>
        <w:t xml:space="preserve">The GPR dimer is implemented as a stand-alone library (Apache2 licensed) with minimally invasive</w:t>
      </w:r>
      <w:r>
        <w:t xml:space="preserve"> </w:t>
      </w:r>
      <w:r>
        <w:t xml:space="preserve">changes to the EON code. This allowed for the use of modern and performance</w:t>
      </w:r>
      <w:r>
        <w:t xml:space="preserve"> </w:t>
      </w:r>
      <w:r>
        <w:t xml:space="preserve">oriented programming practices like:</w:t>
      </w:r>
    </w:p>
    <w:p>
      <w:pPr>
        <w:numPr>
          <w:ilvl w:val="0"/>
          <w:numId w:val="1002"/>
        </w:numPr>
      </w:pPr>
      <w:r>
        <w:t xml:space="preserve">Modern build system</w:t>
      </w:r>
    </w:p>
    <w:p>
      <w:pPr>
        <w:numPr>
          <w:ilvl w:val="1"/>
          <w:numId w:val="1003"/>
        </w:numPr>
      </w:pPr>
      <w:r>
        <w:t xml:space="preserve">Allows for cross-platform optimizations</w:t>
      </w:r>
    </w:p>
    <w:p>
      <w:pPr>
        <w:numPr>
          <w:ilvl w:val="1"/>
          <w:numId w:val="1003"/>
        </w:numPr>
      </w:pPr>
      <w:r>
        <w:t xml:space="preserve">Integrates with MKL for improved HPC performance</w:t>
      </w:r>
    </w:p>
    <w:p>
      <w:pPr>
        <w:numPr>
          <w:ilvl w:val="0"/>
          <w:numId w:val="1002"/>
        </w:numPr>
      </w:pPr>
      <w:r>
        <w:t xml:space="preserve">Extensive Testing with the</w:t>
      </w:r>
      <w:r>
        <w:t xml:space="preserve"> </w:t>
      </w:r>
      <w:r>
        <w:rPr>
          <w:rStyle w:val="VerbatimChar"/>
        </w:rPr>
        <w:t xml:space="preserve">googletest</w:t>
      </w:r>
      <w:r>
        <w:t xml:space="preserve"> </w:t>
      </w:r>
      <w:r>
        <w:t xml:space="preserve">framework</w:t>
      </w:r>
    </w:p>
    <w:p>
      <w:pPr>
        <w:numPr>
          <w:ilvl w:val="1"/>
          <w:numId w:val="1004"/>
        </w:numPr>
      </w:pPr>
      <w:r>
        <w:t xml:space="preserve">Both unit tests and integration tests are provided</w:t>
      </w:r>
    </w:p>
    <w:p>
      <w:pPr>
        <w:numPr>
          <w:ilvl w:val="1"/>
          <w:numId w:val="1004"/>
        </w:numPr>
      </w:pPr>
      <w:r>
        <w:rPr>
          <w:rStyle w:val="VerbatimChar"/>
        </w:rPr>
        <w:t xml:space="preserve">eon</w:t>
      </w:r>
      <w:r>
        <w:t xml:space="preserve"> </w:t>
      </w:r>
      <w:r>
        <w:t xml:space="preserve">does not include a unit testing framework</w:t>
      </w:r>
    </w:p>
    <w:p>
      <w:pPr>
        <w:numPr>
          <w:ilvl w:val="2"/>
          <w:numId w:val="1005"/>
        </w:numPr>
      </w:pPr>
      <w:r>
        <w:t xml:space="preserve">An extensive set of manual test cases are provided to replicate all existing literature results</w:t>
      </w:r>
    </w:p>
    <w:p>
      <w:pPr>
        <w:numPr>
          <w:ilvl w:val="0"/>
          <w:numId w:val="1002"/>
        </w:numPr>
      </w:pPr>
      <w:r>
        <w:t xml:space="preserve">Modular design following OOP practices</w:t>
      </w:r>
    </w:p>
    <w:p>
      <w:pPr>
        <w:numPr>
          <w:ilvl w:val="1"/>
          <w:numId w:val="1006"/>
        </w:numPr>
      </w:pPr>
      <w:r>
        <w:t xml:space="preserve">Separation of GPR hyperparameter optimizations</w:t>
      </w:r>
    </w:p>
    <w:p>
      <w:pPr>
        <w:numPr>
          <w:ilvl w:val="2"/>
          <w:numId w:val="1007"/>
        </w:numPr>
      </w:pPr>
      <w:r>
        <w:t xml:space="preserve">Allows for updating both the minimizer, and the possibility of implementing monte-carlo methods for hyperparameter optimization</w:t>
      </w:r>
    </w:p>
    <w:p>
      <w:pPr>
        <w:numPr>
          <w:ilvl w:val="1"/>
          <w:numId w:val="1006"/>
        </w:numPr>
      </w:pPr>
      <w:r>
        <w:t xml:space="preserve">Separation of GPR surface and the LBFGS call</w:t>
      </w:r>
    </w:p>
    <w:p>
      <w:pPr>
        <w:numPr>
          <w:ilvl w:val="2"/>
          <w:numId w:val="1008"/>
        </w:numPr>
      </w:pPr>
      <w:r>
        <w:t xml:space="preserve">This allows for the usage of other minimizers like the Lanczos</w:t>
      </w:r>
    </w:p>
    <w:p>
      <w:pPr>
        <w:numPr>
          <w:ilvl w:val="1"/>
          <w:numId w:val="1006"/>
        </w:numPr>
      </w:pPr>
      <w:r>
        <w:t xml:space="preserve">Separation of covariance functions</w:t>
      </w:r>
    </w:p>
    <w:p>
      <w:pPr>
        <w:numPr>
          <w:ilvl w:val="2"/>
          <w:numId w:val="1009"/>
        </w:numPr>
      </w:pPr>
      <w:r>
        <w:t xml:space="preserve">A standard interface for the implementation of future covariance functions has been provided</w:t>
      </w:r>
    </w:p>
    <w:p>
      <w:pPr>
        <w:numPr>
          <w:ilvl w:val="0"/>
          <w:numId w:val="1002"/>
        </w:numPr>
      </w:pPr>
      <w:r>
        <w:t xml:space="preserve">Only user determined parameters are used internally</w:t>
      </w:r>
    </w:p>
    <w:p>
      <w:pPr>
        <w:pStyle w:val="FirstParagraph"/>
      </w:pPr>
      <w:r>
        <w:t xml:space="preserve">We use the numerical linear algebra library, Eigen; which supports Intel MKL</w:t>
      </w:r>
      <w:r>
        <w:t xml:space="preserve"> </w:t>
      </w:r>
      <w:r>
        <w:t xml:space="preserve">optimizations. Eigen is also used by EON.</w:t>
      </w:r>
    </w:p>
    <w:p>
      <w:pPr>
        <w:pStyle w:val="BodyText"/>
      </w:pPr>
      <w:r>
        <w:t xml:space="preserve">The library itself has a self contained executable for testing which consumes the same input data as the MATLB code. The interface is seamless, with the addition of input parameters done through the standard</w:t>
      </w:r>
      <w:r>
        <w:t xml:space="preserve"> </w:t>
      </w:r>
      <w:r>
        <w:rPr>
          <w:rStyle w:val="VerbatimChar"/>
        </w:rPr>
        <w:t xml:space="preserve">eon</w:t>
      </w:r>
      <w:r>
        <w:t xml:space="preserve"> </w:t>
      </w:r>
      <w:r>
        <w:t xml:space="preserve">configuration file.</w:t>
      </w:r>
    </w:p>
    <w:p>
      <w:pPr>
        <w:pStyle w:val="BodyText"/>
      </w:pPr>
      <w:r>
        <w:t xml:space="preserve">The structure of the library is such that it accepts a general potential function from EON and then uses it to calculate the GPR approximation to the potential energy surface. For the relaxation phase, the trained GPR potential in EON is called.</w:t>
      </w:r>
    </w:p>
    <w:p>
      <w:pPr>
        <w:pStyle w:val="BodyText"/>
      </w:pPr>
      <w:r>
        <w:t xml:space="preserve">A user defined set of pruning parameters have been implemented which ensure optimal and bound scaling of the GPR.</w:t>
      </w:r>
    </w:p>
    <w:bookmarkStart w:id="21" w:name="sec:orgd8c0df1"/>
    <w:p>
      <w:pPr>
        <w:pStyle w:val="Heading3"/>
      </w:pPr>
      <w:r>
        <w:t xml:space="preserve">EON Changes</w:t>
      </w:r>
    </w:p>
    <w:p>
      <w:pPr>
        <w:pStyle w:val="FirstParagraph"/>
      </w:pPr>
      <w:r>
        <w:t xml:space="preserve">A Cmake build system was implemented for efficient cross-platform builds. We augment the potentials with an interface to AMS. A GPR potential was also written, which is called by the library for the relaxation phase. Additionally, the build system allows for HPC speed-ups which are determined automatically and uses the MKL.</w:t>
      </w:r>
    </w:p>
    <w:bookmarkEnd w:id="21"/>
    <w:bookmarkStart w:id="25" w:name="sec:org5fc009a"/>
    <w:p>
      <w:pPr>
        <w:pStyle w:val="Heading3"/>
      </w:pPr>
      <w:r>
        <w:t xml:space="preserve">User Inputs</w:t>
      </w:r>
    </w:p>
    <w:p>
      <w:pPr>
        <w:pStyle w:val="FirstParagraph"/>
      </w:pPr>
      <w:r>
        <w:t xml:space="preserve">All the configurations follow the standard</w:t>
      </w:r>
      <w:r>
        <w:t xml:space="preserve"> </w:t>
      </w:r>
      <w:r>
        <w:rPr>
          <w:rStyle w:val="VerbatimChar"/>
        </w:rPr>
        <w:t xml:space="preserve">ini</w:t>
      </w:r>
      <w:r>
        <w:t xml:space="preserve"> </w:t>
      </w:r>
      <w:r>
        <w:t xml:space="preserve">file specification of EON. As the</w:t>
      </w:r>
      <w:r>
        <w:t xml:space="preserve"> </w:t>
      </w:r>
      <w:r>
        <w:rPr>
          <w:rStyle w:val="VerbatimChar"/>
        </w:rPr>
        <w:t xml:space="preserve">gprdimer</w:t>
      </w:r>
      <w:r>
        <w:t xml:space="preserve"> </w:t>
      </w:r>
      <w:r>
        <w:t xml:space="preserve">is implemented as a Minimum Mode Search method; as a replacement for the existing</w:t>
      </w:r>
      <w:r>
        <w:t xml:space="preserve"> </w:t>
      </w:r>
      <w:r>
        <w:rPr>
          <w:rStyle w:val="VerbatimChar"/>
        </w:rPr>
        <w:t xml:space="preserve">lanczos</w:t>
      </w:r>
      <w:r>
        <w:t xml:space="preserve"> </w:t>
      </w:r>
      <w:r>
        <w:t xml:space="preserve">or</w:t>
      </w:r>
      <w:r>
        <w:t xml:space="preserve"> </w:t>
      </w:r>
      <w:r>
        <w:rPr>
          <w:rStyle w:val="VerbatimChar"/>
        </w:rPr>
        <w:t xml:space="preserve">dimer</w:t>
      </w:r>
      <w:r>
        <w:t xml:space="preserve"> </w:t>
      </w:r>
      <w:r>
        <w:t xml:space="preserve">methods. Consider the standard configuration for a saddle search run:</w:t>
      </w:r>
    </w:p>
    <w:p>
      <w:pPr>
        <w:pStyle w:val="SourceCode"/>
      </w:pPr>
      <w:r>
        <w:rPr>
          <w:rStyle w:val="KeywordTok"/>
        </w:rPr>
        <w:t xml:space="preserve">[Main]</w:t>
      </w:r>
      <w:r>
        <w:br/>
      </w:r>
      <w:r>
        <w:rPr>
          <w:rStyle w:val="DataTypeTok"/>
        </w:rPr>
        <w:t xml:space="preserve">job </w:t>
      </w:r>
      <w:r>
        <w:rPr>
          <w:rStyle w:val="OtherTok"/>
        </w:rPr>
        <w:t xml:space="preserve">=</w:t>
      </w:r>
      <w:r>
        <w:rPr>
          <w:rStyle w:val="StringTok"/>
        </w:rPr>
        <w:t xml:space="preserve"> saddle_search</w:t>
      </w:r>
      <w:r>
        <w:br/>
      </w:r>
      <w:r>
        <w:rPr>
          <w:rStyle w:val="DataTypeTok"/>
        </w:rPr>
        <w:t xml:space="preserve">temperature </w:t>
      </w:r>
      <w:r>
        <w:rPr>
          <w:rStyle w:val="OtherTok"/>
        </w:rPr>
        <w:t xml:space="preserve">=</w:t>
      </w:r>
      <w:r>
        <w:rPr>
          <w:rStyle w:val="StringTok"/>
        </w:rPr>
        <w:t xml:space="preserve"> </w:t>
      </w:r>
      <w:r>
        <w:rPr>
          <w:rStyle w:val="DecValTok"/>
        </w:rPr>
        <w:t xml:space="preserve">300</w:t>
      </w:r>
      <w:r>
        <w:br/>
      </w:r>
      <w:r>
        <w:rPr>
          <w:rStyle w:val="DataTypeTok"/>
        </w:rPr>
        <w:t xml:space="preserve">random_seed </w:t>
      </w:r>
      <w:r>
        <w:rPr>
          <w:rStyle w:val="OtherTok"/>
        </w:rPr>
        <w:t xml:space="preserve">=</w:t>
      </w:r>
      <w:r>
        <w:rPr>
          <w:rStyle w:val="StringTok"/>
        </w:rPr>
        <w:t xml:space="preserve"> </w:t>
      </w:r>
      <w:r>
        <w:rPr>
          <w:rStyle w:val="DecValTok"/>
        </w:rPr>
        <w:t xml:space="preserve">706253457</w:t>
      </w:r>
      <w:r>
        <w:br/>
      </w:r>
      <w:r>
        <w:br/>
      </w:r>
      <w:r>
        <w:rPr>
          <w:rStyle w:val="KeywordTok"/>
        </w:rPr>
        <w:t xml:space="preserve">[Potential]</w:t>
      </w:r>
      <w:r>
        <w:br/>
      </w:r>
      <w:r>
        <w:rPr>
          <w:rStyle w:val="DataTypeTok"/>
        </w:rPr>
        <w:t xml:space="preserve">potential </w:t>
      </w:r>
      <w:r>
        <w:rPr>
          <w:rStyle w:val="OtherTok"/>
        </w:rPr>
        <w:t xml:space="preserve">=</w:t>
      </w:r>
      <w:r>
        <w:rPr>
          <w:rStyle w:val="StringTok"/>
        </w:rPr>
        <w:t xml:space="preserve"> morse_pt</w:t>
      </w:r>
      <w:r>
        <w:br/>
      </w:r>
      <w:r>
        <w:br/>
      </w:r>
      <w:r>
        <w:rPr>
          <w:rStyle w:val="KeywordTok"/>
        </w:rPr>
        <w:t xml:space="preserve">[Optimizer]</w:t>
      </w:r>
      <w:r>
        <w:br/>
      </w:r>
      <w:r>
        <w:rPr>
          <w:rStyle w:val="DataTypeTok"/>
        </w:rPr>
        <w:t xml:space="preserve">converged_force </w:t>
      </w:r>
      <w:r>
        <w:rPr>
          <w:rStyle w:val="OtherTok"/>
        </w:rPr>
        <w:t xml:space="preserve">=</w:t>
      </w:r>
      <w:r>
        <w:rPr>
          <w:rStyle w:val="StringTok"/>
        </w:rPr>
        <w:t xml:space="preserve"> </w:t>
      </w:r>
      <w:r>
        <w:rPr>
          <w:rStyle w:val="FloatTok"/>
        </w:rPr>
        <w:t xml:space="preserve">0.001</w:t>
      </w:r>
      <w:r>
        <w:br/>
      </w:r>
      <w:r>
        <w:rPr>
          <w:rStyle w:val="DataTypeTok"/>
        </w:rPr>
        <w:t xml:space="preserve">max_iterations </w:t>
      </w:r>
      <w:r>
        <w:rPr>
          <w:rStyle w:val="OtherTok"/>
        </w:rPr>
        <w:t xml:space="preserve">=</w:t>
      </w:r>
      <w:r>
        <w:rPr>
          <w:rStyle w:val="StringTok"/>
        </w:rPr>
        <w:t xml:space="preserve"> </w:t>
      </w:r>
      <w:r>
        <w:rPr>
          <w:rStyle w:val="DecValTok"/>
        </w:rPr>
        <w:t xml:space="preserve">1000</w:t>
      </w:r>
      <w:r>
        <w:br/>
      </w:r>
      <w:r>
        <w:br/>
      </w:r>
      <w:r>
        <w:rPr>
          <w:rStyle w:val="KeywordTok"/>
        </w:rPr>
        <w:t xml:space="preserve">[Saddle Search]</w:t>
      </w:r>
      <w:r>
        <w:br/>
      </w:r>
      <w:r>
        <w:rPr>
          <w:rStyle w:val="DataTypeTok"/>
        </w:rPr>
        <w:t xml:space="preserve">displace_least_coordinated_weight </w:t>
      </w:r>
      <w:r>
        <w:rPr>
          <w:rStyle w:val="OtherTok"/>
        </w:rPr>
        <w:t xml:space="preserve">=</w:t>
      </w:r>
      <w:r>
        <w:rPr>
          <w:rStyle w:val="StringTok"/>
        </w:rPr>
        <w:t xml:space="preserve"> </w:t>
      </w:r>
      <w:r>
        <w:rPr>
          <w:rStyle w:val="FloatTok"/>
        </w:rPr>
        <w:t xml:space="preserve">1.0</w:t>
      </w:r>
      <w:r>
        <w:br/>
      </w:r>
      <w:r>
        <w:rPr>
          <w:rStyle w:val="DataTypeTok"/>
        </w:rPr>
        <w:t xml:space="preserve">displace_radius </w:t>
      </w:r>
      <w:r>
        <w:rPr>
          <w:rStyle w:val="OtherTok"/>
        </w:rPr>
        <w:t xml:space="preserve">=</w:t>
      </w:r>
      <w:r>
        <w:rPr>
          <w:rStyle w:val="StringTok"/>
        </w:rPr>
        <w:t xml:space="preserve"> </w:t>
      </w:r>
      <w:r>
        <w:rPr>
          <w:rStyle w:val="FloatTok"/>
        </w:rPr>
        <w:t xml:space="preserve">3.3</w:t>
      </w:r>
      <w:r>
        <w:br/>
      </w:r>
      <w:r>
        <w:rPr>
          <w:rStyle w:val="DataTypeTok"/>
        </w:rPr>
        <w:t xml:space="preserve">displace_magnitude </w:t>
      </w:r>
      <w:r>
        <w:rPr>
          <w:rStyle w:val="OtherTok"/>
        </w:rPr>
        <w:t xml:space="preserve">=</w:t>
      </w:r>
      <w:r>
        <w:rPr>
          <w:rStyle w:val="StringTok"/>
        </w:rPr>
        <w:t xml:space="preserve"> </w:t>
      </w:r>
      <w:r>
        <w:rPr>
          <w:rStyle w:val="FloatTok"/>
        </w:rPr>
        <w:t xml:space="preserve">0.01</w:t>
      </w:r>
      <w:r>
        <w:br/>
      </w:r>
      <w:r>
        <w:rPr>
          <w:rStyle w:val="DataTypeTok"/>
        </w:rPr>
        <w:t xml:space="preserve">min_mode_method </w:t>
      </w:r>
      <w:r>
        <w:rPr>
          <w:rStyle w:val="OtherTok"/>
        </w:rPr>
        <w:t xml:space="preserve">=</w:t>
      </w:r>
      <w:r>
        <w:rPr>
          <w:rStyle w:val="StringTok"/>
        </w:rPr>
        <w:t xml:space="preserve"> dimer</w:t>
      </w:r>
      <w:r>
        <w:br/>
      </w:r>
      <w:r>
        <w:rPr>
          <w:rStyle w:val="DataTypeTok"/>
        </w:rPr>
        <w:t xml:space="preserve">max_energy </w:t>
      </w:r>
      <w:r>
        <w:rPr>
          <w:rStyle w:val="OtherTok"/>
        </w:rPr>
        <w:t xml:space="preserve">=</w:t>
      </w:r>
      <w:r>
        <w:rPr>
          <w:rStyle w:val="StringTok"/>
        </w:rPr>
        <w:t xml:space="preserve"> </w:t>
      </w:r>
      <w:r>
        <w:rPr>
          <w:rStyle w:val="FloatTok"/>
        </w:rPr>
        <w:t xml:space="preserve">10.0</w:t>
      </w:r>
    </w:p>
    <w:p>
      <w:pPr>
        <w:numPr>
          <w:ilvl w:val="0"/>
          <w:numId w:val="1010"/>
        </w:numPr>
      </w:pPr>
      <w:r>
        <w:t xml:space="preserve">AMS Interface</w:t>
      </w:r>
      <w:r>
        <w:t xml:space="preserve"> </w:t>
      </w:r>
      <w:bookmarkStart w:id="22" w:name="sec:org0359ca0"/>
      <w:r>
        <w:t xml:space="preserve">[sec:org0359ca0]</w:t>
      </w:r>
      <w:bookmarkEnd w:id="22"/>
    </w:p>
    <w:p>
      <w:pPr>
        <w:numPr>
          <w:ilvl w:val="0"/>
          <w:numId w:val="1000"/>
        </w:numPr>
        <w:pStyle w:val="SourceCode"/>
      </w:pPr>
      <w:r>
        <w:rPr>
          <w:rStyle w:val="KeywordTok"/>
        </w:rPr>
        <w:t xml:space="preserve">[AMS]</w:t>
      </w:r>
      <w:r>
        <w:br/>
      </w:r>
      <w:r>
        <w:rPr>
          <w:rStyle w:val="DataTypeTok"/>
        </w:rPr>
        <w:t xml:space="preserve">engine </w:t>
      </w:r>
      <w:r>
        <w:rPr>
          <w:rStyle w:val="OtherTok"/>
        </w:rPr>
        <w:t xml:space="preserve">=</w:t>
      </w:r>
      <w:r>
        <w:rPr>
          <w:rStyle w:val="StringTok"/>
        </w:rPr>
        <w:t xml:space="preserve"> ADF</w:t>
      </w:r>
      <w:r>
        <w:br/>
      </w:r>
      <w:r>
        <w:rPr>
          <w:rStyle w:val="DataTypeTok"/>
        </w:rPr>
        <w:t xml:space="preserve">xc </w:t>
      </w:r>
      <w:r>
        <w:rPr>
          <w:rStyle w:val="OtherTok"/>
        </w:rPr>
        <w:t xml:space="preserve">=</w:t>
      </w:r>
      <w:r>
        <w:rPr>
          <w:rStyle w:val="StringTok"/>
        </w:rPr>
        <w:t xml:space="preserve"> B3LYP</w:t>
      </w:r>
    </w:p>
    <w:p>
      <w:pPr>
        <w:numPr>
          <w:ilvl w:val="0"/>
          <w:numId w:val="1000"/>
        </w:numPr>
      </w:pPr>
      <w:r>
        <w:t xml:space="preserve">The current implementation uses an I/O pipe and supports any of the engines exposed by AMS; however efforts to use the standard</w:t>
      </w:r>
      <w:r>
        <w:t xml:space="preserve"> </w:t>
      </w:r>
      <w:hyperlink r:id="rId23">
        <w:r>
          <w:rPr>
            <w:rStyle w:val="Hyperlink"/>
          </w:rPr>
          <w:t xml:space="preserve">AMSpipe protocol</w:t>
        </w:r>
      </w:hyperlink>
      <w:r>
        <w:t xml:space="preserve"> </w:t>
      </w:r>
      <w:r>
        <w:t xml:space="preserve">for AMS are ongoing.</w:t>
      </w:r>
    </w:p>
    <w:p>
      <w:pPr>
        <w:numPr>
          <w:ilvl w:val="0"/>
          <w:numId w:val="1010"/>
        </w:numPr>
      </w:pPr>
      <w:r>
        <w:t xml:space="preserve">GPR Dimer</w:t>
      </w:r>
      <w:r>
        <w:t xml:space="preserve"> </w:t>
      </w:r>
      <w:bookmarkStart w:id="24" w:name="sec:org06aa243"/>
      <w:r>
        <w:t xml:space="preserve">[sec:org06aa243]</w:t>
      </w:r>
      <w:bookmarkEnd w:id="24"/>
      <w:r>
        <w:t xml:space="preserve"> </w:t>
      </w:r>
      <w:r>
        <w:t xml:space="preserve">The interface through EON augments the existing</w:t>
      </w:r>
      <w:r>
        <w:t xml:space="preserve"> </w:t>
      </w:r>
      <w:r>
        <w:rPr>
          <w:rStyle w:val="VerbatimChar"/>
        </w:rPr>
        <w:t xml:space="preserve">conf.ini</w:t>
      </w:r>
      <w:r>
        <w:t xml:space="preserve"> </w:t>
      </w:r>
      <w:r>
        <w:t xml:space="preserve">file with the following GPR specific parameters.</w:t>
      </w:r>
    </w:p>
    <w:p>
      <w:pPr>
        <w:numPr>
          <w:ilvl w:val="0"/>
          <w:numId w:val="1000"/>
        </w:numPr>
        <w:pStyle w:val="SourceCode"/>
      </w:pPr>
      <w:r>
        <w:rPr>
          <w:rStyle w:val="KeywordTok"/>
        </w:rPr>
        <w:t xml:space="preserve">[GPR Dimer]</w:t>
      </w:r>
      <w:r>
        <w:br/>
      </w:r>
      <w:r>
        <w:rPr>
          <w:rStyle w:val="DataTypeTok"/>
        </w:rPr>
        <w:t xml:space="preserve">finite_angle </w:t>
      </w:r>
      <w:r>
        <w:rPr>
          <w:rStyle w:val="OtherTok"/>
        </w:rPr>
        <w:t xml:space="preserve">=</w:t>
      </w:r>
      <w:r>
        <w:rPr>
          <w:rStyle w:val="StringTok"/>
        </w:rPr>
        <w:t xml:space="preserve"> </w:t>
      </w:r>
      <w:r>
        <w:rPr>
          <w:rStyle w:val="FloatTok"/>
        </w:rPr>
        <w:t xml:space="preserve">0.05</w:t>
      </w:r>
      <w:r>
        <w:br/>
      </w:r>
      <w:r>
        <w:rPr>
          <w:rStyle w:val="DataTypeTok"/>
        </w:rPr>
        <w:t xml:space="preserve">converged_angle </w:t>
      </w:r>
      <w:r>
        <w:rPr>
          <w:rStyle w:val="OtherTok"/>
        </w:rPr>
        <w:t xml:space="preserve">=</w:t>
      </w:r>
      <w:r>
        <w:rPr>
          <w:rStyle w:val="StringTok"/>
        </w:rPr>
        <w:t xml:space="preserve"> </w:t>
      </w:r>
      <w:r>
        <w:rPr>
          <w:rStyle w:val="FloatTok"/>
        </w:rPr>
        <w:t xml:space="preserve">0.0873</w:t>
      </w:r>
      <w:r>
        <w:br/>
      </w:r>
      <w:r>
        <w:rPr>
          <w:rStyle w:val="DataTypeTok"/>
        </w:rPr>
        <w:t xml:space="preserve">relaxation_converged_angle </w:t>
      </w:r>
      <w:r>
        <w:rPr>
          <w:rStyle w:val="OtherTok"/>
        </w:rPr>
        <w:t xml:space="preserve">=</w:t>
      </w:r>
      <w:r>
        <w:rPr>
          <w:rStyle w:val="StringTok"/>
        </w:rPr>
        <w:t xml:space="preserve"> </w:t>
      </w:r>
      <w:r>
        <w:rPr>
          <w:rStyle w:val="FloatTok"/>
        </w:rPr>
        <w:t xml:space="preserve">0.01</w:t>
      </w:r>
      <w:r>
        <w:br/>
      </w:r>
      <w:r>
        <w:rPr>
          <w:rStyle w:val="DataTypeTok"/>
        </w:rPr>
        <w:t xml:space="preserve">max_initial_rotation_iterations </w:t>
      </w:r>
      <w:r>
        <w:rPr>
          <w:rStyle w:val="OtherTok"/>
        </w:rPr>
        <w:t xml:space="preserve">=</w:t>
      </w:r>
      <w:r>
        <w:rPr>
          <w:rStyle w:val="StringTok"/>
        </w:rPr>
        <w:t xml:space="preserve"> </w:t>
      </w:r>
      <w:r>
        <w:rPr>
          <w:rStyle w:val="DecValTok"/>
        </w:rPr>
        <w:t xml:space="preserve">6</w:t>
      </w:r>
      <w:r>
        <w:br/>
      </w:r>
      <w:r>
        <w:rPr>
          <w:rStyle w:val="DataTypeTok"/>
        </w:rPr>
        <w:t xml:space="preserve">max_relaxation_rotation_iterations </w:t>
      </w:r>
      <w:r>
        <w:rPr>
          <w:rStyle w:val="OtherTok"/>
        </w:rPr>
        <w:t xml:space="preserve">=</w:t>
      </w:r>
      <w:r>
        <w:rPr>
          <w:rStyle w:val="StringTok"/>
        </w:rPr>
        <w:t xml:space="preserve"> </w:t>
      </w:r>
      <w:r>
        <w:rPr>
          <w:rStyle w:val="DecValTok"/>
        </w:rPr>
        <w:t xml:space="preserve">10</w:t>
      </w:r>
      <w:r>
        <w:br/>
      </w:r>
      <w:r>
        <w:rPr>
          <w:rStyle w:val="DataTypeTok"/>
        </w:rPr>
        <w:t xml:space="preserve">divisor_t_dimer </w:t>
      </w:r>
      <w:r>
        <w:rPr>
          <w:rStyle w:val="OtherTok"/>
        </w:rPr>
        <w:t xml:space="preserve">=</w:t>
      </w:r>
      <w:r>
        <w:rPr>
          <w:rStyle w:val="StringTok"/>
        </w:rPr>
        <w:t xml:space="preserve"> </w:t>
      </w:r>
      <w:r>
        <w:rPr>
          <w:rStyle w:val="DecValTok"/>
        </w:rPr>
        <w:t xml:space="preserve">10</w:t>
      </w:r>
      <w:r>
        <w:br/>
      </w:r>
      <w:r>
        <w:rPr>
          <w:rStyle w:val="DataTypeTok"/>
        </w:rPr>
        <w:t xml:space="preserve">max_outer_iterations </w:t>
      </w:r>
      <w:r>
        <w:rPr>
          <w:rStyle w:val="OtherTok"/>
        </w:rPr>
        <w:t xml:space="preserve">=</w:t>
      </w:r>
      <w:r>
        <w:rPr>
          <w:rStyle w:val="StringTok"/>
        </w:rPr>
        <w:t xml:space="preserve">  </w:t>
      </w:r>
      <w:r>
        <w:rPr>
          <w:rStyle w:val="DecValTok"/>
        </w:rPr>
        <w:t xml:space="preserve">300</w:t>
      </w:r>
      <w:r>
        <w:br/>
      </w:r>
      <w:r>
        <w:rPr>
          <w:rStyle w:val="DataTypeTok"/>
        </w:rPr>
        <w:t xml:space="preserve">max_inner_iterations </w:t>
      </w:r>
      <w:r>
        <w:rPr>
          <w:rStyle w:val="OtherTok"/>
        </w:rPr>
        <w:t xml:space="preserve">=</w:t>
      </w:r>
      <w:r>
        <w:rPr>
          <w:rStyle w:val="StringTok"/>
        </w:rPr>
        <w:t xml:space="preserve"> </w:t>
      </w:r>
      <w:r>
        <w:rPr>
          <w:rStyle w:val="DecValTok"/>
        </w:rPr>
        <w:t xml:space="preserve">1000</w:t>
      </w:r>
      <w:r>
        <w:br/>
      </w:r>
      <w:r>
        <w:rPr>
          <w:rStyle w:val="DataTypeTok"/>
        </w:rPr>
        <w:t xml:space="preserve">max_midpoint_displacement </w:t>
      </w:r>
      <w:r>
        <w:rPr>
          <w:rStyle w:val="OtherTok"/>
        </w:rPr>
        <w:t xml:space="preserve">=</w:t>
      </w:r>
      <w:r>
        <w:rPr>
          <w:rStyle w:val="StringTok"/>
        </w:rPr>
        <w:t xml:space="preserve"> </w:t>
      </w:r>
      <w:r>
        <w:rPr>
          <w:rStyle w:val="FloatTok"/>
        </w:rPr>
        <w:t xml:space="preserve">0.5</w:t>
      </w:r>
      <w:r>
        <w:br/>
      </w:r>
      <w:r>
        <w:rPr>
          <w:rStyle w:val="DataTypeTok"/>
        </w:rPr>
        <w:t xml:space="preserve">rotation_opt_method </w:t>
      </w:r>
      <w:r>
        <w:rPr>
          <w:rStyle w:val="OtherTok"/>
        </w:rPr>
        <w:t xml:space="preserve">=</w:t>
      </w:r>
      <w:r>
        <w:rPr>
          <w:rStyle w:val="StringTok"/>
        </w:rPr>
        <w:t xml:space="preserve"> "lbfgs"</w:t>
      </w:r>
      <w:r>
        <w:br/>
      </w:r>
      <w:r>
        <w:rPr>
          <w:rStyle w:val="DataTypeTok"/>
        </w:rPr>
        <w:t xml:space="preserve">translation_opt_method </w:t>
      </w:r>
      <w:r>
        <w:rPr>
          <w:rStyle w:val="OtherTok"/>
        </w:rPr>
        <w:t xml:space="preserve">=</w:t>
      </w:r>
      <w:r>
        <w:rPr>
          <w:rStyle w:val="StringTok"/>
        </w:rPr>
        <w:t xml:space="preserve"> "lbfgs"</w:t>
      </w:r>
      <w:r>
        <w:br/>
      </w:r>
      <w:r>
        <w:rPr>
          <w:rStyle w:val="DataTypeTok"/>
        </w:rPr>
        <w:t xml:space="preserve">inner_opt </w:t>
      </w:r>
      <w:r>
        <w:rPr>
          <w:rStyle w:val="OtherTok"/>
        </w:rPr>
        <w:t xml:space="preserve">=</w:t>
      </w:r>
      <w:r>
        <w:rPr>
          <w:rStyle w:val="StringTok"/>
        </w:rPr>
        <w:t xml:space="preserve"> "dimer"</w:t>
      </w:r>
      <w:r>
        <w:br/>
      </w:r>
      <w:r>
        <w:rPr>
          <w:rStyle w:val="DataTypeTok"/>
        </w:rPr>
        <w:t xml:space="preserve">active_radius </w:t>
      </w:r>
      <w:r>
        <w:rPr>
          <w:rStyle w:val="OtherTok"/>
        </w:rPr>
        <w:t xml:space="preserve">=</w:t>
      </w:r>
      <w:r>
        <w:rPr>
          <w:rStyle w:val="StringTok"/>
        </w:rPr>
        <w:t xml:space="preserve"> </w:t>
      </w:r>
      <w:r>
        <w:rPr>
          <w:rStyle w:val="FloatTok"/>
        </w:rPr>
        <w:t xml:space="preserve">10.0</w:t>
      </w:r>
      <w:r>
        <w:br/>
      </w:r>
      <w:r>
        <w:rPr>
          <w:rStyle w:val="DataTypeTok"/>
        </w:rPr>
        <w:t xml:space="preserve">dimer_separation </w:t>
      </w:r>
      <w:r>
        <w:rPr>
          <w:rStyle w:val="OtherTok"/>
        </w:rPr>
        <w:t xml:space="preserve">=</w:t>
      </w:r>
      <w:r>
        <w:rPr>
          <w:rStyle w:val="StringTok"/>
        </w:rPr>
        <w:t xml:space="preserve"> </w:t>
      </w:r>
      <w:r>
        <w:rPr>
          <w:rStyle w:val="FloatTok"/>
        </w:rPr>
        <w:t xml:space="preserve">0.01</w:t>
      </w:r>
      <w:r>
        <w:br/>
      </w:r>
      <w:r>
        <w:rPr>
          <w:rStyle w:val="DataTypeTok"/>
        </w:rPr>
        <w:t xml:space="preserve">convex_region_step_size </w:t>
      </w:r>
      <w:r>
        <w:rPr>
          <w:rStyle w:val="OtherTok"/>
        </w:rPr>
        <w:t xml:space="preserve">=</w:t>
      </w:r>
      <w:r>
        <w:rPr>
          <w:rStyle w:val="StringTok"/>
        </w:rPr>
        <w:t xml:space="preserve"> </w:t>
      </w:r>
      <w:r>
        <w:rPr>
          <w:rStyle w:val="FloatTok"/>
        </w:rPr>
        <w:t xml:space="preserve">0.1</w:t>
      </w:r>
      <w:r>
        <w:br/>
      </w:r>
      <w:r>
        <w:rPr>
          <w:rStyle w:val="DataTypeTok"/>
        </w:rPr>
        <w:t xml:space="preserve">max_step_size </w:t>
      </w:r>
      <w:r>
        <w:rPr>
          <w:rStyle w:val="OtherTok"/>
        </w:rPr>
        <w:t xml:space="preserve">=</w:t>
      </w:r>
      <w:r>
        <w:rPr>
          <w:rStyle w:val="StringTok"/>
        </w:rPr>
        <w:t xml:space="preserve"> </w:t>
      </w:r>
      <w:r>
        <w:rPr>
          <w:rStyle w:val="FloatTok"/>
        </w:rPr>
        <w:t xml:space="preserve">0.1</w:t>
      </w:r>
      <w:r>
        <w:br/>
      </w:r>
      <w:r>
        <w:rPr>
          <w:rStyle w:val="DataTypeTok"/>
        </w:rPr>
        <w:t xml:space="preserve">force_threshold </w:t>
      </w:r>
      <w:r>
        <w:rPr>
          <w:rStyle w:val="OtherTok"/>
        </w:rPr>
        <w:t xml:space="preserve">=</w:t>
      </w:r>
      <w:r>
        <w:rPr>
          <w:rStyle w:val="StringTok"/>
        </w:rPr>
        <w:t xml:space="preserve"> </w:t>
      </w:r>
      <w:r>
        <w:rPr>
          <w:rStyle w:val="FloatTok"/>
        </w:rPr>
        <w:t xml:space="preserve">0.001</w:t>
      </w:r>
      <w:r>
        <w:br/>
      </w:r>
      <w:r>
        <w:rPr>
          <w:rStyle w:val="DataTypeTok"/>
        </w:rPr>
        <w:t xml:space="preserve">ratio_at_limit </w:t>
      </w:r>
      <w:r>
        <w:rPr>
          <w:rStyle w:val="OtherTok"/>
        </w:rPr>
        <w:t xml:space="preserve">=</w:t>
      </w:r>
      <w:r>
        <w:rPr>
          <w:rStyle w:val="StringTok"/>
        </w:rPr>
        <w:t xml:space="preserve"> </w:t>
      </w:r>
      <w:r>
        <w:rPr>
          <w:rStyle w:val="FloatTok"/>
        </w:rPr>
        <w:t xml:space="preserve">0.666666666667</w:t>
      </w:r>
      <w:r>
        <w:br/>
      </w:r>
      <w:r>
        <w:rPr>
          <w:rStyle w:val="DataTypeTok"/>
        </w:rPr>
        <w:t xml:space="preserve">nogp_initial_rotations </w:t>
      </w:r>
      <w:r>
        <w:rPr>
          <w:rStyle w:val="OtherTok"/>
        </w:rPr>
        <w:t xml:space="preserve">=</w:t>
      </w:r>
      <w:r>
        <w:rPr>
          <w:rStyle w:val="StringTok"/>
        </w:rPr>
        <w:t xml:space="preserve"> </w:t>
      </w:r>
      <w:r>
        <w:rPr>
          <w:rStyle w:val="KeywordTok"/>
        </w:rPr>
        <w:t xml:space="preserve">true</w:t>
      </w:r>
      <w:r>
        <w:br/>
      </w:r>
      <w:r>
        <w:rPr>
          <w:rStyle w:val="DataTypeTok"/>
        </w:rPr>
        <w:t xml:space="preserve">has_many_iterations </w:t>
      </w:r>
      <w:r>
        <w:rPr>
          <w:rStyle w:val="OtherTok"/>
        </w:rPr>
        <w:t xml:space="preserve">=</w:t>
      </w:r>
      <w:r>
        <w:rPr>
          <w:rStyle w:val="StringTok"/>
        </w:rPr>
        <w:t xml:space="preserve"> </w:t>
      </w:r>
      <w:r>
        <w:rPr>
          <w:rStyle w:val="KeywordTok"/>
        </w:rPr>
        <w:t xml:space="preserve">true</w:t>
      </w:r>
      <w:r>
        <w:br/>
      </w:r>
      <w:r>
        <w:rPr>
          <w:rStyle w:val="DataTypeTok"/>
        </w:rPr>
        <w:t xml:space="preserve">hyperparameter_opt_method </w:t>
      </w:r>
      <w:r>
        <w:rPr>
          <w:rStyle w:val="OtherTok"/>
        </w:rPr>
        <w:t xml:space="preserve">=</w:t>
      </w:r>
      <w:r>
        <w:rPr>
          <w:rStyle w:val="StringTok"/>
        </w:rPr>
        <w:t xml:space="preserve"> "scg"</w:t>
      </w:r>
      <w:r>
        <w:br/>
      </w:r>
      <w:r>
        <w:rPr>
          <w:rStyle w:val="DataTypeTok"/>
        </w:rPr>
        <w:t xml:space="preserve">gpr_variance </w:t>
      </w:r>
      <w:r>
        <w:rPr>
          <w:rStyle w:val="OtherTok"/>
        </w:rPr>
        <w:t xml:space="preserve">=</w:t>
      </w:r>
      <w:r>
        <w:rPr>
          <w:rStyle w:val="StringTok"/>
        </w:rPr>
        <w:t xml:space="preserve"> </w:t>
      </w:r>
      <w:r>
        <w:rPr>
          <w:rStyle w:val="FloatTok"/>
        </w:rPr>
        <w:t xml:space="preserve">1e-7</w:t>
      </w:r>
      <w:r>
        <w:br/>
      </w:r>
      <w:r>
        <w:rPr>
          <w:rStyle w:val="DataTypeTok"/>
        </w:rPr>
        <w:t xml:space="preserve">gpr_noise_variance </w:t>
      </w:r>
      <w:r>
        <w:rPr>
          <w:rStyle w:val="OtherTok"/>
        </w:rPr>
        <w:t xml:space="preserve">=</w:t>
      </w:r>
      <w:r>
        <w:rPr>
          <w:rStyle w:val="StringTok"/>
        </w:rPr>
        <w:t xml:space="preserve"> </w:t>
      </w:r>
      <w:r>
        <w:rPr>
          <w:rStyle w:val="FloatTok"/>
        </w:rPr>
        <w:t xml:space="preserve">1e-5</w:t>
      </w:r>
      <w:r>
        <w:br/>
      </w:r>
      <w:r>
        <w:rPr>
          <w:rStyle w:val="DataTypeTok"/>
        </w:rPr>
        <w:t xml:space="preserve">prior_mean </w:t>
      </w:r>
      <w:r>
        <w:rPr>
          <w:rStyle w:val="OtherTok"/>
        </w:rPr>
        <w:t xml:space="preserve">=</w:t>
      </w:r>
      <w:r>
        <w:rPr>
          <w:rStyle w:val="StringTok"/>
        </w:rPr>
        <w:t xml:space="preserve"> </w:t>
      </w:r>
      <w:r>
        <w:rPr>
          <w:rStyle w:val="FloatTok"/>
        </w:rPr>
        <w:t xml:space="preserve">0.0</w:t>
      </w:r>
      <w:r>
        <w:br/>
      </w:r>
      <w:r>
        <w:rPr>
          <w:rStyle w:val="DataTypeTok"/>
        </w:rPr>
        <w:t xml:space="preserve">prior_variance </w:t>
      </w:r>
      <w:r>
        <w:rPr>
          <w:rStyle w:val="OtherTok"/>
        </w:rPr>
        <w:t xml:space="preserve">=</w:t>
      </w:r>
      <w:r>
        <w:rPr>
          <w:rStyle w:val="StringTok"/>
        </w:rPr>
        <w:t xml:space="preserve"> </w:t>
      </w:r>
      <w:r>
        <w:rPr>
          <w:rStyle w:val="FloatTok"/>
        </w:rPr>
        <w:t xml:space="preserve">1.0</w:t>
      </w:r>
      <w:r>
        <w:br/>
      </w:r>
      <w:r>
        <w:rPr>
          <w:rStyle w:val="DataTypeTok"/>
        </w:rPr>
        <w:t xml:space="preserve">prior_degrees_of_freedom </w:t>
      </w:r>
      <w:r>
        <w:rPr>
          <w:rStyle w:val="OtherTok"/>
        </w:rPr>
        <w:t xml:space="preserve">=</w:t>
      </w:r>
      <w:r>
        <w:rPr>
          <w:rStyle w:val="StringTok"/>
        </w:rPr>
        <w:t xml:space="preserve"> </w:t>
      </w:r>
      <w:r>
        <w:rPr>
          <w:rStyle w:val="DecValTok"/>
        </w:rPr>
        <w:t xml:space="preserve">20</w:t>
      </w:r>
      <w:r>
        <w:br/>
      </w:r>
      <w:r>
        <w:rPr>
          <w:rStyle w:val="CommentTok"/>
        </w:rPr>
        <w:t xml:space="preserve"># OPT parameters</w:t>
      </w:r>
      <w:r>
        <w:br/>
      </w:r>
      <w:r>
        <w:rPr>
          <w:rStyle w:val="DataTypeTok"/>
        </w:rPr>
        <w:t xml:space="preserve">opt_max_iterations </w:t>
      </w:r>
      <w:r>
        <w:rPr>
          <w:rStyle w:val="OtherTok"/>
        </w:rPr>
        <w:t xml:space="preserve">=</w:t>
      </w:r>
      <w:r>
        <w:rPr>
          <w:rStyle w:val="StringTok"/>
        </w:rPr>
        <w:t xml:space="preserve"> </w:t>
      </w:r>
      <w:r>
        <w:rPr>
          <w:rStyle w:val="DecValTok"/>
        </w:rPr>
        <w:t xml:space="preserve">400</w:t>
      </w:r>
      <w:r>
        <w:br/>
      </w:r>
      <w:r>
        <w:rPr>
          <w:rStyle w:val="DataTypeTok"/>
        </w:rPr>
        <w:t xml:space="preserve">opt_tol_sol </w:t>
      </w:r>
      <w:r>
        <w:rPr>
          <w:rStyle w:val="OtherTok"/>
        </w:rPr>
        <w:t xml:space="preserve">=</w:t>
      </w:r>
      <w:r>
        <w:rPr>
          <w:rStyle w:val="StringTok"/>
        </w:rPr>
        <w:t xml:space="preserve"> </w:t>
      </w:r>
      <w:r>
        <w:rPr>
          <w:rStyle w:val="FloatTok"/>
        </w:rPr>
        <w:t xml:space="preserve">0.001</w:t>
      </w:r>
      <w:r>
        <w:br/>
      </w:r>
      <w:r>
        <w:rPr>
          <w:rStyle w:val="DataTypeTok"/>
        </w:rPr>
        <w:t xml:space="preserve">opt_lambda_limit </w:t>
      </w:r>
      <w:r>
        <w:rPr>
          <w:rStyle w:val="OtherTok"/>
        </w:rPr>
        <w:t xml:space="preserve">=</w:t>
      </w:r>
      <w:r>
        <w:rPr>
          <w:rStyle w:val="StringTok"/>
        </w:rPr>
        <w:t xml:space="preserve"> </w:t>
      </w:r>
      <w:r>
        <w:rPr>
          <w:rStyle w:val="FloatTok"/>
        </w:rPr>
        <w:t xml:space="preserve">1e16</w:t>
      </w:r>
      <w:r>
        <w:br/>
      </w:r>
      <w:r>
        <w:rPr>
          <w:rStyle w:val="DataTypeTok"/>
        </w:rPr>
        <w:t xml:space="preserve">opt_lambda_init </w:t>
      </w:r>
      <w:r>
        <w:rPr>
          <w:rStyle w:val="OtherTok"/>
        </w:rPr>
        <w:t xml:space="preserve">=</w:t>
      </w:r>
      <w:r>
        <w:rPr>
          <w:rStyle w:val="StringTok"/>
        </w:rPr>
        <w:t xml:space="preserve"> </w:t>
      </w:r>
      <w:r>
        <w:rPr>
          <w:rStyle w:val="DecValTok"/>
        </w:rPr>
        <w:t xml:space="preserve">100</w:t>
      </w:r>
      <w:r>
        <w:br/>
      </w:r>
      <w:r>
        <w:rPr>
          <w:rStyle w:val="DataTypeTok"/>
        </w:rPr>
        <w:t xml:space="preserve">gpr_jitter_variance </w:t>
      </w:r>
      <w:r>
        <w:rPr>
          <w:rStyle w:val="OtherTok"/>
        </w:rPr>
        <w:t xml:space="preserve">=</w:t>
      </w:r>
      <w:r>
        <w:rPr>
          <w:rStyle w:val="StringTok"/>
        </w:rPr>
        <w:t xml:space="preserve"> </w:t>
      </w:r>
      <w:r>
        <w:rPr>
          <w:rStyle w:val="DecValTok"/>
        </w:rPr>
        <w:t xml:space="preserve">0</w:t>
      </w:r>
      <w:r>
        <w:br/>
      </w:r>
      <w:r>
        <w:rPr>
          <w:rStyle w:val="CommentTok"/>
        </w:rPr>
        <w:t xml:space="preserve"># OPT parameters</w:t>
      </w:r>
      <w:r>
        <w:br/>
      </w:r>
      <w:r>
        <w:rPr>
          <w:rStyle w:val="DataTypeTok"/>
        </w:rPr>
        <w:t xml:space="preserve">opt_max_iterations </w:t>
      </w:r>
      <w:r>
        <w:rPr>
          <w:rStyle w:val="OtherTok"/>
        </w:rPr>
        <w:t xml:space="preserve">=</w:t>
      </w:r>
      <w:r>
        <w:rPr>
          <w:rStyle w:val="StringTok"/>
        </w:rPr>
        <w:t xml:space="preserve"> </w:t>
      </w:r>
      <w:r>
        <w:rPr>
          <w:rStyle w:val="DecValTok"/>
        </w:rPr>
        <w:t xml:space="preserve">400</w:t>
      </w:r>
      <w:r>
        <w:br/>
      </w:r>
      <w:r>
        <w:rPr>
          <w:rStyle w:val="DataTypeTok"/>
        </w:rPr>
        <w:t xml:space="preserve">opt_tol_sol </w:t>
      </w:r>
      <w:r>
        <w:rPr>
          <w:rStyle w:val="OtherTok"/>
        </w:rPr>
        <w:t xml:space="preserve">=</w:t>
      </w:r>
      <w:r>
        <w:rPr>
          <w:rStyle w:val="StringTok"/>
        </w:rPr>
        <w:t xml:space="preserve"> </w:t>
      </w:r>
      <w:r>
        <w:rPr>
          <w:rStyle w:val="FloatTok"/>
        </w:rPr>
        <w:t xml:space="preserve">0.001</w:t>
      </w:r>
      <w:r>
        <w:br/>
      </w:r>
      <w:r>
        <w:rPr>
          <w:rStyle w:val="DataTypeTok"/>
        </w:rPr>
        <w:t xml:space="preserve">opt_lambda_limit </w:t>
      </w:r>
      <w:r>
        <w:rPr>
          <w:rStyle w:val="OtherTok"/>
        </w:rPr>
        <w:t xml:space="preserve">=</w:t>
      </w:r>
      <w:r>
        <w:rPr>
          <w:rStyle w:val="StringTok"/>
        </w:rPr>
        <w:t xml:space="preserve"> </w:t>
      </w:r>
      <w:r>
        <w:rPr>
          <w:rStyle w:val="FloatTok"/>
        </w:rPr>
        <w:t xml:space="preserve">1e16</w:t>
      </w:r>
      <w:r>
        <w:br/>
      </w:r>
      <w:r>
        <w:rPr>
          <w:rStyle w:val="DataTypeTok"/>
        </w:rPr>
        <w:t xml:space="preserve">opt_lambda_init </w:t>
      </w:r>
      <w:r>
        <w:rPr>
          <w:rStyle w:val="OtherTok"/>
        </w:rPr>
        <w:t xml:space="preserve">=</w:t>
      </w:r>
      <w:r>
        <w:rPr>
          <w:rStyle w:val="StringTok"/>
        </w:rPr>
        <w:t xml:space="preserve"> </w:t>
      </w:r>
      <w:r>
        <w:rPr>
          <w:rStyle w:val="DecValTok"/>
        </w:rPr>
        <w:t xml:space="preserve">100</w:t>
      </w:r>
      <w:r>
        <w:br/>
      </w:r>
      <w:r>
        <w:rPr>
          <w:rStyle w:val="DataTypeTok"/>
        </w:rPr>
        <w:t xml:space="preserve">gpr_jitter_variance </w:t>
      </w:r>
      <w:r>
        <w:rPr>
          <w:rStyle w:val="OtherTok"/>
        </w:rPr>
        <w:t xml:space="preserve">=</w:t>
      </w:r>
      <w:r>
        <w:rPr>
          <w:rStyle w:val="StringTok"/>
        </w:rPr>
        <w:t xml:space="preserve"> </w:t>
      </w:r>
      <w:r>
        <w:rPr>
          <w:rStyle w:val="DecValTok"/>
        </w:rPr>
        <w:t xml:space="preserve">0</w:t>
      </w:r>
    </w:p>
    <w:p>
      <w:pPr>
        <w:numPr>
          <w:ilvl w:val="0"/>
          <w:numId w:val="1000"/>
        </w:numPr>
      </w:pPr>
      <w:r>
        <w:t xml:space="preserve">Additionally, we have implemented debugging levels in the code for ease of visualization; which are able to generate snapshots of the GPR surface after each call to the true energy and forces (by exhaustively calculating energies over a user defined grid of points around moving atoms) for one dimensional systems.</w:t>
      </w:r>
    </w:p>
    <w:bookmarkEnd w:id="25"/>
    <w:bookmarkEnd w:id="26"/>
    <w:bookmarkEnd w:id="27"/>
    <w:bookmarkStart w:id="28" w:name="sec:org514356a"/>
    <w:p>
      <w:pPr>
        <w:pStyle w:val="Heading1"/>
      </w:pPr>
      <w:r>
        <w:t xml:space="preserve">GPR Model</w:t>
      </w:r>
    </w:p>
    <w:p>
      <w:pPr>
        <w:pStyle w:val="FirstParagraph"/>
      </w:pPr>
      <w:r>
        <w:t xml:space="preserve">The basis.</w:t>
      </w:r>
    </w:p>
    <w:bookmarkEnd w:id="28"/>
    <w:bookmarkStart w:id="54" w:name="sec:org0c01131"/>
    <w:p>
      <w:pPr>
        <w:pStyle w:val="Heading1"/>
      </w:pPr>
      <w:r>
        <w:rPr>
          <w:bCs/>
          <w:b/>
        </w:rPr>
        <w:t xml:space="preserve">TODO</w:t>
      </w:r>
      <w:r>
        <w:t xml:space="preserve"> </w:t>
      </w:r>
      <w:r>
        <w:t xml:space="preserve">Toy Systems</w:t>
      </w:r>
    </w:p>
    <w:p>
      <w:pPr>
        <w:pStyle w:val="FirstParagraph"/>
      </w:pPr>
      <w:r>
        <w:t xml:space="preserve">These include standard benchmarks for the minimum mode saddle search problems in general.</w:t>
      </w:r>
    </w:p>
    <w:bookmarkStart w:id="29" w:name="sec:orgdc14c45"/>
    <w:p>
      <w:pPr>
        <w:pStyle w:val="Heading2"/>
      </w:pPr>
      <w:r>
        <w:rPr>
          <w:bCs/>
          <w:b/>
        </w:rPr>
        <w:t xml:space="preserve">TODO</w:t>
      </w:r>
      <w:r>
        <w:t xml:space="preserve"> </w:t>
      </w:r>
      <w:r>
        <w:t xml:space="preserve">Hydrogen Adatom on Copper</w:t>
      </w:r>
    </w:p>
    <w:p>
      <w:pPr>
        <w:pStyle w:val="FirstParagraph"/>
      </w:pPr>
      <w:r>
        <w:t xml:space="preserve">This system was used for porting the code from MATLAB. The C++ code runs</w:t>
      </w:r>
      <w:r>
        <w:t xml:space="preserve"> </w:t>
      </w:r>
      <w:r>
        <w:rPr>
          <w:rStyle w:val="VerbatimChar"/>
        </w:rPr>
        <w:t xml:space="preserve">10x</w:t>
      </w:r>
      <w:r>
        <w:t xml:space="preserve"> </w:t>
      </w:r>
      <w:r>
        <w:t xml:space="preserve">faster than the MATLAB code.</w:t>
      </w:r>
    </w:p>
    <w:bookmarkEnd w:id="29"/>
    <w:bookmarkStart w:id="53" w:name="sec:org13287d7"/>
    <w:p>
      <w:pPr>
        <w:pStyle w:val="Heading2"/>
      </w:pPr>
      <w:r>
        <w:rPr>
          <w:bCs/>
          <w:b/>
        </w:rPr>
        <w:t xml:space="preserve">DONE</w:t>
      </w:r>
      <w:r>
        <w:t xml:space="preserve"> </w:t>
      </w:r>
      <w:r>
        <w:t xml:space="preserve">Platinum Adatom on Platinum</w:t>
      </w:r>
    </w:p>
    <w:p>
      <w:pPr>
        <w:pStyle w:val="FirstParagraph"/>
      </w:pPr>
      <w:r>
        <w:t xml:space="preserve">Chronologically the first system tested with EON. The system has some pleasant qualities which make it easy to work and test:</w:t>
      </w:r>
    </w:p>
    <w:p>
      <w:pPr>
        <w:numPr>
          <w:ilvl w:val="0"/>
          <w:numId w:val="1011"/>
        </w:numPr>
      </w:pPr>
      <w:r>
        <w:t xml:space="preserve">Easy control of the degrees of freedom</w:t>
      </w:r>
    </w:p>
    <w:p>
      <w:pPr>
        <w:numPr>
          <w:ilvl w:val="1"/>
          <w:numId w:val="1012"/>
        </w:numPr>
      </w:pPr>
      <w:r>
        <w:t xml:space="preserve">Achieved by varying the number of moving atoms and the fixed atoms</w:t>
      </w:r>
    </w:p>
    <w:p>
      <w:pPr>
        <w:numPr>
          <w:ilvl w:val="0"/>
          <w:numId w:val="1011"/>
        </w:numPr>
      </w:pPr>
      <w:r>
        <w:t xml:space="preserve">Homogeneity meant neither atomic numbers nor atomic masses were required</w:t>
      </w:r>
    </w:p>
    <w:p>
      <w:pPr>
        <w:numPr>
          <w:ilvl w:val="0"/>
          <w:numId w:val="1011"/>
        </w:numPr>
      </w:pPr>
      <w:r>
        <w:t xml:space="preserve">Cheap throwaway potential (Morse)</w:t>
      </w:r>
    </w:p>
    <w:p>
      <w:pPr>
        <w:pStyle w:val="FirstParagraph"/>
      </w:pPr>
      <w:r>
        <w:drawing>
          <wp:inline>
            <wp:extent cx="5334000" cy="5250188"/>
            <wp:effectExtent b="0" l="0" r="0" t="0"/>
            <wp:docPr descr="image" title="" id="1" name="Picture"/>
            <a:graphic>
              <a:graphicData uri="http://schemas.openxmlformats.org/drawingml/2006/picture">
                <pic:pic>
                  <pic:nvPicPr>
                    <pic:cNvPr descr="images/Platinum_Adatom_on_Platinum/2021-02-28_04-28-46_screenshot.png" id="0" name="Picture"/>
                    <pic:cNvPicPr>
                      <a:picLocks noChangeArrowheads="1" noChangeAspect="1"/>
                    </pic:cNvPicPr>
                  </pic:nvPicPr>
                  <pic:blipFill>
                    <a:blip r:embed="rId30"/>
                    <a:stretch>
                      <a:fillRect/>
                    </a:stretch>
                  </pic:blipFill>
                  <pic:spPr bwMode="auto">
                    <a:xfrm>
                      <a:off x="0" y="0"/>
                      <a:ext cx="5334000" cy="5250188"/>
                    </a:xfrm>
                    <a:prstGeom prst="rect">
                      <a:avLst/>
                    </a:prstGeom>
                    <a:noFill/>
                    <a:ln w="9525">
                      <a:noFill/>
                      <a:headEnd/>
                      <a:tailEnd/>
                    </a:ln>
                  </pic:spPr>
                </pic:pic>
              </a:graphicData>
            </a:graphic>
          </wp:inline>
        </w:drawing>
      </w:r>
    </w:p>
    <w:p>
      <w:pPr>
        <w:pStyle w:val="BodyText"/>
      </w:pPr>
      <w:r>
        <w:t xml:space="preserve">This system takes</w:t>
      </w:r>
      <w:r>
        <w:t xml:space="preserve"> </w:t>
      </w:r>
      <w:r>
        <w:rPr>
          <w:bCs/>
          <w:b/>
        </w:rPr>
        <w:t xml:space="preserve">0.069s</w:t>
      </w:r>
      <w:r>
        <w:t xml:space="preserve"> </w:t>
      </w:r>
      <w:r>
        <w:t xml:space="preserve">with the dimer, and</w:t>
      </w:r>
      <w:r>
        <w:t xml:space="preserve"> </w:t>
      </w:r>
      <w:r>
        <w:rPr>
          <w:bCs/>
          <w:b/>
        </w:rPr>
        <w:t xml:space="preserve">0.109s</w:t>
      </w:r>
      <w:r>
        <w:t xml:space="preserve"> </w:t>
      </w:r>
      <w:r>
        <w:t xml:space="preserve">with the GPRD in 5 cycles.</w:t>
      </w:r>
    </w:p>
    <w:tbl>
      <w:tblPr>
        <w:tblStyle w:val="Table"/>
        <w:tblW w:type="pct" w:w="0.0"/>
        <w:tblLook w:firstRow="0" w:lastRow="0" w:firstColumn="0" w:lastColumn="0" w:noHBand="0" w:noVBand="0"/>
      </w:tblPr>
      <w:tblGrid/>
      <w:tr>
        <w:tc>
          <w:p>
            <w:pPr>
              <w:pStyle w:val="Compact"/>
              <w:jc w:val="right"/>
            </w:pPr>
            <w:r>
              <w:t xml:space="preserve">Degrees of Freedom</w:t>
            </w:r>
          </w:p>
        </w:tc>
        <w:tc>
          <w:p>
            <w:pPr>
              <w:pStyle w:val="Compact"/>
              <w:jc w:val="right"/>
            </w:pPr>
            <w:r>
              <w:t xml:space="preserve">System Size</w:t>
            </w:r>
          </w:p>
        </w:tc>
        <w:tc>
          <w:p>
            <w:pPr>
              <w:pStyle w:val="Compact"/>
              <w:jc w:val="right"/>
            </w:pPr>
            <w:r>
              <w:t xml:space="preserve">Active Radius</w:t>
            </w:r>
          </w:p>
        </w:tc>
        <w:tc>
          <w:p>
            <w:pPr>
              <w:pStyle w:val="Compact"/>
              <w:jc w:val="right"/>
            </w:pPr>
            <w:r>
              <w:t xml:space="preserve">GPR Time</w:t>
            </w:r>
          </w:p>
        </w:tc>
        <w:tc>
          <w:p>
            <w:pPr>
              <w:pStyle w:val="Compact"/>
              <w:jc w:val="right"/>
            </w:pPr>
            <w:r>
              <w:t xml:space="preserve">Dimer Time</w:t>
            </w:r>
          </w:p>
        </w:tc>
      </w:tr>
      <w:tr>
        <w:tc>
          <w:p>
            <w:pPr>
              <w:pStyle w:val="Compact"/>
              <w:jc w:val="right"/>
            </w:pPr>
            <w:r>
              <w:t xml:space="preserve">48</w:t>
            </w:r>
          </w:p>
        </w:tc>
        <w:tc>
          <w:p>
            <w:pPr>
              <w:pStyle w:val="Compact"/>
              <w:jc w:val="right"/>
            </w:pPr>
            <w:r>
              <w:t xml:space="preserve">1008</w:t>
            </w:r>
          </w:p>
        </w:tc>
        <w:tc>
          <w:p>
            <w:pPr>
              <w:pStyle w:val="Compact"/>
              <w:jc w:val="right"/>
            </w:pPr>
            <w:r>
              <w:t xml:space="preserve">5</w:t>
            </w:r>
          </w:p>
        </w:tc>
        <w:tc>
          <w:p>
            <w:pPr>
              <w:pStyle w:val="Compact"/>
              <w:jc w:val="right"/>
            </w:pPr>
            <w:r>
              <w:t xml:space="preserve">0.109</w:t>
            </w:r>
          </w:p>
        </w:tc>
        <w:tc>
          <w:p>
            <w:pPr>
              <w:pStyle w:val="Compact"/>
              <w:jc w:val="right"/>
            </w:pPr>
            <w:r>
              <w:t xml:space="preserve">0.069</w:t>
            </w:r>
          </w:p>
        </w:tc>
      </w:tr>
      <w:tr>
        <w:tc>
          <w:p>
            <w:pPr>
              <w:pStyle w:val="Compact"/>
              <w:jc w:val="right"/>
            </w:pPr>
            <w:r>
              <w:t xml:space="preserve">12</w:t>
            </w:r>
          </w:p>
        </w:tc>
        <w:tc>
          <w:p>
            <w:pPr>
              <w:pStyle w:val="Compact"/>
              <w:jc w:val="right"/>
            </w:pPr>
            <w:r>
              <w:t xml:space="preserve">1008</w:t>
            </w:r>
          </w:p>
        </w:tc>
        <w:tc>
          <w:p>
            <w:pPr>
              <w:pStyle w:val="Compact"/>
              <w:jc w:val="right"/>
            </w:pPr>
            <w:r>
              <w:t xml:space="preserve">3.3</w:t>
            </w:r>
          </w:p>
        </w:tc>
        <w:tc>
          <w:p>
            <w:pPr>
              <w:pStyle w:val="Compact"/>
              <w:jc w:val="right"/>
            </w:pPr>
            <w:r>
              <w:t xml:space="preserve">0.063</w:t>
            </w:r>
          </w:p>
        </w:tc>
        <w:tc>
          <w:p>
            <w:pPr>
              <w:pStyle w:val="Compact"/>
              <w:jc w:val="right"/>
            </w:pPr>
            <w:r>
              <w:t xml:space="preserve">0.069</w:t>
            </w:r>
          </w:p>
        </w:tc>
      </w:tr>
    </w:tbl>
    <w:p>
      <w:pPr>
        <w:pStyle w:val="BodyText"/>
      </w:pPr>
      <w:r>
        <w:t xml:space="preserve">45 degrees of freedom arise from having a cut off radius of 5, which means the surface atoms enter the covariance matrix, and 3 degrees of freedom are from the movement of the adatom itself. For this system the GPR PES has been mapped out as a function of the planar coordinates in Fig.</w:t>
      </w:r>
      <w:r>
        <w:t xml:space="preserve"> </w:t>
      </w:r>
      <w:hyperlink w:anchor="optgpr">
        <w:r>
          <w:rPr>
            <w:rStyle w:val="Hyperlink"/>
          </w:rPr>
          <w:t xml:space="preserve">[optgpr]</w:t>
        </w:r>
      </w:hyperlink>
      <w:r>
        <w:t xml:space="preserve">.</w:t>
      </w:r>
    </w:p>
    <w:p>
      <w:pPr>
        <w:pStyle w:val="CaptionedFigure"/>
      </w:pPr>
      <w:bookmarkStart w:id="32" w:name="fig:optgpr"/>
      <w:r>
        <w:drawing>
          <wp:inline>
            <wp:extent cx="2399999" cy="1799999"/>
            <wp:effectExtent b="0" l="0" r="0" t="0"/>
            <wp:docPr descr="Contour plots representing the GPR PES surfaces predicted for a single Pt adatom on a Pt island with an active radius of 5" title="" id="1" name="Picture"/>
            <a:graphic>
              <a:graphicData uri="http://schemas.openxmlformats.org/drawingml/2006/picture">
                <pic:pic>
                  <pic:nvPicPr>
                    <pic:cNvPr descr="images/1ptContour/1pt_f4.png" id="0" name="Picture"/>
                    <pic:cNvPicPr>
                      <a:picLocks noChangeArrowheads="1" noChangeAspect="1"/>
                    </pic:cNvPicPr>
                  </pic:nvPicPr>
                  <pic:blipFill>
                    <a:blip r:embed="rId31"/>
                    <a:stretch>
                      <a:fillRect/>
                    </a:stretch>
                  </pic:blipFill>
                  <pic:spPr bwMode="auto">
                    <a:xfrm>
                      <a:off x="0" y="0"/>
                      <a:ext cx="2399999" cy="1799999"/>
                    </a:xfrm>
                    <a:prstGeom prst="rect">
                      <a:avLst/>
                    </a:prstGeom>
                    <a:noFill/>
                    <a:ln w="9525">
                      <a:noFill/>
                      <a:headEnd/>
                      <a:tailEnd/>
                    </a:ln>
                  </pic:spPr>
                </pic:pic>
              </a:graphicData>
            </a:graphic>
          </wp:inline>
        </w:drawing>
      </w:r>
      <w:bookmarkEnd w:id="32"/>
    </w:p>
    <w:p>
      <w:pPr>
        <w:pStyle w:val="ImageCaption"/>
      </w:pPr>
      <w:r>
        <w:t xml:space="preserve">Contour plots representing the GPR PES surfaces predicted for a single Pt adatom on a Pt island with an active radius of 5</w:t>
      </w:r>
    </w:p>
    <w:p>
      <w:pPr>
        <w:pStyle w:val="CaptionedFigure"/>
      </w:pPr>
      <w:bookmarkStart w:id="34" w:name="fig:optgpr"/>
      <w:r>
        <w:drawing>
          <wp:inline>
            <wp:extent cx="2399999" cy="1799999"/>
            <wp:effectExtent b="0" l="0" r="0" t="0"/>
            <wp:docPr descr="Contour plots representing the GPR PES surfaces predicted for a single Pt adatom on a Pt island with an active radius of 5" title="" id="1" name="Picture"/>
            <a:graphic>
              <a:graphicData uri="http://schemas.openxmlformats.org/drawingml/2006/picture">
                <pic:pic>
                  <pic:nvPicPr>
                    <pic:cNvPr descr="images/1ptContour/1pt_f5.png" id="0" name="Picture"/>
                    <pic:cNvPicPr>
                      <a:picLocks noChangeArrowheads="1" noChangeAspect="1"/>
                    </pic:cNvPicPr>
                  </pic:nvPicPr>
                  <pic:blipFill>
                    <a:blip r:embed="rId33"/>
                    <a:stretch>
                      <a:fillRect/>
                    </a:stretch>
                  </pic:blipFill>
                  <pic:spPr bwMode="auto">
                    <a:xfrm>
                      <a:off x="0" y="0"/>
                      <a:ext cx="2399999" cy="1799999"/>
                    </a:xfrm>
                    <a:prstGeom prst="rect">
                      <a:avLst/>
                    </a:prstGeom>
                    <a:noFill/>
                    <a:ln w="9525">
                      <a:noFill/>
                      <a:headEnd/>
                      <a:tailEnd/>
                    </a:ln>
                  </pic:spPr>
                </pic:pic>
              </a:graphicData>
            </a:graphic>
          </wp:inline>
        </w:drawing>
      </w:r>
      <w:bookmarkEnd w:id="34"/>
    </w:p>
    <w:p>
      <w:pPr>
        <w:pStyle w:val="ImageCaption"/>
      </w:pPr>
      <w:r>
        <w:t xml:space="preserve">Contour plots representing the GPR PES surfaces predicted for a single Pt adatom on a Pt island with an active radius of 5</w:t>
      </w:r>
    </w:p>
    <w:p>
      <w:pPr>
        <w:pStyle w:val="CaptionedFigure"/>
      </w:pPr>
      <w:bookmarkStart w:id="36" w:name="fig:optgpr"/>
      <w:r>
        <w:drawing>
          <wp:inline>
            <wp:extent cx="2399999" cy="1799999"/>
            <wp:effectExtent b="0" l="0" r="0" t="0"/>
            <wp:docPr descr="Contour plots representing the GPR PES surfaces predicted for a single Pt adatom on a Pt island with an active radius of 5" title="" id="1" name="Picture"/>
            <a:graphic>
              <a:graphicData uri="http://schemas.openxmlformats.org/drawingml/2006/picture">
                <pic:pic>
                  <pic:nvPicPr>
                    <pic:cNvPr descr="images/1ptContour/1pt_f6.png" id="0" name="Picture"/>
                    <pic:cNvPicPr>
                      <a:picLocks noChangeArrowheads="1" noChangeAspect="1"/>
                    </pic:cNvPicPr>
                  </pic:nvPicPr>
                  <pic:blipFill>
                    <a:blip r:embed="rId35"/>
                    <a:stretch>
                      <a:fillRect/>
                    </a:stretch>
                  </pic:blipFill>
                  <pic:spPr bwMode="auto">
                    <a:xfrm>
                      <a:off x="0" y="0"/>
                      <a:ext cx="2399999" cy="1799999"/>
                    </a:xfrm>
                    <a:prstGeom prst="rect">
                      <a:avLst/>
                    </a:prstGeom>
                    <a:noFill/>
                    <a:ln w="9525">
                      <a:noFill/>
                      <a:headEnd/>
                      <a:tailEnd/>
                    </a:ln>
                  </pic:spPr>
                </pic:pic>
              </a:graphicData>
            </a:graphic>
          </wp:inline>
        </w:drawing>
      </w:r>
      <w:bookmarkEnd w:id="36"/>
    </w:p>
    <w:p>
      <w:pPr>
        <w:pStyle w:val="ImageCaption"/>
      </w:pPr>
      <w:r>
        <w:t xml:space="preserve">Contour plots representing the GPR PES surfaces predicted for a single Pt adatom on a Pt island with an active radius of 5</w:t>
      </w:r>
    </w:p>
    <w:p>
      <w:pPr>
        <w:pStyle w:val="CaptionedFigure"/>
      </w:pPr>
      <w:bookmarkStart w:id="38" w:name="fig:optgpr"/>
      <w:r>
        <w:drawing>
          <wp:inline>
            <wp:extent cx="2399999" cy="1799999"/>
            <wp:effectExtent b="0" l="0" r="0" t="0"/>
            <wp:docPr descr="Contour plots representing the GPR PES surfaces predicted for a single Pt adatom on a Pt island with an active radius of 5" title="" id="1" name="Picture"/>
            <a:graphic>
              <a:graphicData uri="http://schemas.openxmlformats.org/drawingml/2006/picture">
                <pic:pic>
                  <pic:nvPicPr>
                    <pic:cNvPr descr="images/1ptContour/1pt_f7.png" id="0" name="Picture"/>
                    <pic:cNvPicPr>
                      <a:picLocks noChangeArrowheads="1" noChangeAspect="1"/>
                    </pic:cNvPicPr>
                  </pic:nvPicPr>
                  <pic:blipFill>
                    <a:blip r:embed="rId37"/>
                    <a:stretch>
                      <a:fillRect/>
                    </a:stretch>
                  </pic:blipFill>
                  <pic:spPr bwMode="auto">
                    <a:xfrm>
                      <a:off x="0" y="0"/>
                      <a:ext cx="2399999" cy="1799999"/>
                    </a:xfrm>
                    <a:prstGeom prst="rect">
                      <a:avLst/>
                    </a:prstGeom>
                    <a:noFill/>
                    <a:ln w="9525">
                      <a:noFill/>
                      <a:headEnd/>
                      <a:tailEnd/>
                    </a:ln>
                  </pic:spPr>
                </pic:pic>
              </a:graphicData>
            </a:graphic>
          </wp:inline>
        </w:drawing>
      </w:r>
      <w:bookmarkEnd w:id="38"/>
    </w:p>
    <w:p>
      <w:pPr>
        <w:pStyle w:val="ImageCaption"/>
      </w:pPr>
      <w:r>
        <w:t xml:space="preserve">Contour plots representing the GPR PES surfaces predicted for a single Pt adatom on a Pt island with an active radius of 5</w:t>
      </w:r>
    </w:p>
    <w:p>
      <w:pPr>
        <w:pStyle w:val="CaptionedFigure"/>
      </w:pPr>
      <w:bookmarkStart w:id="40" w:name="fig:optgpr"/>
      <w:r>
        <w:drawing>
          <wp:inline>
            <wp:extent cx="2399999" cy="1799999"/>
            <wp:effectExtent b="0" l="0" r="0" t="0"/>
            <wp:docPr descr="Contour plots representing the GPR PES surfaces predicted for a single Pt adatom on a Pt island with an active radius of 5" title="" id="1" name="Picture"/>
            <a:graphic>
              <a:graphicData uri="http://schemas.openxmlformats.org/drawingml/2006/picture">
                <pic:pic>
                  <pic:nvPicPr>
                    <pic:cNvPr descr="images/1ptContour/1pt_f8.png" id="0" name="Picture"/>
                    <pic:cNvPicPr>
                      <a:picLocks noChangeArrowheads="1" noChangeAspect="1"/>
                    </pic:cNvPicPr>
                  </pic:nvPicPr>
                  <pic:blipFill>
                    <a:blip r:embed="rId39"/>
                    <a:stretch>
                      <a:fillRect/>
                    </a:stretch>
                  </pic:blipFill>
                  <pic:spPr bwMode="auto">
                    <a:xfrm>
                      <a:off x="0" y="0"/>
                      <a:ext cx="2399999" cy="1799999"/>
                    </a:xfrm>
                    <a:prstGeom prst="rect">
                      <a:avLst/>
                    </a:prstGeom>
                    <a:noFill/>
                    <a:ln w="9525">
                      <a:noFill/>
                      <a:headEnd/>
                      <a:tailEnd/>
                    </a:ln>
                  </pic:spPr>
                </pic:pic>
              </a:graphicData>
            </a:graphic>
          </wp:inline>
        </w:drawing>
      </w:r>
      <w:bookmarkEnd w:id="40"/>
    </w:p>
    <w:p>
      <w:pPr>
        <w:pStyle w:val="ImageCaption"/>
      </w:pPr>
      <w:r>
        <w:t xml:space="preserve">Contour plots representing the GPR PES surfaces predicted for a single Pt adatom on a Pt island with an active radius of 5</w:t>
      </w:r>
    </w:p>
    <w:p>
      <w:pPr>
        <w:pStyle w:val="BodyText"/>
      </w:pPr>
      <w:r>
        <w:t xml:space="preserve">In this instance, the GPRD can converge to the saddle point with a lower active radius of 3.3, however, this takes 9 image evaluations; and the potential energy surface suffers, as can be seen in</w:t>
      </w:r>
      <w:r>
        <w:t xml:space="preserve"> </w:t>
      </w:r>
      <w:hyperlink w:anchor="poorsurf">
        <w:r>
          <w:rPr>
            <w:rStyle w:val="Hyperlink"/>
          </w:rPr>
          <w:t xml:space="preserve">[poorsurf]</w:t>
        </w:r>
      </w:hyperlink>
      <w:r>
        <w:t xml:space="preserve">.</w:t>
      </w:r>
    </w:p>
    <w:p>
      <w:pPr>
        <w:pStyle w:val="CaptionedFigure"/>
      </w:pPr>
      <w:bookmarkStart w:id="42" w:name="fig:optgpr"/>
      <w:r>
        <w:drawing>
          <wp:inline>
            <wp:extent cx="2399999" cy="1799999"/>
            <wp:effectExtent b="0" l="0" r="0" t="0"/>
            <wp:docPr descr="Contour plots representing the GPR PES surfaces predicted for a single Pt adatom on a Pt island with 9 atoms used by the GPR" title="" id="1" name="Picture"/>
            <a:graphic>
              <a:graphicData uri="http://schemas.openxmlformats.org/drawingml/2006/picture">
                <pic:pic>
                  <pic:nvPicPr>
                    <pic:cNvPr descr="images/1ptContour/1pt_f9.png" id="0" name="Picture"/>
                    <pic:cNvPicPr>
                      <a:picLocks noChangeArrowheads="1" noChangeAspect="1"/>
                    </pic:cNvPicPr>
                  </pic:nvPicPr>
                  <pic:blipFill>
                    <a:blip r:embed="rId41"/>
                    <a:stretch>
                      <a:fillRect/>
                    </a:stretch>
                  </pic:blipFill>
                  <pic:spPr bwMode="auto">
                    <a:xfrm>
                      <a:off x="0" y="0"/>
                      <a:ext cx="2399999" cy="1799999"/>
                    </a:xfrm>
                    <a:prstGeom prst="rect">
                      <a:avLst/>
                    </a:prstGeom>
                    <a:noFill/>
                    <a:ln w="9525">
                      <a:noFill/>
                      <a:headEnd/>
                      <a:tailEnd/>
                    </a:ln>
                  </pic:spPr>
                </pic:pic>
              </a:graphicData>
            </a:graphic>
          </wp:inline>
        </w:drawing>
      </w:r>
      <w:bookmarkEnd w:id="42"/>
    </w:p>
    <w:p>
      <w:pPr>
        <w:pStyle w:val="ImageCaption"/>
      </w:pPr>
      <w:r>
        <w:t xml:space="preserve">Contour plots representing the GPR PES surfaces predicted for a single Pt adatom on a Pt island with 9 atoms used by the GPR</w:t>
      </w:r>
    </w:p>
    <w:p>
      <w:pPr>
        <w:pStyle w:val="CaptionedFigure"/>
      </w:pPr>
      <w:bookmarkStart w:id="44" w:name="fig:optgpr"/>
      <w:r>
        <w:drawing>
          <wp:inline>
            <wp:extent cx="2399999" cy="1799999"/>
            <wp:effectExtent b="0" l="0" r="0" t="0"/>
            <wp:docPr descr="Contour plots representing the GPR PES surfaces predicted for a single Pt adatom on a Pt island with 9 atoms used by the GPR" title="" id="1" name="Picture"/>
            <a:graphic>
              <a:graphicData uri="http://schemas.openxmlformats.org/drawingml/2006/picture">
                <pic:pic>
                  <pic:nvPicPr>
                    <pic:cNvPr descr="images/1ptContour/1pt_f10.png" id="0" name="Picture"/>
                    <pic:cNvPicPr>
                      <a:picLocks noChangeArrowheads="1" noChangeAspect="1"/>
                    </pic:cNvPicPr>
                  </pic:nvPicPr>
                  <pic:blipFill>
                    <a:blip r:embed="rId43"/>
                    <a:stretch>
                      <a:fillRect/>
                    </a:stretch>
                  </pic:blipFill>
                  <pic:spPr bwMode="auto">
                    <a:xfrm>
                      <a:off x="0" y="0"/>
                      <a:ext cx="2399999" cy="1799999"/>
                    </a:xfrm>
                    <a:prstGeom prst="rect">
                      <a:avLst/>
                    </a:prstGeom>
                    <a:noFill/>
                    <a:ln w="9525">
                      <a:noFill/>
                      <a:headEnd/>
                      <a:tailEnd/>
                    </a:ln>
                  </pic:spPr>
                </pic:pic>
              </a:graphicData>
            </a:graphic>
          </wp:inline>
        </w:drawing>
      </w:r>
      <w:bookmarkEnd w:id="44"/>
    </w:p>
    <w:p>
      <w:pPr>
        <w:pStyle w:val="ImageCaption"/>
      </w:pPr>
      <w:r>
        <w:t xml:space="preserve">Contour plots representing the GPR PES surfaces predicted for a single Pt adatom on a Pt island with 9 atoms used by the GPR</w:t>
      </w:r>
    </w:p>
    <w:p>
      <w:pPr>
        <w:pStyle w:val="CaptionedFigure"/>
      </w:pPr>
      <w:bookmarkStart w:id="46" w:name="fig:optgpr"/>
      <w:r>
        <w:drawing>
          <wp:inline>
            <wp:extent cx="2399999" cy="1799999"/>
            <wp:effectExtent b="0" l="0" r="0" t="0"/>
            <wp:docPr descr="Contour plots representing the GPR PES surfaces predicted for a single Pt adatom on a Pt island with 9 atoms used by the GPR" title="" id="1" name="Picture"/>
            <a:graphic>
              <a:graphicData uri="http://schemas.openxmlformats.org/drawingml/2006/picture">
                <pic:pic>
                  <pic:nvPicPr>
                    <pic:cNvPr descr="images/1ptContour/1pt_f11.png" id="0" name="Picture"/>
                    <pic:cNvPicPr>
                      <a:picLocks noChangeArrowheads="1" noChangeAspect="1"/>
                    </pic:cNvPicPr>
                  </pic:nvPicPr>
                  <pic:blipFill>
                    <a:blip r:embed="rId45"/>
                    <a:stretch>
                      <a:fillRect/>
                    </a:stretch>
                  </pic:blipFill>
                  <pic:spPr bwMode="auto">
                    <a:xfrm>
                      <a:off x="0" y="0"/>
                      <a:ext cx="2399999" cy="1799999"/>
                    </a:xfrm>
                    <a:prstGeom prst="rect">
                      <a:avLst/>
                    </a:prstGeom>
                    <a:noFill/>
                    <a:ln w="9525">
                      <a:noFill/>
                      <a:headEnd/>
                      <a:tailEnd/>
                    </a:ln>
                  </pic:spPr>
                </pic:pic>
              </a:graphicData>
            </a:graphic>
          </wp:inline>
        </w:drawing>
      </w:r>
      <w:bookmarkEnd w:id="46"/>
    </w:p>
    <w:p>
      <w:pPr>
        <w:pStyle w:val="ImageCaption"/>
      </w:pPr>
      <w:r>
        <w:t xml:space="preserve">Contour plots representing the GPR PES surfaces predicted for a single Pt adatom on a Pt island with 9 atoms used by the GPR</w:t>
      </w:r>
    </w:p>
    <w:p>
      <w:pPr>
        <w:pStyle w:val="CaptionedFigure"/>
      </w:pPr>
      <w:bookmarkStart w:id="48" w:name="fig:optgpr"/>
      <w:r>
        <w:drawing>
          <wp:inline>
            <wp:extent cx="2399999" cy="1799999"/>
            <wp:effectExtent b="0" l="0" r="0" t="0"/>
            <wp:docPr descr="Contour plots representing the GPR PES surfaces predicted for a single Pt adatom on a Pt island with 9 atoms used by the GPR" title="" id="1" name="Picture"/>
            <a:graphic>
              <a:graphicData uri="http://schemas.openxmlformats.org/drawingml/2006/picture">
                <pic:pic>
                  <pic:nvPicPr>
                    <pic:cNvPr descr="images/1ptContour/1pt_f12.png" id="0" name="Picture"/>
                    <pic:cNvPicPr>
                      <a:picLocks noChangeArrowheads="1" noChangeAspect="1"/>
                    </pic:cNvPicPr>
                  </pic:nvPicPr>
                  <pic:blipFill>
                    <a:blip r:embed="rId47"/>
                    <a:stretch>
                      <a:fillRect/>
                    </a:stretch>
                  </pic:blipFill>
                  <pic:spPr bwMode="auto">
                    <a:xfrm>
                      <a:off x="0" y="0"/>
                      <a:ext cx="2399999" cy="1799999"/>
                    </a:xfrm>
                    <a:prstGeom prst="rect">
                      <a:avLst/>
                    </a:prstGeom>
                    <a:noFill/>
                    <a:ln w="9525">
                      <a:noFill/>
                      <a:headEnd/>
                      <a:tailEnd/>
                    </a:ln>
                  </pic:spPr>
                </pic:pic>
              </a:graphicData>
            </a:graphic>
          </wp:inline>
        </w:drawing>
      </w:r>
      <w:bookmarkEnd w:id="48"/>
    </w:p>
    <w:p>
      <w:pPr>
        <w:pStyle w:val="ImageCaption"/>
      </w:pPr>
      <w:r>
        <w:t xml:space="preserve">Contour plots representing the GPR PES surfaces predicted for a single Pt adatom on a Pt island with 9 atoms used by the GPR</w:t>
      </w:r>
    </w:p>
    <w:p>
      <w:pPr>
        <w:pStyle w:val="CaptionedFigure"/>
      </w:pPr>
      <w:bookmarkStart w:id="50" w:name="fig:optgpr"/>
      <w:r>
        <w:drawing>
          <wp:inline>
            <wp:extent cx="2399999" cy="1799999"/>
            <wp:effectExtent b="0" l="0" r="0" t="0"/>
            <wp:docPr descr="Contour plots representing the GPR PES surfaces predicted for a single Pt adatom on a Pt island with 9 atoms used by the GPR" title="" id="1" name="Picture"/>
            <a:graphic>
              <a:graphicData uri="http://schemas.openxmlformats.org/drawingml/2006/picture">
                <pic:pic>
                  <pic:nvPicPr>
                    <pic:cNvPr descr="images/1ptContour/1pt_f13.png" id="0" name="Picture"/>
                    <pic:cNvPicPr>
                      <a:picLocks noChangeArrowheads="1" noChangeAspect="1"/>
                    </pic:cNvPicPr>
                  </pic:nvPicPr>
                  <pic:blipFill>
                    <a:blip r:embed="rId49"/>
                    <a:stretch>
                      <a:fillRect/>
                    </a:stretch>
                  </pic:blipFill>
                  <pic:spPr bwMode="auto">
                    <a:xfrm>
                      <a:off x="0" y="0"/>
                      <a:ext cx="2399999" cy="1799999"/>
                    </a:xfrm>
                    <a:prstGeom prst="rect">
                      <a:avLst/>
                    </a:prstGeom>
                    <a:noFill/>
                    <a:ln w="9525">
                      <a:noFill/>
                      <a:headEnd/>
                      <a:tailEnd/>
                    </a:ln>
                  </pic:spPr>
                </pic:pic>
              </a:graphicData>
            </a:graphic>
          </wp:inline>
        </w:drawing>
      </w:r>
      <w:bookmarkEnd w:id="50"/>
    </w:p>
    <w:p>
      <w:pPr>
        <w:pStyle w:val="ImageCaption"/>
      </w:pPr>
      <w:r>
        <w:t xml:space="preserve">Contour plots representing the GPR PES surfaces predicted for a single Pt adatom on a Pt island with 9 atoms used by the GPR</w:t>
      </w:r>
    </w:p>
    <w:p>
      <w:pPr>
        <w:pStyle w:val="CaptionedFigure"/>
      </w:pPr>
      <w:bookmarkStart w:id="52" w:name="fig:optgpr"/>
      <w:r>
        <w:drawing>
          <wp:inline>
            <wp:extent cx="2399999" cy="1799999"/>
            <wp:effectExtent b="0" l="0" r="0" t="0"/>
            <wp:docPr descr="Contour plots representing the GPR PES surfaces predicted for a single Pt adatom on a Pt island with 9 atoms used by the GPR" title="" id="1" name="Picture"/>
            <a:graphic>
              <a:graphicData uri="http://schemas.openxmlformats.org/drawingml/2006/picture">
                <pic:pic>
                  <pic:nvPicPr>
                    <pic:cNvPr descr="images/1ptContour/1pt_f14.png" id="0" name="Picture"/>
                    <pic:cNvPicPr>
                      <a:picLocks noChangeArrowheads="1" noChangeAspect="1"/>
                    </pic:cNvPicPr>
                  </pic:nvPicPr>
                  <pic:blipFill>
                    <a:blip r:embed="rId51"/>
                    <a:stretch>
                      <a:fillRect/>
                    </a:stretch>
                  </pic:blipFill>
                  <pic:spPr bwMode="auto">
                    <a:xfrm>
                      <a:off x="0" y="0"/>
                      <a:ext cx="2399999" cy="1799999"/>
                    </a:xfrm>
                    <a:prstGeom prst="rect">
                      <a:avLst/>
                    </a:prstGeom>
                    <a:noFill/>
                    <a:ln w="9525">
                      <a:noFill/>
                      <a:headEnd/>
                      <a:tailEnd/>
                    </a:ln>
                  </pic:spPr>
                </pic:pic>
              </a:graphicData>
            </a:graphic>
          </wp:inline>
        </w:drawing>
      </w:r>
      <w:bookmarkEnd w:id="52"/>
    </w:p>
    <w:p>
      <w:pPr>
        <w:pStyle w:val="ImageCaption"/>
      </w:pPr>
      <w:r>
        <w:t xml:space="preserve">Contour plots representing the GPR PES surfaces predicted for a single Pt adatom on a Pt island with 9 atoms used by the GPR</w:t>
      </w:r>
    </w:p>
    <w:bookmarkEnd w:id="53"/>
    <w:bookmarkEnd w:id="54"/>
    <w:bookmarkStart w:id="75" w:name="sec:orgf3053b8"/>
    <w:p>
      <w:pPr>
        <w:pStyle w:val="Heading1"/>
      </w:pPr>
      <w:r>
        <w:rPr>
          <w:bCs/>
          <w:b/>
        </w:rPr>
        <w:t xml:space="preserve">TODO</w:t>
      </w:r>
      <w:r>
        <w:t xml:space="preserve"> </w:t>
      </w:r>
      <w:r>
        <w:t xml:space="preserve">Literature Extensions</w:t>
      </w:r>
    </w:p>
    <w:bookmarkStart w:id="67" w:name="sec:orgf516a2c"/>
    <w:p>
      <w:pPr>
        <w:pStyle w:val="Heading2"/>
      </w:pPr>
      <w:r>
        <w:rPr>
          <w:bCs/>
          <w:b/>
        </w:rPr>
        <w:t xml:space="preserve">DONE</w:t>
      </w:r>
      <w:r>
        <w:t xml:space="preserve"> </w:t>
      </w:r>
      <w:r>
        <w:t xml:space="preserve">Pruning Rationale</w:t>
      </w:r>
    </w:p>
    <w:bookmarkStart w:id="58" w:name="sec:org7091717"/>
    <w:p>
      <w:pPr>
        <w:pStyle w:val="Heading3"/>
      </w:pPr>
      <w:r>
        <w:t xml:space="preserve">Hyperparameters and Expectations</w:t>
      </w:r>
    </w:p>
    <w:p>
      <w:pPr>
        <w:pStyle w:val="FirstParagraph"/>
      </w:pPr>
      <w:r>
        <w:t xml:space="preserve">For inference, even in higher dimensions; it is not the distribution itself which is important, but the</w:t>
      </w:r>
      <w:r>
        <w:t xml:space="preserve"> </w:t>
      </w:r>
      <w:r>
        <w:rPr>
          <w:bCs/>
          <w:b/>
        </w:rPr>
        <w:t xml:space="preserve">expectation</w:t>
      </w:r>
      <w:r>
        <w:t xml:space="preserve"> </w:t>
      </w:r>
      <w:r>
        <w:t xml:space="preserve">value of the the distribution:</w:t>
      </w:r>
    </w:p>
    <w:p>
      <w:pPr>
        <w:pStyle w:val="BodyText"/>
      </w:pPr>
      <w:r>
        <w:t xml:space="preserve">$$\begin{aligned}
  E_{\color{blue} p(\theta|y)}[f(\theta)] &amp; = \int f(\theta) {\color{blue} p(\theta|y)} d\theta,\\
  \text{where} \quad
  {\color{blue} p(\theta|y)} &amp; = \frac{\color{darkgreen}p(y|\theta)p(\theta)}{\color{red} \int p(y|\theta)p(\theta) d\theta}\end{aligned}$$</w:t>
      </w:r>
    </w:p>
    <w:p>
      <w:pPr>
        <w:pStyle w:val="FirstParagraph"/>
      </w:pPr>
      <w:r>
        <w:t xml:space="preserve">Where we note that</w:t>
      </w:r>
      <w:r>
        <w:t xml:space="preserve"> </w:t>
      </w:r>
      <m:oMath>
        <m:r>
          <m:t>p</m:t>
        </m:r>
        <m:r>
          <m:rPr>
            <m:sty m:val="p"/>
          </m:rPr>
          <m:t>(</m:t>
        </m:r>
        <m:r>
          <m:t>𝜃</m:t>
        </m:r>
        <m:r>
          <m:rPr>
            <m:sty m:val="p"/>
          </m:rPr>
          <m:t>|</m:t>
        </m:r>
        <m:r>
          <m:t>y</m:t>
        </m:r>
        <m:r>
          <m:rPr>
            <m:sty m:val="p"/>
          </m:rPr>
          <m:t>)</m:t>
        </m:r>
      </m:oMath>
      <w:r>
        <w:t xml:space="preserve"> </w:t>
      </w:r>
      <w:r>
        <w:t xml:space="preserve">is the posterior probability</w:t>
      </w:r>
      <w:r>
        <w:t xml:space="preserve"> </w:t>
      </w:r>
      <m:oMath>
        <m:r>
          <m:rPr>
            <m:sty m:val="p"/>
          </m:rPr>
          <m:t>(</m:t>
        </m:r>
        <m:r>
          <m:rPr>
            <m:sty m:val="p"/>
            <m:scr m:val="double-struck"/>
          </m:rPr>
          <m:t>P</m:t>
        </m:r>
        <m:r>
          <m:rPr>
            <m:sty m:val="p"/>
          </m:rPr>
          <m:t>(</m:t>
        </m:r>
        <m:r>
          <m:t>𝜃</m:t>
        </m:r>
        <m:r>
          <m:rPr>
            <m:sty m:val="p"/>
          </m:rPr>
          <m:t>)</m:t>
        </m:r>
        <m:r>
          <m:rPr>
            <m:sty m:val="p"/>
          </m:rPr>
          <m:t>)</m:t>
        </m:r>
      </m:oMath>
      <w:r>
        <w:t xml:space="preserve">;</w:t>
      </w:r>
      <w:r>
        <w:t xml:space="preserve"> </w:t>
      </w:r>
      <m:oMath>
        <m:r>
          <m:t>p</m:t>
        </m:r>
        <m:r>
          <m:rPr>
            <m:sty m:val="p"/>
          </m:rPr>
          <m:t>(</m:t>
        </m:r>
        <m:r>
          <m:t>y</m:t>
        </m:r>
        <m:r>
          <m:rPr>
            <m:sty m:val="p"/>
          </m:rPr>
          <m:t>|</m:t>
        </m:r>
        <m:r>
          <m:t>𝜃</m:t>
        </m:r>
        <m:r>
          <m:rPr>
            <m:sty m:val="p"/>
          </m:rPr>
          <m:t>)</m:t>
        </m:r>
      </m:oMath>
      <w:r>
        <w:t xml:space="preserve"> </w:t>
      </w:r>
      <w:r>
        <w:t xml:space="preserve">is the likelihood</w:t>
      </w:r>
      <w:r>
        <w:t xml:space="preserve"> </w:t>
      </w:r>
      <m:oMath>
        <m:r>
          <m:rPr>
            <m:sty m:val="p"/>
          </m:rPr>
          <m:t>(</m:t>
        </m:r>
        <m:r>
          <m:rPr>
            <m:sty m:val="p"/>
            <m:scr m:val="double-struck"/>
          </m:rPr>
          <m:t>L</m:t>
        </m:r>
        <m:r>
          <m:rPr>
            <m:sty m:val="p"/>
          </m:rPr>
          <m:t>(</m:t>
        </m:r>
        <m:r>
          <m:t>𝜃</m:t>
        </m:r>
        <m:r>
          <m:rPr>
            <m:sty m:val="p"/>
          </m:rPr>
          <m:t>)</m:t>
        </m:r>
        <m:r>
          <m:rPr>
            <m:sty m:val="p"/>
          </m:rPr>
          <m:t>)</m:t>
        </m:r>
      </m:oMath>
      <w:r>
        <w:t xml:space="preserve">;</w:t>
      </w:r>
      <w:r>
        <w:t xml:space="preserve"> </w:t>
      </w:r>
      <m:oMath>
        <m:r>
          <m:t>p</m:t>
        </m:r>
        <m:r>
          <m:rPr>
            <m:sty m:val="p"/>
          </m:rPr>
          <m:t>(</m:t>
        </m:r>
        <m:r>
          <m:t>𝜃</m:t>
        </m:r>
        <m:r>
          <m:rPr>
            <m:sty m:val="p"/>
          </m:rPr>
          <m:t>)</m:t>
        </m:r>
      </m:oMath>
      <w:r>
        <w:t xml:space="preserve"> </w:t>
      </w:r>
      <w:r>
        <w:t xml:space="preserve">is the prior</w:t>
      </w:r>
      <w:r>
        <w:t xml:space="preserve"> </w:t>
      </w:r>
      <m:oMath>
        <m:r>
          <m:rPr>
            <m:sty m:val="p"/>
          </m:rPr>
          <m:t>(</m:t>
        </m:r>
        <m:r>
          <m:t>𝜋</m:t>
        </m:r>
        <m:r>
          <m:rPr>
            <m:sty m:val="p"/>
          </m:rPr>
          <m:t>(</m:t>
        </m:r>
        <m:r>
          <m:t>𝜃</m:t>
        </m:r>
        <m:r>
          <m:rPr>
            <m:sty m:val="p"/>
          </m:rPr>
          <m:t>)</m:t>
        </m:r>
      </m:oMath>
      <w:r>
        <w:t xml:space="preserve"> </w:t>
      </w:r>
      <w:r>
        <w:t xml:space="preserve">and the normalizing constant</w:t>
      </w:r>
      <w:r>
        <w:t xml:space="preserve"> </w:t>
      </w:r>
      <m:oMath>
        <m:r>
          <m:rPr>
            <m:sty m:val="p"/>
          </m:rPr>
          <m:t>∫</m:t>
        </m:r>
        <m:r>
          <m:t>p</m:t>
        </m:r>
        <m:r>
          <m:rPr>
            <m:sty m:val="p"/>
          </m:rPr>
          <m:t>(</m:t>
        </m:r>
        <m:r>
          <m:t>𝜃</m:t>
        </m:r>
        <m:r>
          <m:rPr>
            <m:sty m:val="p"/>
          </m:rPr>
          <m:t>|</m:t>
        </m:r>
        <m:r>
          <m:t>y</m:t>
        </m:r>
        <m:r>
          <m:rPr>
            <m:sty m:val="p"/>
          </m:rPr>
          <m:t>)</m:t>
        </m:r>
        <m:r>
          <m:t>p</m:t>
        </m:r>
        <m:r>
          <m:rPr>
            <m:sty m:val="p"/>
          </m:rPr>
          <m:t>(</m:t>
        </m:r>
        <m:r>
          <m:t>𝜃</m:t>
        </m:r>
        <m:r>
          <m:rPr>
            <m:sty m:val="p"/>
          </m:rPr>
          <m:t>)</m:t>
        </m:r>
        <m:r>
          <m:t>d</m:t>
        </m:r>
        <m:r>
          <m:t>𝜃</m:t>
        </m:r>
      </m:oMath>
      <w:r>
        <w:t xml:space="preserve"> </w:t>
      </w:r>
      <w:r>
        <w:t xml:space="preserve">is known as the evidence (</w:t>
      </w:r>
      <m:oMath>
        <m:r>
          <m:rPr>
            <m:sty m:val="p"/>
            <m:scr m:val="double-struck"/>
          </m:rPr>
          <m:t>Z</m:t>
        </m:r>
      </m:oMath>
      <w:r>
        <w:t xml:space="preserve">). The notation of</w:t>
      </w:r>
      <w:r>
        <w:t xml:space="preserve"> </w:t>
      </w:r>
      <w:r>
        <w:t xml:space="preserve"> </w:t>
      </w:r>
      <w:r>
        <w:t xml:space="preserve">is indicated.</w:t>
      </w:r>
    </w:p>
    <w:p>
      <w:pPr>
        <w:pStyle w:val="BodyText"/>
      </w:pPr>
      <w:r>
        <w:t xml:space="preserve">Visually, this master equation (Bayes theorem) can also be visually represented by Fig.</w:t>
      </w:r>
      <w:r>
        <w:t xml:space="preserve"> </w:t>
      </w:r>
      <w:hyperlink w:anchor="fig:speagleFig">
        <w:r>
          <w:rPr>
            <w:rStyle w:val="Hyperlink"/>
          </w:rPr>
          <w:t xml:space="preserve">12</w:t>
        </w:r>
      </w:hyperlink>
      <w:r>
        <w:t xml:space="preserve">.</w:t>
      </w:r>
    </w:p>
    <w:p>
      <w:pPr>
        <w:pStyle w:val="CaptionedFigure"/>
      </w:pPr>
      <w:bookmarkStart w:id="56" w:name="fig:speagleFig"/>
      <w:r>
        <w:drawing>
          <wp:inline>
            <wp:extent cx="5334000" cy="3229486"/>
            <wp:effectExtent b="0" l="0" r="0" t="0"/>
            <wp:docPr descr="[fig:speagleFig]Illustration of Bayes theorem " title="" id="1" name="Picture"/>
            <a:graphic>
              <a:graphicData uri="http://schemas.openxmlformats.org/drawingml/2006/picture">
                <pic:pic>
                  <pic:nvPicPr>
                    <pic:cNvPr descr="images/Pruning/2021-02-28_01-03-17_screenshot.png" id="0" name="Picture"/>
                    <pic:cNvPicPr>
                      <a:picLocks noChangeArrowheads="1" noChangeAspect="1"/>
                    </pic:cNvPicPr>
                  </pic:nvPicPr>
                  <pic:blipFill>
                    <a:blip r:embed="rId55"/>
                    <a:stretch>
                      <a:fillRect/>
                    </a:stretch>
                  </pic:blipFill>
                  <pic:spPr bwMode="auto">
                    <a:xfrm>
                      <a:off x="0" y="0"/>
                      <a:ext cx="5334000" cy="3229486"/>
                    </a:xfrm>
                    <a:prstGeom prst="rect">
                      <a:avLst/>
                    </a:prstGeom>
                    <a:noFill/>
                    <a:ln w="9525">
                      <a:noFill/>
                      <a:headEnd/>
                      <a:tailEnd/>
                    </a:ln>
                  </pic:spPr>
                </pic:pic>
              </a:graphicData>
            </a:graphic>
          </wp:inline>
        </w:drawing>
      </w:r>
      <w:bookmarkEnd w:id="56"/>
    </w:p>
    <w:p>
      <w:pPr>
        <w:pStyle w:val="ImageCaption"/>
      </w:pPr>
      <w:bookmarkStart w:id="57" w:name="fig:speagleFig"/>
      <w:r>
        <w:t xml:space="preserve">[fig:speagleFig]</w:t>
      </w:r>
      <w:bookmarkEnd w:id="57"/>
      <w:r>
        <w:t xml:space="preserve">Illustration of Bayes theorem</w:t>
      </w:r>
      <w:r>
        <w:t xml:space="preserve"> </w:t>
      </w:r>
    </w:p>
    <w:p>
      <w:pPr>
        <w:pStyle w:val="BodyText"/>
      </w:pPr>
      <w:r>
        <w:t xml:space="preserve">Where we recognize that the marginal probability, or the evidence is the integral over the parameter space; and describes the independent probability of a single event regardless of the others.</w:t>
      </w:r>
    </w:p>
    <w:p>
      <w:pPr>
        <w:pStyle w:val="BodyText"/>
      </w:pPr>
      <w:r>
        <w:t xml:space="preserve">None of the preceding discussion implied any limits on the output range of these expectation values, and in a space of functions</w:t>
      </w:r>
      <w:r>
        <w:t xml:space="preserve"> </w:t>
      </w:r>
      <w:r>
        <w:t xml:space="preserve">; if we consider a regression problem modeled by a Gaussian process we obtain pleasantly simple posterior distribution (a Gaussian)</w:t>
      </w:r>
      <w:r>
        <w:t xml:space="preserve"> </w:t>
      </w:r>
      <w:r>
        <w:t xml:space="preserve">.</w:t>
      </w:r>
    </w:p>
    <w:p>
      <w:pPr>
        <w:pStyle w:val="BodyText"/>
      </w:pPr>
      <w:r>
        <w:t xml:space="preserve">Having obtained a GPR model from the observations (which are high dimensional points each consisting of the positions of all points considered,</w:t>
      </w:r>
      <w:r>
        <w:t xml:space="preserve"> </w:t>
      </w:r>
      <m:oMath>
        <m:r>
          <m:t>R</m:t>
        </m:r>
      </m:oMath>
      <w:r>
        <w:t xml:space="preserve"> </w:t>
      </w:r>
      <w:r>
        <w:t xml:space="preserve">which is of size</w:t>
      </w:r>
      <w:r>
        <w:t xml:space="preserve"> </w:t>
      </w:r>
      <m:oMath>
        <m:r>
          <m:t>N</m:t>
        </m:r>
        <m:r>
          <m:rPr>
            <m:sty m:val="p"/>
          </m:rPr>
          <m:t>×</m:t>
        </m:r>
        <m:r>
          <m:t>3</m:t>
        </m:r>
      </m:oMath>
      <w:r>
        <w:t xml:space="preserve">,</w:t>
      </w:r>
      <w:r>
        <w:t xml:space="preserve"> </w:t>
      </w:r>
      <m:oMath>
        <m:r>
          <m:t>E</m:t>
        </m:r>
      </m:oMath>
      <w:r>
        <w:t xml:space="preserve"> </w:t>
      </w:r>
      <w:r>
        <w:t xml:space="preserve">which is the potential energy of size</w:t>
      </w:r>
      <w:r>
        <w:t xml:space="preserve"> </w:t>
      </w:r>
      <m:oMath>
        <m:r>
          <m:t>N</m:t>
        </m:r>
        <m:r>
          <m:rPr>
            <m:sty m:val="p"/>
          </m:rPr>
          <m:t>×</m:t>
        </m:r>
        <m:r>
          <m:t>1</m:t>
        </m:r>
      </m:oMath>
      <w:r>
        <w:t xml:space="preserve"> </w:t>
      </w:r>
      <w:r>
        <w:t xml:space="preserve">and</w:t>
      </w:r>
      <w:r>
        <w:t xml:space="preserve"> </w:t>
      </w:r>
      <m:oMath>
        <m:r>
          <m:t>F</m:t>
        </m:r>
      </m:oMath>
      <w:r>
        <w:t xml:space="preserve"> </w:t>
      </w:r>
      <w:r>
        <w:t xml:space="preserve">which is of size</w:t>
      </w:r>
      <w:r>
        <w:t xml:space="preserve"> </w:t>
      </w:r>
      <m:oMath>
        <m:r>
          <m:t>N</m:t>
        </m:r>
        <m:r>
          <m:rPr>
            <m:sty m:val="p"/>
          </m:rPr>
          <m:t>×</m:t>
        </m:r>
        <m:r>
          <m:t>9</m:t>
        </m:r>
      </m:oMath>
      <w:r>
        <w:t xml:space="preserve">), we predict additional points on the GPR surface at a fraction of the cost of calculating the energy and forces from our potential.</w:t>
      </w:r>
    </w:p>
    <w:bookmarkEnd w:id="58"/>
    <w:bookmarkStart w:id="65" w:name="sec:org5fdecf4"/>
    <w:p>
      <w:pPr>
        <w:pStyle w:val="Heading3"/>
      </w:pPr>
      <w:r>
        <w:t xml:space="preserve">Adaptive Prior Improvements with Pruning</w:t>
      </w:r>
    </w:p>
    <w:p>
      <w:pPr>
        <w:pStyle w:val="FirstParagraph"/>
      </w:pPr>
      <w:r>
        <w:t xml:space="preserve">Due to the high dimensional nature of the relevant space of observations;</w:t>
      </w:r>
      <w:r>
        <w:t xml:space="preserve"> </w:t>
      </w:r>
      <w:r>
        <w:t xml:space="preserve"> </w:t>
      </w:r>
      <w:r>
        <w:t xml:space="preserve">have used a weakly informative (broad) Gaussian prior over the hyperparameters. Empirical studies</w:t>
      </w:r>
      <w:r>
        <w:t xml:space="preserve"> </w:t>
      </w:r>
      <w:r>
        <w:t xml:space="preserve"> </w:t>
      </w:r>
      <w:r>
        <w:t xml:space="preserve">suggest that the hyperprior distribution; does not have a strong influence on the final predictions; however their studies were in the large data limit and thus are not surprising</w:t>
      </w:r>
      <w:r>
        <w:t xml:space="preserve"> </w:t>
      </w:r>
      <w:r>
        <w:t xml:space="preserve">. Unlike in simulated train-test data sets, as per the algorithm outlined</w:t>
      </w:r>
      <w:r>
        <w:t xml:space="preserve"> </w:t>
      </w:r>
      <w:r>
        <w:t xml:space="preserve">, each call for the true energy and surfaces triggers the formation of new GPR surface (see Fig.</w:t>
      </w:r>
      <w:r>
        <w:t xml:space="preserve"> </w:t>
      </w:r>
      <w:hyperlink w:anchor="fig:optgpr">
        <w:r>
          <w:rPr>
            <w:rStyle w:val="Hyperlink"/>
          </w:rPr>
          <w:t xml:space="preserve">11</w:t>
        </w:r>
      </w:hyperlink>
      <w:r>
        <w:t xml:space="preserve">). Indeed, given the high cost and low scalability; it is not feasible to reach the high data limit when the effect of the prior is overcome by the likelihood. Most of the models then, are formed in the low data limit, when the priors are of importance. From a frequentist or machine-learning perspective, the prior naturally gives rise to the</w:t>
      </w:r>
      <w:r>
        <w:t xml:space="preserve"> </w:t>
      </w:r>
      <w:r>
        <w:t xml:space="preserve">“</w:t>
      </w:r>
      <w:r>
        <w:t xml:space="preserve">regularization</w:t>
      </w:r>
      <w:r>
        <w:t xml:space="preserve">”</w:t>
      </w:r>
      <w:r>
        <w:t xml:space="preserve"> </w:t>
      </w:r>
      <w:r>
        <w:t xml:space="preserve">effect</w:t>
      </w:r>
      <w:r>
        <w:t xml:space="preserve"> </w:t>
      </w:r>
      <w:r>
        <w:t xml:space="preserve">, reducing overfitting which is normally explicitly written into models</w:t>
      </w:r>
      <w:r>
        <w:t xml:space="preserve"> </w:t>
      </w:r>
      <w:r>
        <w:t xml:space="preserve">.</w:t>
      </w:r>
    </w:p>
    <w:p>
      <w:pPr>
        <w:pStyle w:val="CaptionedFigure"/>
      </w:pPr>
      <w:bookmarkStart w:id="60" w:name="fig:borrowmce"/>
      <w:r>
        <w:drawing>
          <wp:inline>
            <wp:extent cx="5334000" cy="6201526"/>
            <wp:effectExtent b="0" l="0" r="0" t="0"/>
            <wp:docPr descr="[fig:borrowmce]Illustrative effect of iterative modeling from . The lighter dashed line shows the previous model (starting from the uniform prior). Note that importantly, as more data is drawn, the prior becomes less important." title="" id="1" name="Picture"/>
            <a:graphic>
              <a:graphicData uri="http://schemas.openxmlformats.org/drawingml/2006/picture">
                <pic:pic>
                  <pic:nvPicPr>
                    <pic:cNvPr descr="images/Pruning_Rationale/2021-02-28_02-15-59_screenshot.png" id="0" name="Picture"/>
                    <pic:cNvPicPr>
                      <a:picLocks noChangeArrowheads="1" noChangeAspect="1"/>
                    </pic:cNvPicPr>
                  </pic:nvPicPr>
                  <pic:blipFill>
                    <a:blip r:embed="rId59"/>
                    <a:stretch>
                      <a:fillRect/>
                    </a:stretch>
                  </pic:blipFill>
                  <pic:spPr bwMode="auto">
                    <a:xfrm>
                      <a:off x="0" y="0"/>
                      <a:ext cx="5334000" cy="6201526"/>
                    </a:xfrm>
                    <a:prstGeom prst="rect">
                      <a:avLst/>
                    </a:prstGeom>
                    <a:noFill/>
                    <a:ln w="9525">
                      <a:noFill/>
                      <a:headEnd/>
                      <a:tailEnd/>
                    </a:ln>
                  </pic:spPr>
                </pic:pic>
              </a:graphicData>
            </a:graphic>
          </wp:inline>
        </w:drawing>
      </w:r>
      <w:bookmarkEnd w:id="60"/>
    </w:p>
    <w:p>
      <w:pPr>
        <w:pStyle w:val="ImageCaption"/>
      </w:pPr>
      <w:bookmarkStart w:id="61" w:name="fig:borrowmce"/>
      <w:r>
        <w:t xml:space="preserve">[fig:borrowmce]</w:t>
      </w:r>
      <w:bookmarkEnd w:id="61"/>
      <w:r>
        <w:t xml:space="preserve">Illustrative effect of iterative modeling from</w:t>
      </w:r>
      <w:r>
        <w:t xml:space="preserve"> </w:t>
      </w:r>
      <w:r>
        <w:t xml:space="preserve">. The lighter dashed line shows the previous model (starting from the uniform prior). Note that importantly, as more data is drawn, the prior becomes less important.</w:t>
      </w:r>
    </w:p>
    <w:p>
      <w:pPr>
        <w:pStyle w:val="BodyText"/>
      </w:pPr>
      <w:r>
        <w:t xml:space="preserve">Since we calculate the fitness of each final point on the GPR surface, which is the maximum force in any direction; we can remove poor points from the data. Note that the effect of this in terms of the posterior can be written out for clarity as:</w:t>
      </w:r>
    </w:p>
    <w:p>
      <w:pPr>
        <w:pStyle w:val="BodyText"/>
      </w:pPr>
      <m:oMathPara>
        <m:oMathParaPr>
          <m:jc m:val="center"/>
        </m:oMathParaPr>
        <m:oMath>
          <m:m>
            <m:mPr>
              <m:baseJc m:val="center"/>
              <m:plcHide m:val="1"/>
              <m:mcs>
                <m:mc>
                  <m:mcPr>
                    <m:mcJc m:val="right"/>
                    <m:count m:val="1"/>
                  </m:mcPr>
                </m:mc>
                <m:mc>
                  <m:mcPr>
                    <m:mcJc m:val="left"/>
                    <m:count m:val="1"/>
                  </m:mcPr>
                </m:mc>
              </m:mcs>
            </m:mPr>
            <m:mr>
              <m:e>
                <m:r>
                  <m:t>p</m:t>
                </m:r>
                <m:r>
                  <m:rPr>
                    <m:sty m:val="p"/>
                  </m:rPr>
                  <m:t>(</m:t>
                </m:r>
                <m:r>
                  <m:t>𝜃</m:t>
                </m:r>
                <m:r>
                  <m:rPr>
                    <m:sty m:val="p"/>
                  </m:rPr>
                  <m:t>|</m:t>
                </m:r>
                <m:r>
                  <m:t>y</m:t>
                </m:r>
                <m:r>
                  <m:rPr>
                    <m:sty m:val="p"/>
                  </m:rPr>
                  <m:t>₁</m:t>
                </m:r>
                <m:r>
                  <m:rPr>
                    <m:sty m:val="p"/>
                  </m:rPr>
                  <m:t>)</m:t>
                </m:r>
                <m:r>
                  <m:rPr>
                    <m:sty m:val="p"/>
                  </m:rPr>
                  <m:t>=</m:t>
                </m:r>
                <m:r>
                  <m:t>p</m:t>
                </m:r>
                <m:r>
                  <m:rPr>
                    <m:sty m:val="p"/>
                  </m:rPr>
                  <m:t>(</m:t>
                </m:r>
                <m:r>
                  <m:t>y</m:t>
                </m:r>
                <m:r>
                  <m:rPr>
                    <m:sty m:val="p"/>
                  </m:rPr>
                  <m:t>₁</m:t>
                </m:r>
                <m:r>
                  <m:rPr>
                    <m:sty m:val="p"/>
                  </m:rPr>
                  <m:t>|</m:t>
                </m:r>
                <m:r>
                  <m:t>𝜃</m:t>
                </m:r>
                <m:r>
                  <m:rPr>
                    <m:sty m:val="p"/>
                  </m:rPr>
                  <m:t>)</m:t>
                </m:r>
                <m:r>
                  <m:t>p</m:t>
                </m:r>
                <m:r>
                  <m:rPr>
                    <m:sty m:val="p"/>
                  </m:rPr>
                  <m:t>(</m:t>
                </m:r>
                <m:r>
                  <m:t>𝜃</m:t>
                </m:r>
                <m:r>
                  <m:rPr>
                    <m:sty m:val="p"/>
                  </m:rPr>
                  <m:t>)</m:t>
                </m:r>
                <m:r>
                  <m:rPr>
                    <m:sty m:val="p"/>
                  </m:rPr>
                  <m:t>/</m:t>
                </m:r>
                <m:r>
                  <m:rPr>
                    <m:sty m:val="p"/>
                    <m:scr m:val="double-struck"/>
                  </m:rPr>
                  <m:t>Z</m:t>
                </m:r>
                <m:r>
                  <m:rPr>
                    <m:sty m:val="p"/>
                    <m:scr m:val="double-struck"/>
                  </m:rPr>
                  <m:t>₁</m:t>
                </m:r>
              </m:e>
              <m:e>
                <m:r>
                  <m:rPr>
                    <m:nor/>
                    <m:sty m:val="p"/>
                  </m:rPr>
                  <m:t>Likelihood from one data point</m:t>
                </m:r>
              </m:e>
            </m:mr>
            <m:mr>
              <m:e>
                <m:r>
                  <m:t>p</m:t>
                </m:r>
                <m:r>
                  <m:rPr>
                    <m:sty m:val="p"/>
                  </m:rPr>
                  <m:t>(</m:t>
                </m:r>
                <m:r>
                  <m:t>𝜃</m:t>
                </m:r>
                <m:r>
                  <m:rPr>
                    <m:sty m:val="p"/>
                  </m:rPr>
                  <m:t>|</m:t>
                </m:r>
                <m:r>
                  <m:t>y</m:t>
                </m:r>
                <m:r>
                  <m:rPr>
                    <m:sty m:val="p"/>
                  </m:rPr>
                  <m:t>₁</m:t>
                </m:r>
                <m:r>
                  <m:rPr>
                    <m:sty m:val="p"/>
                  </m:rPr>
                  <m:t>,</m:t>
                </m:r>
                <m:r>
                  <m:t>y</m:t>
                </m:r>
                <m:r>
                  <m:rPr>
                    <m:sty m:val="p"/>
                  </m:rPr>
                  <m:t>₂</m:t>
                </m:r>
                <m:r>
                  <m:rPr>
                    <m:sty m:val="p"/>
                  </m:rPr>
                  <m:t>)</m:t>
                </m:r>
                <m:r>
                  <m:rPr>
                    <m:sty m:val="p"/>
                  </m:rPr>
                  <m:t>=</m:t>
                </m:r>
                <m:r>
                  <m:t>p</m:t>
                </m:r>
                <m:r>
                  <m:rPr>
                    <m:sty m:val="p"/>
                  </m:rPr>
                  <m:t>(</m:t>
                </m:r>
                <m:r>
                  <m:t>y</m:t>
                </m:r>
                <m:r>
                  <m:rPr>
                    <m:sty m:val="p"/>
                  </m:rPr>
                  <m:t>₁</m:t>
                </m:r>
                <m:r>
                  <m:rPr>
                    <m:sty m:val="p"/>
                  </m:rPr>
                  <m:t>,</m:t>
                </m:r>
                <m:r>
                  <m:t>y</m:t>
                </m:r>
                <m:r>
                  <m:rPr>
                    <m:sty m:val="p"/>
                  </m:rPr>
                  <m:t>₂</m:t>
                </m:r>
                <m:r>
                  <m:rPr>
                    <m:sty m:val="p"/>
                  </m:rPr>
                  <m:t>|</m:t>
                </m:r>
                <m:r>
                  <m:t>𝜃</m:t>
                </m:r>
                <m:r>
                  <m:rPr>
                    <m:sty m:val="p"/>
                  </m:rPr>
                  <m:t>)</m:t>
                </m:r>
                <m:r>
                  <m:t>p</m:t>
                </m:r>
                <m:r>
                  <m:rPr>
                    <m:sty m:val="p"/>
                  </m:rPr>
                  <m:t>(</m:t>
                </m:r>
                <m:r>
                  <m:t>𝜃</m:t>
                </m:r>
                <m:r>
                  <m:rPr>
                    <m:sty m:val="p"/>
                  </m:rPr>
                  <m:t>)</m:t>
                </m:r>
                <m:r>
                  <m:rPr>
                    <m:sty m:val="p"/>
                  </m:rPr>
                  <m:t>/</m:t>
                </m:r>
                <m:sSub>
                  <m:e>
                    <m:r>
                      <m:rPr>
                        <m:sty m:val="p"/>
                        <m:scr m:val="double-struck"/>
                      </m:rPr>
                      <m:t>Z</m:t>
                    </m:r>
                  </m:e>
                  <m:sub>
                    <m:r>
                      <m:rPr>
                        <m:sty m:val="p"/>
                        <m:scr m:val="double-struck"/>
                      </m:rPr>
                      <m:t>12</m:t>
                    </m:r>
                  </m:sub>
                </m:sSub>
              </m:e>
              <m:e>
                <m:r>
                  <m:rPr>
                    <m:nor/>
                    <m:sty m:val="p"/>
                  </m:rPr>
                  <m:t>Likelihood from two data points</m:t>
                </m:r>
              </m:e>
            </m:mr>
            <m:mr>
              <m:e>
                <m:r>
                  <m:t>p</m:t>
                </m:r>
                <m:r>
                  <m:rPr>
                    <m:sty m:val="p"/>
                  </m:rPr>
                  <m:t>(</m:t>
                </m:r>
                <m:r>
                  <m:t>𝜃</m:t>
                </m:r>
                <m:r>
                  <m:rPr>
                    <m:sty m:val="p"/>
                  </m:rPr>
                  <m:t>|</m:t>
                </m:r>
                <m:r>
                  <m:t>y</m:t>
                </m:r>
                <m:r>
                  <m:rPr>
                    <m:sty m:val="p"/>
                  </m:rPr>
                  <m:t>₁</m:t>
                </m:r>
                <m:r>
                  <m:rPr>
                    <m:sty m:val="p"/>
                  </m:rPr>
                  <m:t>,</m:t>
                </m:r>
                <m:r>
                  <m:t>y</m:t>
                </m:r>
                <m:r>
                  <m:rPr>
                    <m:sty m:val="p"/>
                  </m:rPr>
                  <m:t>₂</m:t>
                </m:r>
                <m:r>
                  <m:rPr>
                    <m:sty m:val="p"/>
                  </m:rPr>
                  <m:t>,</m:t>
                </m:r>
                <m:r>
                  <m:t>y</m:t>
                </m:r>
                <m:r>
                  <m:rPr>
                    <m:sty m:val="p"/>
                  </m:rPr>
                  <m:t>₃</m:t>
                </m:r>
                <m:r>
                  <m:rPr>
                    <m:sty m:val="p"/>
                  </m:rPr>
                  <m:t>)</m:t>
                </m:r>
                <m:r>
                  <m:rPr>
                    <m:sty m:val="p"/>
                  </m:rPr>
                  <m:t>=</m:t>
                </m:r>
                <m:r>
                  <m:t>p</m:t>
                </m:r>
                <m:r>
                  <m:rPr>
                    <m:sty m:val="p"/>
                  </m:rPr>
                  <m:t>(</m:t>
                </m:r>
                <m:r>
                  <m:t>y</m:t>
                </m:r>
                <m:r>
                  <m:rPr>
                    <m:sty m:val="p"/>
                  </m:rPr>
                  <m:t>₁</m:t>
                </m:r>
                <m:r>
                  <m:rPr>
                    <m:sty m:val="p"/>
                  </m:rPr>
                  <m:t>,</m:t>
                </m:r>
                <m:r>
                  <m:t>y</m:t>
                </m:r>
                <m:r>
                  <m:rPr>
                    <m:sty m:val="p"/>
                  </m:rPr>
                  <m:t>₂</m:t>
                </m:r>
                <m:r>
                  <m:rPr>
                    <m:sty m:val="p"/>
                  </m:rPr>
                  <m:t>,</m:t>
                </m:r>
                <m:r>
                  <m:t>y</m:t>
                </m:r>
                <m:r>
                  <m:rPr>
                    <m:sty m:val="p"/>
                  </m:rPr>
                  <m:t>₃</m:t>
                </m:r>
                <m:r>
                  <m:rPr>
                    <m:sty m:val="p"/>
                  </m:rPr>
                  <m:t>|</m:t>
                </m:r>
                <m:r>
                  <m:t>𝜃</m:t>
                </m:r>
                <m:r>
                  <m:rPr>
                    <m:sty m:val="p"/>
                  </m:rPr>
                  <m:t>)</m:t>
                </m:r>
                <m:r>
                  <m:t>p</m:t>
                </m:r>
                <m:r>
                  <m:rPr>
                    <m:sty m:val="p"/>
                  </m:rPr>
                  <m:t>(</m:t>
                </m:r>
                <m:r>
                  <m:t>𝜃</m:t>
                </m:r>
                <m:r>
                  <m:rPr>
                    <m:sty m:val="p"/>
                  </m:rPr>
                  <m:t>)</m:t>
                </m:r>
                <m:r>
                  <m:rPr>
                    <m:sty m:val="p"/>
                  </m:rPr>
                  <m:t>/</m:t>
                </m:r>
                <m:sSub>
                  <m:e>
                    <m:r>
                      <m:rPr>
                        <m:sty m:val="p"/>
                        <m:scr m:val="double-struck"/>
                      </m:rPr>
                      <m:t>Z</m:t>
                    </m:r>
                  </m:e>
                  <m:sub>
                    <m:r>
                      <m:rPr>
                        <m:sty m:val="p"/>
                        <m:scr m:val="double-struck"/>
                      </m:rPr>
                      <m:t>123</m:t>
                    </m:r>
                  </m:sub>
                </m:sSub>
              </m:e>
              <m:e>
                <m:r>
                  <m:rPr>
                    <m:nor/>
                    <m:sty m:val="p"/>
                  </m:rPr>
                  <m:t>Likelihood from two data points</m:t>
                </m:r>
              </m:e>
            </m:mr>
            <m:mr>
              <m:e>
                <m:r>
                  <m:t>p</m:t>
                </m:r>
                <m:r>
                  <m:rPr>
                    <m:sty m:val="p"/>
                  </m:rPr>
                  <m:t>(</m:t>
                </m:r>
                <m:r>
                  <m:t>𝜃</m:t>
                </m:r>
                <m:r>
                  <m:rPr>
                    <m:sty m:val="p"/>
                  </m:rPr>
                  <m:t>|</m:t>
                </m:r>
                <m:r>
                  <m:t>y</m:t>
                </m:r>
                <m:r>
                  <m:rPr>
                    <m:sty m:val="p"/>
                  </m:rPr>
                  <m:t>₁</m:t>
                </m:r>
                <m:r>
                  <m:rPr>
                    <m:sty m:val="p"/>
                  </m:rPr>
                  <m:t>,</m:t>
                </m:r>
                <m:r>
                  <m:t>y</m:t>
                </m:r>
                <m:r>
                  <m:rPr>
                    <m:sty m:val="p"/>
                  </m:rPr>
                  <m:t>₃</m:t>
                </m:r>
                <m:r>
                  <m:rPr>
                    <m:sty m:val="p"/>
                  </m:rPr>
                  <m:t>)</m:t>
                </m:r>
                <m:r>
                  <m:rPr>
                    <m:sty m:val="p"/>
                  </m:rPr>
                  <m:t>=</m:t>
                </m:r>
                <m:r>
                  <m:t>p</m:t>
                </m:r>
                <m:r>
                  <m:rPr>
                    <m:sty m:val="p"/>
                  </m:rPr>
                  <m:t>(</m:t>
                </m:r>
                <m:r>
                  <m:t>y</m:t>
                </m:r>
                <m:r>
                  <m:rPr>
                    <m:sty m:val="p"/>
                  </m:rPr>
                  <m:t>₁</m:t>
                </m:r>
                <m:r>
                  <m:rPr>
                    <m:sty m:val="p"/>
                  </m:rPr>
                  <m:t>,</m:t>
                </m:r>
                <m:r>
                  <m:t>y</m:t>
                </m:r>
                <m:r>
                  <m:rPr>
                    <m:sty m:val="p"/>
                  </m:rPr>
                  <m:t>₃</m:t>
                </m:r>
                <m:r>
                  <m:rPr>
                    <m:sty m:val="p"/>
                  </m:rPr>
                  <m:t>|</m:t>
                </m:r>
                <m:r>
                  <m:t>𝜃</m:t>
                </m:r>
                <m:r>
                  <m:rPr>
                    <m:sty m:val="p"/>
                  </m:rPr>
                  <m:t>)</m:t>
                </m:r>
                <m:r>
                  <m:t>p</m:t>
                </m:r>
                <m:r>
                  <m:rPr>
                    <m:sty m:val="p"/>
                  </m:rPr>
                  <m:t>′</m:t>
                </m:r>
                <m:r>
                  <m:rPr>
                    <m:sty m:val="p"/>
                  </m:rPr>
                  <m:t>(</m:t>
                </m:r>
                <m:r>
                  <m:t>𝜃</m:t>
                </m:r>
                <m:r>
                  <m:rPr>
                    <m:sty m:val="p"/>
                  </m:rPr>
                  <m:t>)</m:t>
                </m:r>
                <m:r>
                  <m:rPr>
                    <m:sty m:val="p"/>
                  </m:rPr>
                  <m:t>/</m:t>
                </m:r>
                <m:r>
                  <m:rPr>
                    <m:sty m:val="p"/>
                    <m:scr m:val="double-struck"/>
                  </m:rPr>
                  <m:t>Z</m:t>
                </m:r>
                <m:r>
                  <m:rPr>
                    <m:sty m:val="p"/>
                    <m:scr m:val="double-struck"/>
                  </m:rPr>
                  <m:t>₁</m:t>
                </m:r>
                <m:r>
                  <m:rPr>
                    <m:sty m:val="p"/>
                    <m:scr m:val="double-struck"/>
                  </m:rPr>
                  <m:t>₂</m:t>
                </m:r>
                <m:r>
                  <m:rPr>
                    <m:sty m:val="p"/>
                    <m:scr m:val="double-struck"/>
                  </m:rPr>
                  <m:t>₃</m:t>
                </m:r>
              </m:e>
              <m:e>
                <m:r>
                  <m:rPr>
                    <m:nor/>
                    <m:sty m:val="p"/>
                  </m:rPr>
                  <m:t>All probabilities considered are Gaussian</m:t>
                </m:r>
              </m:e>
            </m:mr>
            <m:mr>
              <m:e>
                <m:r>
                  <m:t>p</m:t>
                </m:r>
                <m:r>
                  <m:rPr>
                    <m:sty m:val="p"/>
                  </m:rPr>
                  <m:t>(</m:t>
                </m:r>
                <m:r>
                  <m:t>𝜃</m:t>
                </m:r>
                <m:r>
                  <m:rPr>
                    <m:sty m:val="p"/>
                  </m:rPr>
                  <m:t>|</m:t>
                </m:r>
                <m:r>
                  <m:t>y</m:t>
                </m:r>
                <m:r>
                  <m:rPr>
                    <m:sty m:val="p"/>
                  </m:rPr>
                  <m:t>₁</m:t>
                </m:r>
                <m:r>
                  <m:rPr>
                    <m:sty m:val="p"/>
                  </m:rPr>
                  <m:t>…</m:t>
                </m:r>
                <m:r>
                  <m:t>y</m:t>
                </m:r>
                <m:r>
                  <m:t>ₙ</m:t>
                </m:r>
                <m:r>
                  <m:rPr>
                    <m:sty m:val="p"/>
                  </m:rPr>
                  <m:t>)</m:t>
                </m:r>
                <m:r>
                  <m:rPr>
                    <m:sty m:val="p"/>
                  </m:rPr>
                  <m:t>=</m:t>
                </m:r>
                <m:r>
                  <m:t>p</m:t>
                </m:r>
                <m:r>
                  <m:rPr>
                    <m:sty m:val="p"/>
                  </m:rPr>
                  <m:t>(</m:t>
                </m:r>
                <m:r>
                  <m:t>y</m:t>
                </m:r>
                <m:r>
                  <m:rPr>
                    <m:sty m:val="p"/>
                  </m:rPr>
                  <m:t>₁</m:t>
                </m:r>
                <m:r>
                  <m:rPr>
                    <m:sty m:val="p"/>
                  </m:rPr>
                  <m:t>…</m:t>
                </m:r>
                <m:r>
                  <m:t>y</m:t>
                </m:r>
                <m:r>
                  <m:t>ₙ</m:t>
                </m:r>
                <m:r>
                  <m:rPr>
                    <m:sty m:val="p"/>
                  </m:rPr>
                  <m:t>|</m:t>
                </m:r>
                <m:r>
                  <m:t>𝜃</m:t>
                </m:r>
                <m:r>
                  <m:rPr>
                    <m:sty m:val="p"/>
                  </m:rPr>
                  <m:t>)</m:t>
                </m:r>
                <m:r>
                  <m:t>p</m:t>
                </m:r>
                <m:r>
                  <m:rPr>
                    <m:sty m:val="p"/>
                  </m:rPr>
                  <m:t>(</m:t>
                </m:r>
                <m:r>
                  <m:t>𝜃</m:t>
                </m:r>
                <m:r>
                  <m:rPr>
                    <m:sty m:val="p"/>
                  </m:rPr>
                  <m:t>)</m:t>
                </m:r>
                <m:r>
                  <m:rPr>
                    <m:sty m:val="p"/>
                  </m:rPr>
                  <m:t>/</m:t>
                </m:r>
                <m:sSub>
                  <m:e>
                    <m:r>
                      <m:rPr>
                        <m:sty m:val="p"/>
                        <m:scr m:val="double-struck"/>
                      </m:rPr>
                      <m:t>Z</m:t>
                    </m:r>
                  </m:e>
                  <m:sub>
                    <m:r>
                      <m:rPr>
                        <m:sty m:val="p"/>
                        <m:scr m:val="double-struck"/>
                      </m:rPr>
                      <m:t>1</m:t>
                    </m:r>
                    <m:r>
                      <m:rPr>
                        <m:sty m:val="p"/>
                        <m:scr m:val="double-struck"/>
                      </m:rPr>
                      <m:t>…</m:t>
                    </m:r>
                    <m:r>
                      <m:rPr>
                        <m:sty m:val="p"/>
                        <m:scr m:val="double-struck"/>
                      </m:rPr>
                      <m:t>n</m:t>
                    </m:r>
                  </m:sub>
                </m:sSub>
              </m:e>
              <m:e>
                <m:r>
                  <m:rPr>
                    <m:nor/>
                    <m:sty m:val="p"/>
                  </m:rPr>
                  <m:t>Likelihood from n data points</m:t>
                </m:r>
              </m:e>
            </m:mr>
          </m:m>
        </m:oMath>
      </m:oMathPara>
    </w:p>
    <w:p>
      <w:pPr>
        <w:pStyle w:val="FirstParagraph"/>
      </w:pPr>
      <w:r>
        <w:t xml:space="preserve">As the product of two Gaussian distributions are also a Gaussian, since we have a Gaussian prior, we can absorb the effect of the second data point into the prior. This means that this iterative modeling could be seen as a case of using a new prior (namely, the posterior of the previous step) with a new data point; which is shown also in Fig.</w:t>
      </w:r>
      <w:r>
        <w:t xml:space="preserve"> </w:t>
      </w:r>
      <w:hyperlink w:anchor="fig:borrowmce">
        <w:r>
          <w:rPr>
            <w:rStyle w:val="Hyperlink"/>
          </w:rPr>
          <w:t xml:space="preserve">13</w:t>
        </w:r>
      </w:hyperlink>
      <w:r>
        <w:t xml:space="preserve">.</w:t>
      </w:r>
    </w:p>
    <w:p>
      <w:pPr>
        <w:pStyle w:val="BodyText"/>
      </w:pPr>
      <w:r>
        <w:t xml:space="preserve">Normally, there is no need to compute the model posteriors in this manner, since the model is equivalent, irrespective of being trained one point at a time; or on a set of inputs</w:t>
      </w:r>
      <w:r>
        <w:t xml:space="preserve"> </w:t>
      </w:r>
      <w:r>
        <w:t xml:space="preserve">. However, the effect of poor data is more explicit above; if the likelihood is written out as above. More generally, active data set restrictions have been reported to improve efficiency</w:t>
      </w:r>
      <w:r>
        <w:t xml:space="preserve"> </w:t>
      </w:r>
      <w:r>
        <w:t xml:space="preserve">.</w:t>
      </w:r>
    </w:p>
    <w:p>
      <w:pPr>
        <w:pStyle w:val="BodyText"/>
      </w:pPr>
      <w:r>
        <w:t xml:space="preserve">Perhaps more importantly, the local optimization of the hyperparameters scales poorly;</w:t>
      </w:r>
      <w:r>
        <w:t xml:space="preserve"> </w:t>
      </w:r>
      <m:oMath>
        <m:r>
          <m:t>O</m:t>
        </m:r>
        <m:r>
          <m:rPr>
            <m:sty m:val="p"/>
          </m:rPr>
          <m:t>(</m:t>
        </m:r>
        <m:r>
          <m:t>N</m:t>
        </m:r>
        <m:r>
          <m:rPr>
            <m:sty m:val="p"/>
          </m:rPr>
          <m:t>³</m:t>
        </m:r>
        <m:r>
          <m:rPr>
            <m:sty m:val="p"/>
          </m:rPr>
          <m:t>)</m:t>
        </m:r>
      </m:oMath>
      <w:r>
        <w:t xml:space="preserve"> </w:t>
      </w:r>
      <w:r>
        <w:t xml:space="preserve">with respect to the number of entries in the covariance matrix</w:t>
      </w:r>
      <w:r>
        <w:t xml:space="preserve"> </w:t>
      </w:r>
      <w:r>
        <w:t xml:space="preserve">; practically, this means that large systems and long timescales are inaccessible in theory as the number of observations increases with each step until convergence. With pruning, we are able to put a bound on the</w:t>
      </w:r>
      <w:r>
        <w:t xml:space="preserve"> </w:t>
      </w:r>
      <m:oMath>
        <m:r>
          <m:t>O</m:t>
        </m:r>
        <m:r>
          <m:rPr>
            <m:sty m:val="p"/>
          </m:rPr>
          <m:t>(</m:t>
        </m:r>
        <m:r>
          <m:t>N</m:t>
        </m:r>
        <m:r>
          <m:rPr>
            <m:sty m:val="p"/>
          </m:rPr>
          <m:t>³</m:t>
        </m:r>
        <m:r>
          <m:rPr>
            <m:sty m:val="p"/>
          </m:rPr>
          <m:t>)</m:t>
        </m:r>
      </m:oMath>
      <w:r>
        <w:t xml:space="preserve"> </w:t>
      </w:r>
      <w:r>
        <w:t xml:space="preserve">term. Note that overly zealous pruning will lead to too little information being present for the GPR. Adaptive pruning might also help steer the system to saddle points where convergence is difficult. It should be kept in mind that the generation of PES samples (DFT forces and energies) scales worse than</w:t>
      </w:r>
      <w:r>
        <w:t xml:space="preserve"> </w:t>
      </w:r>
      <m:oMath>
        <m:r>
          <m:t>O</m:t>
        </m:r>
        <m:r>
          <m:rPr>
            <m:sty m:val="p"/>
          </m:rPr>
          <m:t>(</m:t>
        </m:r>
        <m:r>
          <m:t>N</m:t>
        </m:r>
        <m:r>
          <m:rPr>
            <m:sty m:val="p"/>
          </m:rPr>
          <m:t>³</m:t>
        </m:r>
        <m:r>
          <m:rPr>
            <m:sty m:val="p"/>
          </m:rPr>
          <m:t>)</m:t>
        </m:r>
      </m:oMath>
      <w:r>
        <w:t xml:space="preserve"> </w:t>
      </w:r>
      <w:r>
        <w:t xml:space="preserve"> </w:t>
      </w:r>
      <w:r>
        <w:t xml:space="preserve">typically; and makes the dimer method unfeasible.</w:t>
      </w:r>
    </w:p>
    <w:p>
      <w:pPr>
        <w:pStyle w:val="BodyText"/>
      </w:pPr>
      <w:r>
        <w:t xml:space="preserve">By implementing the pruning logic as shown in Fig.</w:t>
      </w:r>
      <w:r>
        <w:t xml:space="preserve"> </w:t>
      </w:r>
      <w:hyperlink w:anchor="fig:pruneme">
        <w:r>
          <w:rPr>
            <w:rStyle w:val="Hyperlink"/>
          </w:rPr>
          <w:t xml:space="preserve">14</w:t>
        </w:r>
      </w:hyperlink>
      <w:r>
        <w:t xml:space="preserve"> </w:t>
      </w:r>
      <w:r>
        <w:t xml:space="preserve">using user parameters, we are able to achieve better convergence and in some cases, improved performance as well. Note that since we test for convergence using the maximum forces at the end of each LBFGS translation, we have the results of the fitness function for pruning at a later stage.</w:t>
      </w:r>
    </w:p>
    <w:p>
      <w:pPr>
        <w:pStyle w:val="CaptionedFigure"/>
      </w:pPr>
      <w:bookmarkStart w:id="63" w:name="fig:pruneme"/>
      <w:r>
        <w:drawing>
          <wp:inline>
            <wp:extent cx="5334000" cy="6299050"/>
            <wp:effectExtent b="0" l="0" r="0" t="0"/>
            <wp:docPr descr="[fig:pruneme]Pruning logic embedded in the GPRD to form GPRD-P; NPRUNE is the (max) number of elements to remove, PRUNEFORCE is the force threshold, and PRUNESTART is the starting number of points;" title="" id="1" name="Picture"/>
            <a:graphic>
              <a:graphicData uri="http://schemas.openxmlformats.org/drawingml/2006/picture">
                <pic:pic>
                  <pic:nvPicPr>
                    <pic:cNvPr descr="images/pruneLogic.jpg" id="0" name="Picture"/>
                    <pic:cNvPicPr>
                      <a:picLocks noChangeArrowheads="1" noChangeAspect="1"/>
                    </pic:cNvPicPr>
                  </pic:nvPicPr>
                  <pic:blipFill>
                    <a:blip r:embed="rId62"/>
                    <a:stretch>
                      <a:fillRect/>
                    </a:stretch>
                  </pic:blipFill>
                  <pic:spPr bwMode="auto">
                    <a:xfrm>
                      <a:off x="0" y="0"/>
                      <a:ext cx="5334000" cy="6299050"/>
                    </a:xfrm>
                    <a:prstGeom prst="rect">
                      <a:avLst/>
                    </a:prstGeom>
                    <a:noFill/>
                    <a:ln w="9525">
                      <a:noFill/>
                      <a:headEnd/>
                      <a:tailEnd/>
                    </a:ln>
                  </pic:spPr>
                </pic:pic>
              </a:graphicData>
            </a:graphic>
          </wp:inline>
        </w:drawing>
      </w:r>
      <w:bookmarkEnd w:id="63"/>
    </w:p>
    <w:p>
      <w:pPr>
        <w:pStyle w:val="ImageCaption"/>
      </w:pPr>
      <w:bookmarkStart w:id="64" w:name="fig:pruneme"/>
      <w:r>
        <w:t xml:space="preserve">[fig:pruneme]</w:t>
      </w:r>
      <w:bookmarkEnd w:id="64"/>
      <w:r>
        <w:t xml:space="preserve">Pruning logic embedded in the GPRD to form GPRD-P; N</w:t>
      </w:r>
      <w:r>
        <w:rPr>
          <w:vertAlign w:val="subscript"/>
        </w:rPr>
        <w:t xml:space="preserve">PRUNE</w:t>
      </w:r>
      <w:r>
        <w:t xml:space="preserve"> </w:t>
      </w:r>
      <w:r>
        <w:t xml:space="preserve">is the (max) number of elements to remove, PRUNE</w:t>
      </w:r>
      <w:r>
        <w:rPr>
          <w:vertAlign w:val="subscript"/>
        </w:rPr>
        <w:t xml:space="preserve">FORCE</w:t>
      </w:r>
      <w:r>
        <w:t xml:space="preserve"> </w:t>
      </w:r>
      <w:r>
        <w:t xml:space="preserve">is the force threshold, and PRUNE</w:t>
      </w:r>
      <w:r>
        <w:rPr>
          <w:vertAlign w:val="subscript"/>
        </w:rPr>
        <w:t xml:space="preserve">START</w:t>
      </w:r>
      <w:r>
        <w:t xml:space="preserve"> </w:t>
      </w:r>
      <w:r>
        <w:t xml:space="preserve">is the starting number of points;</w:t>
      </w:r>
    </w:p>
    <w:bookmarkEnd w:id="65"/>
    <w:bookmarkStart w:id="66" w:name="sec:org3c2ffb2"/>
    <w:p>
      <w:pPr>
        <w:pStyle w:val="Heading3"/>
      </w:pPr>
      <w:r>
        <w:t xml:space="preserve">Quantifying Overheads</w:t>
      </w:r>
    </w:p>
    <w:p>
      <w:pPr>
        <w:pStyle w:val="FirstParagraph"/>
      </w:pPr>
      <w:r>
        <w:t xml:space="preserve">We define the GPR overhead to be the difference between the total time elapsed and the number of samples taken from the true PES times the average time</w:t>
      </w:r>
      <w:r>
        <w:t xml:space="preserve"> </w:t>
      </w:r>
      <m:oMath>
        <m:r>
          <m:rPr>
            <m:sty m:val="p"/>
          </m:rPr>
          <m:t>(</m:t>
        </m:r>
        <m:acc>
          <m:accPr>
            <m:chr m:val="¯"/>
          </m:accPr>
          <m:e>
            <m:sSub>
              <m:e>
                <m:r>
                  <m:t>t</m:t>
                </m:r>
              </m:e>
              <m:sub>
                <m:r>
                  <m:t>D</m:t>
                </m:r>
                <m:r>
                  <m:t>F</m:t>
                </m:r>
                <m:r>
                  <m:t>T</m:t>
                </m:r>
              </m:sub>
            </m:sSub>
          </m:e>
        </m:acc>
        <m:r>
          <m:rPr>
            <m:sty m:val="p"/>
          </m:rPr>
          <m:t>)</m:t>
        </m:r>
      </m:oMath>
      <w:r>
        <w:t xml:space="preserve"> </w:t>
      </w:r>
      <w:r>
        <w:t xml:space="preserve">for calculating the true forces and energies.</w:t>
      </w:r>
    </w:p>
    <w:p>
      <w:pPr>
        <w:pStyle w:val="BodyText"/>
      </w:pPr>
      <m:oMathPara>
        <m:oMathParaPr>
          <m:jc m:val="center"/>
        </m:oMathParaPr>
        <m:oMath>
          <m:sSub>
            <m:e>
              <m:r>
                <m:t>O</m:t>
              </m:r>
            </m:e>
            <m:sub>
              <m:r>
                <m:rPr>
                  <m:sty m:val="p"/>
                </m:rPr>
                <m:t>m</m:t>
              </m:r>
              <m:r>
                <m:rPr>
                  <m:sty m:val="p"/>
                </m:rPr>
                <m:t>e</m:t>
              </m:r>
              <m:r>
                <m:rPr>
                  <m:sty m:val="p"/>
                </m:rPr>
                <m:t>t</m:t>
              </m:r>
              <m:r>
                <m:rPr>
                  <m:sty m:val="p"/>
                </m:rPr>
                <m:t>h</m:t>
              </m:r>
              <m:r>
                <m:rPr>
                  <m:sty m:val="p"/>
                </m:rPr>
                <m:t>o</m:t>
              </m:r>
              <m:r>
                <m:rPr>
                  <m:sty m:val="p"/>
                </m:rPr>
                <m:t>d</m:t>
              </m:r>
            </m:sub>
          </m:sSub>
          <m:r>
            <m:rPr>
              <m:sty m:val="p"/>
            </m:rPr>
            <m:t>=</m:t>
          </m:r>
          <m:sSub>
            <m:e>
              <m:r>
                <m:t>T</m:t>
              </m:r>
            </m:e>
            <m:sub>
              <m:r>
                <m:t>e</m:t>
              </m:r>
              <m:r>
                <m:t>l</m:t>
              </m:r>
              <m:r>
                <m:t>a</m:t>
              </m:r>
              <m:r>
                <m:t>p</m:t>
              </m:r>
              <m:r>
                <m:t>s</m:t>
              </m:r>
              <m:r>
                <m:t>e</m:t>
              </m:r>
              <m:r>
                <m:t>d</m:t>
              </m:r>
            </m:sub>
          </m:sSub>
          <m:r>
            <m:rPr>
              <m:sty m:val="p"/>
            </m:rPr>
            <m:t>−</m:t>
          </m:r>
          <m:r>
            <m:rPr>
              <m:sty m:val="p"/>
            </m:rPr>
            <m:t>(</m:t>
          </m:r>
          <m:acc>
            <m:accPr>
              <m:chr m:val="¯"/>
            </m:accPr>
            <m:e>
              <m:sSub>
                <m:e>
                  <m:r>
                    <m:t>t</m:t>
                  </m:r>
                </m:e>
                <m:sub>
                  <m:r>
                    <m:t>D</m:t>
                  </m:r>
                  <m:r>
                    <m:t>F</m:t>
                  </m:r>
                  <m:r>
                    <m:t>T</m:t>
                  </m:r>
                </m:sub>
              </m:sSub>
            </m:e>
          </m:acc>
          <m:r>
            <m:rPr>
              <m:sty m:val="p"/>
            </m:rPr>
            <m:t>×</m:t>
          </m:r>
          <m:sSub>
            <m:e>
              <m:r>
                <m:t>N</m:t>
              </m:r>
            </m:e>
            <m:sub>
              <m:r>
                <m:rPr>
                  <m:sty m:val="p"/>
                </m:rPr>
                <m:t>s</m:t>
              </m:r>
              <m:r>
                <m:rPr>
                  <m:sty m:val="p"/>
                </m:rPr>
                <m:t>a</m:t>
              </m:r>
              <m:r>
                <m:rPr>
                  <m:sty m:val="p"/>
                </m:rPr>
                <m:t>m</m:t>
              </m:r>
              <m:r>
                <m:rPr>
                  <m:sty m:val="p"/>
                </m:rPr>
                <m:t>p</m:t>
              </m:r>
              <m:r>
                <m:rPr>
                  <m:sty m:val="p"/>
                </m:rPr>
                <m:t>l</m:t>
              </m:r>
              <m:r>
                <m:rPr>
                  <m:sty m:val="p"/>
                </m:rPr>
                <m:t>e</m:t>
              </m:r>
              <m:r>
                <m:rPr>
                  <m:sty m:val="p"/>
                </m:rPr>
                <m:t>s</m:t>
              </m:r>
            </m:sub>
          </m:sSub>
          <m:r>
            <m:rPr>
              <m:sty m:val="p"/>
            </m:rPr>
            <m:t>)</m:t>
          </m:r>
        </m:oMath>
      </m:oMathPara>
    </w:p>
    <w:p>
      <w:pPr>
        <w:pStyle w:val="FirstParagraph"/>
      </w:pPr>
      <w:r>
        <w:t xml:space="preserve">Note that this measure does not account for the time taken by the LBFGS on the GPR surface. We can apply the same formula to the dimer method as well; in order to get an estimate of the normal EON dimer overhead. This means that we can also define a cost function (lower is better) as:</w:t>
      </w:r>
    </w:p>
    <w:p>
      <w:pPr>
        <w:pStyle w:val="BodyText"/>
      </w:pPr>
      <m:oMathPara>
        <m:oMathParaPr>
          <m:jc m:val="center"/>
        </m:oMathParaPr>
        <m:oMath>
          <m:sSub>
            <m:e>
              <m:r>
                <m:t>C</m:t>
              </m:r>
            </m:e>
            <m:sub>
              <m:r>
                <m:rPr>
                  <m:sty m:val="p"/>
                </m:rPr>
                <m:t>m</m:t>
              </m:r>
              <m:r>
                <m:rPr>
                  <m:sty m:val="p"/>
                </m:rPr>
                <m:t>e</m:t>
              </m:r>
              <m:r>
                <m:rPr>
                  <m:sty m:val="p"/>
                </m:rPr>
                <m:t>t</m:t>
              </m:r>
              <m:r>
                <m:rPr>
                  <m:sty m:val="p"/>
                </m:rPr>
                <m:t>h</m:t>
              </m:r>
              <m:r>
                <m:rPr>
                  <m:sty m:val="p"/>
                </m:rPr>
                <m:t>o</m:t>
              </m:r>
              <m:r>
                <m:rPr>
                  <m:sty m:val="p"/>
                </m:rPr>
                <m:t>d</m:t>
              </m:r>
            </m:sub>
          </m:sSub>
          <m:r>
            <m:rPr>
              <m:sty m:val="p"/>
            </m:rPr>
            <m:t>=</m:t>
          </m:r>
          <m:f>
            <m:fPr>
              <m:type m:val="bar"/>
            </m:fPr>
            <m:num>
              <m:sSub>
                <m:e>
                  <m:r>
                    <m:t>O</m:t>
                  </m:r>
                </m:e>
                <m:sub>
                  <m:r>
                    <m:rPr>
                      <m:sty m:val="p"/>
                    </m:rPr>
                    <m:t>m</m:t>
                  </m:r>
                  <m:r>
                    <m:rPr>
                      <m:sty m:val="p"/>
                    </m:rPr>
                    <m:t>e</m:t>
                  </m:r>
                  <m:r>
                    <m:rPr>
                      <m:sty m:val="p"/>
                    </m:rPr>
                    <m:t>t</m:t>
                  </m:r>
                  <m:r>
                    <m:rPr>
                      <m:sty m:val="p"/>
                    </m:rPr>
                    <m:t>h</m:t>
                  </m:r>
                  <m:r>
                    <m:rPr>
                      <m:sty m:val="p"/>
                    </m:rPr>
                    <m:t>o</m:t>
                  </m:r>
                  <m:r>
                    <m:rPr>
                      <m:sty m:val="p"/>
                    </m:rPr>
                    <m:t>d</m:t>
                  </m:r>
                </m:sub>
              </m:sSub>
            </m:num>
            <m:den>
              <m:sSub>
                <m:e>
                  <m:r>
                    <m:t>N</m:t>
                  </m:r>
                </m:e>
                <m:sub>
                  <m:r>
                    <m:rPr>
                      <m:sty m:val="p"/>
                    </m:rPr>
                    <m:t>s</m:t>
                  </m:r>
                  <m:r>
                    <m:rPr>
                      <m:sty m:val="p"/>
                    </m:rPr>
                    <m:t>a</m:t>
                  </m:r>
                  <m:r>
                    <m:rPr>
                      <m:sty m:val="p"/>
                    </m:rPr>
                    <m:t>m</m:t>
                  </m:r>
                  <m:r>
                    <m:rPr>
                      <m:sty m:val="p"/>
                    </m:rPr>
                    <m:t>p</m:t>
                  </m:r>
                  <m:r>
                    <m:rPr>
                      <m:sty m:val="p"/>
                    </m:rPr>
                    <m:t>l</m:t>
                  </m:r>
                  <m:r>
                    <m:rPr>
                      <m:sty m:val="p"/>
                    </m:rPr>
                    <m:t>e</m:t>
                  </m:r>
                  <m:r>
                    <m:rPr>
                      <m:sty m:val="p"/>
                    </m:rPr>
                    <m:t>s</m:t>
                  </m:r>
                </m:sub>
              </m:sSub>
            </m:den>
          </m:f>
        </m:oMath>
      </m:oMathPara>
    </w:p>
    <w:p>
      <w:pPr>
        <w:pStyle w:val="FirstParagraph"/>
      </w:pPr>
      <w:r>
        <w:t xml:space="preserve">The cost function is per unit time taken for evaluating a single sample of the true potential energy, which means lower is better.</w:t>
      </w:r>
    </w:p>
    <w:bookmarkEnd w:id="66"/>
    <w:bookmarkEnd w:id="67"/>
    <w:bookmarkStart w:id="68" w:name="sec:org262c73c"/>
    <w:p>
      <w:pPr>
        <w:pStyle w:val="Heading2"/>
      </w:pPr>
      <w:r>
        <w:rPr>
          <w:bCs/>
          <w:b/>
        </w:rPr>
        <w:t xml:space="preserve">DONE</w:t>
      </w:r>
      <w:r>
        <w:t xml:space="preserve"> </w:t>
      </w:r>
      <w:r>
        <w:t xml:space="preserve">Compute Configuration</w:t>
      </w:r>
    </w:p>
    <w:p>
      <w:pPr>
        <w:pStyle w:val="FirstParagraph"/>
      </w:pPr>
      <w:r>
        <w:t xml:space="preserve">The toy systems above were studied with resources provided by the Icelandic High Performance Computing Centre at the University of Iceland.</w:t>
      </w:r>
    </w:p>
    <w:p>
      <w:pPr>
        <w:pStyle w:val="BodyText"/>
      </w:pPr>
      <w:r>
        <w:t xml:space="preserve">All the systems described below were run on individual thin nodes of the Cartesius supercomputing cluster with resources provided by SURFsara. Each node for a run consists of 2 × 16-core 2.6 GHz Intel Xeon E5-2697A v4 (Broadwell) CPUs with 64 GB. All calculations were accelerated with the Intel Math Kernel Library (2020) which provides architecture optimized multi-threaded math functions. The GPR dimer algorithm consists of dense matrix inversions and so distributed memory (MPI) parallelism has not yet been considered for it; however the Amsterdam Modeling Suite was used for the potential energy calculations; which does utilize both the MKL and MPI.</w:t>
      </w:r>
    </w:p>
    <w:p>
      <w:pPr>
        <w:pStyle w:val="BodyText"/>
      </w:pPr>
      <w:r>
        <w:t xml:space="preserve">The B3LYP</w:t>
      </w:r>
      <w:r>
        <w:t xml:space="preserve"> </w:t>
      </w:r>
      <w:r>
        <w:t xml:space="preserve"> </w:t>
      </w:r>
      <w:r>
        <w:t xml:space="preserve">hybrid functional was used which involves a DFT correlation with a combined DFT and Hartree-Fock exchange and is known to reproduce geometries and binding energies of molecular systems with accuracy comparable to Moller-Plesset calculations at lower costs</w:t>
      </w:r>
      <w:r>
        <w:t xml:space="preserve"> </w:t>
      </w:r>
      <w:r>
        <w:t xml:space="preserve">.</w:t>
      </w:r>
    </w:p>
    <w:bookmarkEnd w:id="68"/>
    <w:bookmarkStart w:id="70" w:name="sec:orgf66141a"/>
    <w:p>
      <w:pPr>
        <w:pStyle w:val="Heading2"/>
      </w:pPr>
      <w:r>
        <w:rPr>
          <w:bCs/>
          <w:b/>
        </w:rPr>
        <w:t xml:space="preserve">DONE</w:t>
      </w:r>
      <w:r>
        <w:t xml:space="preserve"> </w:t>
      </w:r>
      <w:r>
        <w:t xml:space="preserve">Oxadiazole from N2O and Ethylene</w:t>
      </w:r>
    </w:p>
    <w:p>
      <w:pPr>
        <w:pStyle w:val="FirstParagraph"/>
      </w:pPr>
      <w:r>
        <w:t xml:space="preserve">Described in</w:t>
      </w:r>
      <w:r>
        <w:t xml:space="preserve"> </w:t>
      </w:r>
      <w:r>
        <w:t xml:space="preserve">.</w:t>
      </w:r>
    </w:p>
    <w:p>
      <w:pPr>
        <w:pStyle w:val="BodyText"/>
      </w:pPr>
      <w:r>
        <w:drawing>
          <wp:inline>
            <wp:extent cx="5334000" cy="2611146"/>
            <wp:effectExtent b="0" l="0" r="0" t="0"/>
            <wp:docPr descr="image" title="" id="1" name="Picture"/>
            <a:graphic>
              <a:graphicData uri="http://schemas.openxmlformats.org/drawingml/2006/picture">
                <pic:pic>
                  <pic:nvPicPr>
                    <pic:cNvPr descr="images/Oxadiazole_from_N2O_and_Ethylene/2021-02-26_21-57-49_screenshot.png" id="0" name="Picture"/>
                    <pic:cNvPicPr>
                      <a:picLocks noChangeArrowheads="1" noChangeAspect="1"/>
                    </pic:cNvPicPr>
                  </pic:nvPicPr>
                  <pic:blipFill>
                    <a:blip r:embed="rId69"/>
                    <a:stretch>
                      <a:fillRect/>
                    </a:stretch>
                  </pic:blipFill>
                  <pic:spPr bwMode="auto">
                    <a:xfrm>
                      <a:off x="0" y="0"/>
                      <a:ext cx="5334000" cy="2611146"/>
                    </a:xfrm>
                    <a:prstGeom prst="rect">
                      <a:avLst/>
                    </a:prstGeom>
                    <a:noFill/>
                    <a:ln w="9525">
                      <a:noFill/>
                      <a:headEnd/>
                      <a:tailEnd/>
                    </a:ln>
                  </pic:spPr>
                </pic:pic>
              </a:graphicData>
            </a:graphic>
          </wp:inline>
        </w:drawing>
      </w:r>
    </w:p>
    <w:p>
      <w:pPr>
        <w:pStyle w:val="TableCaption"/>
      </w:pPr>
      <w:r>
        <w:t xml:space="preserve">B3LYP-DZ HyOpt is the number of hyperparameter optimizations and HyT is the time taken for hyperparameter optimizations. T indicates time. For the GPRDP the brackets indicated wastage.</w:t>
      </w:r>
    </w:p>
    <w:tbl>
      <w:tblPr>
        <w:tblStyle w:val="Table"/>
        <w:tblW w:type="pct" w:w="0.0"/>
        <w:tblLook w:firstRow="0" w:lastRow="0" w:firstColumn="0" w:lastColumn="0" w:noHBand="0" w:noVBand="0"/>
        <w:tblCaption w:val="B3LYP-DZ HyOpt is the number of hyperparameter optimizations and HyT is the time taken for hyperparameter optimizations. T indicates time. For the GPRDP the brackets indicated wastage."/>
      </w:tblPr>
      <w:tblGrid/>
      <w:tr>
        <w:tc>
          <w:p>
            <w:pPr>
              <w:pStyle w:val="Compact"/>
              <w:jc w:val="left"/>
            </w:pPr>
            <w:r>
              <w:t xml:space="preserve">Algorithm</w:t>
            </w:r>
          </w:p>
        </w:tc>
        <w:tc>
          <w:p>
            <w:pPr>
              <w:pStyle w:val="Compact"/>
              <w:jc w:val="right"/>
            </w:pPr>
            <w:r>
              <w:t xml:space="preserve">Overhead</w:t>
            </w:r>
          </w:p>
        </w:tc>
        <w:tc>
          <w:p>
            <w:pPr>
              <w:pStyle w:val="Compact"/>
              <w:jc w:val="left"/>
            </w:pPr>
            <w:r>
              <w:t xml:space="preserve">HyOpt (HyT)</w:t>
            </w:r>
          </w:p>
        </w:tc>
        <w:tc>
          <w:p>
            <w:pPr>
              <w:pStyle w:val="Compact"/>
              <w:jc w:val="right"/>
            </w:pPr>
            <w:r>
              <w:t xml:space="preserve">Total T</w:t>
            </w:r>
          </w:p>
        </w:tc>
        <w:tc>
          <w:p>
            <w:pPr>
              <w:pStyle w:val="Compact"/>
              <w:jc w:val="right"/>
            </w:pPr>
            <w:r>
              <w:t xml:space="preserve">PES avgT</w:t>
            </w:r>
          </w:p>
        </w:tc>
        <w:tc>
          <w:p>
            <w:pPr>
              <w:pStyle w:val="Compact"/>
              <w:jc w:val="right"/>
            </w:pPr>
            <w:r>
              <w:t xml:space="preserve">PES TotT</w:t>
            </w:r>
          </w:p>
        </w:tc>
        <w:tc>
          <w:p>
            <w:pPr>
              <w:pStyle w:val="Compact"/>
              <w:jc w:val="right"/>
            </w:pPr>
            <w:r>
              <w:t xml:space="preserve">PES Calls</w:t>
            </w:r>
          </w:p>
        </w:tc>
        <w:tc>
          <w:p>
            <w:pPr>
              <w:pStyle w:val="Compact"/>
              <w:jc w:val="right"/>
            </w:pPr>
            <w:r>
              <w:t xml:space="preserve">Cost</w:t>
            </w:r>
          </w:p>
        </w:tc>
      </w:tr>
      <w:tr>
        <w:tc>
          <w:p>
            <w:pPr>
              <w:pStyle w:val="Compact"/>
              <w:jc w:val="left"/>
            </w:pPr>
            <w:r>
              <w:t xml:space="preserve">Dimer</w:t>
            </w:r>
          </w:p>
        </w:tc>
        <w:tc>
          <w:p>
            <w:pPr>
              <w:pStyle w:val="Compact"/>
              <w:jc w:val="right"/>
            </w:pPr>
            <w:r>
              <w:t xml:space="preserve">6512.39</w:t>
            </w:r>
          </w:p>
        </w:tc>
        <w:tc>
          <w:p>
            <w:pPr>
              <w:pStyle w:val="Compact"/>
              <w:jc w:val="left"/>
            </w:pPr>
            <w:r>
              <w:t xml:space="preserve">N/A</w:t>
            </w:r>
          </w:p>
        </w:tc>
        <w:tc>
          <w:p>
            <w:pPr>
              <w:pStyle w:val="Compact"/>
              <w:jc w:val="right"/>
            </w:pPr>
            <w:r>
              <w:t xml:space="preserve">16449.93</w:t>
            </w:r>
          </w:p>
        </w:tc>
        <w:tc>
          <w:p>
            <w:pPr>
              <w:pStyle w:val="Compact"/>
              <w:jc w:val="right"/>
            </w:pPr>
            <w:r>
              <w:t xml:space="preserve">44.966</w:t>
            </w:r>
          </w:p>
        </w:tc>
        <w:tc>
          <w:p>
            <w:pPr>
              <w:pStyle w:val="Compact"/>
              <w:jc w:val="right"/>
            </w:pPr>
            <w:r>
              <w:t xml:space="preserve">9937.54</w:t>
            </w:r>
          </w:p>
        </w:tc>
        <w:tc>
          <w:p>
            <w:pPr>
              <w:pStyle w:val="Compact"/>
              <w:jc w:val="right"/>
            </w:pPr>
            <w:r>
              <w:t xml:space="preserve">221</w:t>
            </w:r>
          </w:p>
        </w:tc>
        <w:tc>
          <w:p>
            <w:pPr>
              <w:pStyle w:val="Compact"/>
              <w:jc w:val="right"/>
            </w:pPr>
            <w:r>
              <w:t xml:space="preserve">144.554</w:t>
            </w:r>
          </w:p>
        </w:tc>
      </w:tr>
      <w:tr>
        <w:tc>
          <w:p>
            <w:pPr>
              <w:pStyle w:val="Compact"/>
              <w:jc w:val="left"/>
            </w:pPr>
            <w:r>
              <w:t xml:space="preserve">GPR-Dimer</w:t>
            </w:r>
          </w:p>
        </w:tc>
        <w:tc>
          <w:p>
            <w:pPr>
              <w:pStyle w:val="Compact"/>
              <w:jc w:val="right"/>
            </w:pPr>
            <w:r>
              <w:t xml:space="preserve">242.266</w:t>
            </w:r>
          </w:p>
        </w:tc>
        <w:tc>
          <w:p>
            <w:pPr>
              <w:pStyle w:val="Compact"/>
              <w:jc w:val="left"/>
            </w:pPr>
            <w:r>
              <w:t xml:space="preserve">15 (53.867)</w:t>
            </w:r>
          </w:p>
        </w:tc>
        <w:tc>
          <w:p>
            <w:pPr>
              <w:pStyle w:val="Compact"/>
              <w:jc w:val="right"/>
            </w:pPr>
            <w:r>
              <w:t xml:space="preserve">1055.516</w:t>
            </w:r>
          </w:p>
        </w:tc>
        <w:tc>
          <w:p>
            <w:pPr>
              <w:pStyle w:val="Compact"/>
              <w:jc w:val="right"/>
            </w:pPr>
            <w:r>
              <w:t xml:space="preserve">45.181</w:t>
            </w:r>
          </w:p>
        </w:tc>
        <w:tc>
          <w:p>
            <w:pPr>
              <w:pStyle w:val="Compact"/>
              <w:jc w:val="right"/>
            </w:pPr>
            <w:r>
              <w:t xml:space="preserve">813.25</w:t>
            </w:r>
          </w:p>
        </w:tc>
        <w:tc>
          <w:p>
            <w:pPr>
              <w:pStyle w:val="Compact"/>
              <w:jc w:val="right"/>
            </w:pPr>
            <w:r>
              <w:t xml:space="preserve">18</w:t>
            </w:r>
          </w:p>
        </w:tc>
        <w:tc>
          <w:p>
            <w:pPr>
              <w:pStyle w:val="Compact"/>
              <w:jc w:val="right"/>
            </w:pPr>
            <w:r>
              <w:t xml:space="preserve">5.456</w:t>
            </w:r>
          </w:p>
        </w:tc>
      </w:tr>
      <w:tr>
        <w:tc>
          <w:p>
            <w:pPr>
              <w:pStyle w:val="Compact"/>
              <w:jc w:val="left"/>
            </w:pPr>
            <w:r>
              <w:t xml:space="preserve">GPRD-P</w:t>
            </w:r>
          </w:p>
        </w:tc>
        <w:tc>
          <w:p>
            <w:pPr>
              <w:pStyle w:val="Compact"/>
              <w:jc w:val="right"/>
            </w:pPr>
            <w:r>
              <w:t xml:space="preserve">209.041</w:t>
            </w:r>
          </w:p>
        </w:tc>
        <w:tc>
          <w:p>
            <w:pPr>
              <w:pStyle w:val="Compact"/>
              <w:jc w:val="left"/>
            </w:pPr>
            <w:r>
              <w:t xml:space="preserve">16 (44.875)</w:t>
            </w:r>
          </w:p>
        </w:tc>
        <w:tc>
          <w:p>
            <w:pPr>
              <w:pStyle w:val="Compact"/>
              <w:jc w:val="right"/>
            </w:pPr>
            <w:r>
              <w:t xml:space="preserve">1065.221</w:t>
            </w:r>
          </w:p>
        </w:tc>
        <w:tc>
          <w:p>
            <w:pPr>
              <w:pStyle w:val="Compact"/>
              <w:jc w:val="right"/>
            </w:pPr>
            <w:r>
              <w:t xml:space="preserve">45.062</w:t>
            </w:r>
          </w:p>
        </w:tc>
        <w:tc>
          <w:p>
            <w:pPr>
              <w:pStyle w:val="Compact"/>
              <w:jc w:val="right"/>
            </w:pPr>
            <w:r>
              <w:t xml:space="preserve">856.18</w:t>
            </w:r>
          </w:p>
        </w:tc>
        <w:tc>
          <w:p>
            <w:pPr>
              <w:pStyle w:val="Compact"/>
              <w:jc w:val="right"/>
            </w:pPr>
            <w:r>
              <w:t xml:space="preserve">19 (8)</w:t>
            </w:r>
          </w:p>
        </w:tc>
        <w:tc>
          <w:p>
            <w:pPr>
              <w:pStyle w:val="Compact"/>
              <w:jc w:val="right"/>
            </w:pPr>
            <w:r>
              <w:t xml:space="preserve">4.672</w:t>
            </w:r>
          </w:p>
        </w:tc>
      </w:tr>
    </w:tbl>
    <w:p>
      <w:pPr>
        <w:pStyle w:val="BodyText"/>
      </w:pPr>
      <w:r>
        <w:t xml:space="preserve">Clearly, the dimer algorithm is sub-optimal for larger systems, while both the GPRD and the GPRD-P perform well. The GPR-P parameters can be tweaked from the defaults to give better performance. The difference in the GPRD and GPRD-P reflects the relative number of LBFGS rotations taken. Note that the</w:t>
      </w:r>
      <w:r>
        <w:t xml:space="preserve"> </w:t>
      </w:r>
      <m:oMath>
        <m:r>
          <m:t>O</m:t>
        </m:r>
        <m:r>
          <m:rPr>
            <m:sty m:val="p"/>
          </m:rPr>
          <m:t>(</m:t>
        </m:r>
        <m:r>
          <m:t>N</m:t>
        </m:r>
        <m:r>
          <m:rPr>
            <m:sty m:val="p"/>
          </m:rPr>
          <m:t>³</m:t>
        </m:r>
        <m:r>
          <m:rPr>
            <m:sty m:val="p"/>
          </m:rPr>
          <m:t>)</m:t>
        </m:r>
      </m:oMath>
      <w:r>
        <w:t xml:space="preserve"> </w:t>
      </w:r>
      <w:r>
        <w:t xml:space="preserve">scaling term (HyT) is effectively bound by the GPRD-P algorithm, implying that for larger systems the GPRD-P will outperform the GPRD.</w:t>
      </w:r>
    </w:p>
    <w:bookmarkEnd w:id="70"/>
    <w:bookmarkStart w:id="72" w:name="sec:org0e8a69e"/>
    <w:p>
      <w:pPr>
        <w:pStyle w:val="Heading2"/>
      </w:pPr>
      <w:r>
        <w:t xml:space="preserve">Allyl Vinly Ether Rearrangement</w:t>
      </w:r>
    </w:p>
    <w:p>
      <w:pPr>
        <w:pStyle w:val="FirstParagraph"/>
      </w:pPr>
      <w:r>
        <w:t xml:space="preserve">Also in</w:t>
      </w:r>
      <w:r>
        <w:t xml:space="preserve"> </w:t>
      </w:r>
      <w:r>
        <w:t xml:space="preserve">.</w:t>
      </w:r>
    </w:p>
    <w:p>
      <w:pPr>
        <w:pStyle w:val="BodyText"/>
      </w:pPr>
      <w:r>
        <w:drawing>
          <wp:inline>
            <wp:extent cx="5334000" cy="2591583"/>
            <wp:effectExtent b="0" l="0" r="0" t="0"/>
            <wp:docPr descr="image" title="" id="1" name="Picture"/>
            <a:graphic>
              <a:graphicData uri="http://schemas.openxmlformats.org/drawingml/2006/picture">
                <pic:pic>
                  <pic:nvPicPr>
                    <pic:cNvPr descr="images/Allyl_Vinly_Ether_Rearrangement/2021-02-26_04-07-40_screenshot.png" id="0" name="Picture"/>
                    <pic:cNvPicPr>
                      <a:picLocks noChangeArrowheads="1" noChangeAspect="1"/>
                    </pic:cNvPicPr>
                  </pic:nvPicPr>
                  <pic:blipFill>
                    <a:blip r:embed="rId71"/>
                    <a:stretch>
                      <a:fillRect/>
                    </a:stretch>
                  </pic:blipFill>
                  <pic:spPr bwMode="auto">
                    <a:xfrm>
                      <a:off x="0" y="0"/>
                      <a:ext cx="5334000" cy="2591583"/>
                    </a:xfrm>
                    <a:prstGeom prst="rect">
                      <a:avLst/>
                    </a:prstGeom>
                    <a:noFill/>
                    <a:ln w="9525">
                      <a:noFill/>
                      <a:headEnd/>
                      <a:tailEnd/>
                    </a:ln>
                  </pic:spPr>
                </pic:pic>
              </a:graphicData>
            </a:graphic>
          </wp:inline>
        </w:drawing>
      </w:r>
    </w:p>
    <w:bookmarkEnd w:id="72"/>
    <w:bookmarkStart w:id="74" w:name="sec:org64f152b"/>
    <w:p>
      <w:pPr>
        <w:pStyle w:val="Heading2"/>
      </w:pPr>
      <w:r>
        <w:t xml:space="preserve">Sulfolene from Butadiene and sulfur dioxide</w:t>
      </w:r>
    </w:p>
    <w:p>
      <w:pPr>
        <w:pStyle w:val="FirstParagraph"/>
      </w:pPr>
      <w:r>
        <w:t xml:space="preserve">Also in</w:t>
      </w:r>
      <w:r>
        <w:t xml:space="preserve"> </w:t>
      </w:r>
      <w:r>
        <w:t xml:space="preserve">.</w:t>
      </w:r>
    </w:p>
    <w:p>
      <w:pPr>
        <w:pStyle w:val="BodyText"/>
      </w:pPr>
      <w:r>
        <w:drawing>
          <wp:inline>
            <wp:extent cx="5334000" cy="2028160"/>
            <wp:effectExtent b="0" l="0" r="0" t="0"/>
            <wp:docPr descr="image" title="" id="1" name="Picture"/>
            <a:graphic>
              <a:graphicData uri="http://schemas.openxmlformats.org/drawingml/2006/picture">
                <pic:pic>
                  <pic:nvPicPr>
                    <pic:cNvPr descr="images/Allyl_Vinly_Ether_Rearrangement/2021-02-26_21-56-36_screenshot.png" id="0" name="Picture"/>
                    <pic:cNvPicPr>
                      <a:picLocks noChangeArrowheads="1" noChangeAspect="1"/>
                    </pic:cNvPicPr>
                  </pic:nvPicPr>
                  <pic:blipFill>
                    <a:blip r:embed="rId73"/>
                    <a:stretch>
                      <a:fillRect/>
                    </a:stretch>
                  </pic:blipFill>
                  <pic:spPr bwMode="auto">
                    <a:xfrm>
                      <a:off x="0" y="0"/>
                      <a:ext cx="5334000" cy="2028160"/>
                    </a:xfrm>
                    <a:prstGeom prst="rect">
                      <a:avLst/>
                    </a:prstGeom>
                    <a:noFill/>
                    <a:ln w="9525">
                      <a:noFill/>
                      <a:headEnd/>
                      <a:tailEnd/>
                    </a:ln>
                  </pic:spPr>
                </pic:pic>
              </a:graphicData>
            </a:graphic>
          </wp:inline>
        </w:drawing>
      </w:r>
    </w:p>
    <w:bookmarkEnd w:id="74"/>
    <w:bookmarkEnd w:id="75"/>
    <w:bookmarkStart w:id="78" w:name="sec:org9a27c5d"/>
    <w:p>
      <w:pPr>
        <w:pStyle w:val="Heading1"/>
      </w:pPr>
      <w:r>
        <w:t xml:space="preserve">Analysis</w:t>
      </w:r>
    </w:p>
    <w:bookmarkStart w:id="76" w:name="sec:orgff399cf"/>
    <w:p>
      <w:pPr>
        <w:pStyle w:val="Heading2"/>
      </w:pPr>
      <w:r>
        <w:t xml:space="preserve">Scaling</w:t>
      </w:r>
    </w:p>
    <w:p>
      <w:pPr>
        <w:pStyle w:val="FirstParagraph"/>
      </w:pPr>
      <w:r>
        <w:t xml:space="preserve">The training of the hyperparameters using the methods of</w:t>
      </w:r>
      <w:r>
        <w:t xml:space="preserve"> </w:t>
      </w:r>
      <w:r>
        <w:t xml:space="preserve"> </w:t>
      </w:r>
      <w:r>
        <w:t xml:space="preserve">involves the Cholesky decomposition for the calculation of the inverse of a dense covariance matrix. This operation scales as</w:t>
      </w:r>
      <w:r>
        <w:t xml:space="preserve"> </w:t>
      </w:r>
      <m:oMath>
        <m:r>
          <m:t>O</m:t>
        </m:r>
        <m:r>
          <m:rPr>
            <m:sty m:val="p"/>
          </m:rPr>
          <m:t>(</m:t>
        </m:r>
        <m:sSup>
          <m:e>
            <m:r>
              <m:t>N</m:t>
            </m:r>
          </m:e>
          <m:sup>
            <m:r>
              <m:t>3</m:t>
            </m:r>
          </m:sup>
        </m:sSup>
        <m:r>
          <m:rPr>
            <m:sty m:val="p"/>
          </m:rPr>
          <m:t>)</m:t>
        </m:r>
      </m:oMath>
      <w:r>
        <w:t xml:space="preserve">. However, we show that there are more considerations, including the time taken by the LBFGS on the GPR dimer; which has a fixed scaling in cost per step (like the EON dimer) for a given system, but is unbound in that the time taken to convergence cannot be estimated.</w:t>
      </w:r>
    </w:p>
    <w:bookmarkEnd w:id="76"/>
    <w:bookmarkStart w:id="77" w:name="sec:orge1bba37"/>
    <w:p>
      <w:pPr>
        <w:pStyle w:val="Heading2"/>
      </w:pPr>
      <w:r>
        <w:t xml:space="preserve">Pruning</w:t>
      </w:r>
    </w:p>
    <w:p>
      <w:pPr>
        <w:pStyle w:val="FirstParagraph"/>
      </w:pPr>
      <w:r>
        <w:t xml:space="preserve">With pruning the covariance matrix size is not allowed to exceed a user-defined size; unless the samples are of a particularly high quality. Pruning is of importance to systems which are larger than those considered here; or for systems which require more iterations.</w:t>
      </w:r>
    </w:p>
    <w:bookmarkEnd w:id="77"/>
    <w:bookmarkEnd w:id="78"/>
    <w:bookmarkStart w:id="79" w:name="sec:org096f036"/>
    <w:p>
      <w:pPr>
        <w:pStyle w:val="Heading1"/>
      </w:pPr>
      <w:r>
        <w:t xml:space="preserve">References</w:t>
      </w:r>
    </w:p>
    <w:bookmarkEnd w:id="79"/>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r="http://schemas.openxmlformats.org/officeDocument/2006/relationships" xmlns:w="http://schemas.openxmlformats.org/wordprocessingml/2006/main">
  <w:font w:name="Symbol">
    <w:panose1 w:val="020005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numbering.xml><?xml version="1.0" encoding="utf-8"?>
<w:numbering xmlns:w="http://schemas.openxmlformats.org/wordprocessingml/2006/main">
  <w:abstractNum w:abstractNumId="990">
    <w:nsid w:val="bbfa44e8"/>
    <w:multiLevelType w:val="multilevel"/>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991">
    <w:nsid w:val="453bf3b7"/>
    <w:multiLevelType w:val="multilevel"/>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num w:numId="1000">
    <w:abstractNumId w:val="990"/>
  </w:num>
  <w:num w:numId="1001">
    <w:abstractNumId w:val="991"/>
  </w:num>
  <w:num w:numId="1002">
    <w:abstractNumId w:val="991"/>
  </w:num>
  <w:num w:numId="1003">
    <w:abstractNumId w:val="991"/>
  </w:num>
  <w:num w:numId="1004">
    <w:abstractNumId w:val="991"/>
  </w:num>
  <w:num w:numId="1005">
    <w:abstractNumId w:val="991"/>
  </w:num>
  <w:num w:numId="1006">
    <w:abstractNumId w:val="991"/>
  </w:num>
  <w:num w:numId="1007">
    <w:abstractNumId w:val="991"/>
  </w:num>
  <w:num w:numId="1008">
    <w:abstractNumId w:val="991"/>
  </w:num>
  <w:num w:numId="1009">
    <w:abstractNumId w:val="991"/>
  </w:num>
  <w:num w:numId="1010">
    <w:abstractNumId w:val="991"/>
  </w:num>
  <w:num w:numId="1011">
    <w:abstractNumId w:val="991"/>
  </w:num>
  <w:num w:numId="1012">
    <w:abstractNumId w:val="99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proofState w:spelling="clean" w:grammar="clean"/>
  <w:stylePaneFormatFilter w:val="0004"/>
  <w:footnotePr>
    <w:footnote w:id="-1"/>
    <w:footnote w:id="0"/>
  </w:footnotePr>
  <w:doNotTrackMoves/>
  <w:defaultTabStop w:val="720"/>
  <w:drawingGridHorizontalSpacing w:val="360"/>
  <w:drawingGridVerticalSpacing w:val="360"/>
  <w:displayHorizontalDrawingGridEvery w:val="0"/>
  <w:displayVerticalDrawingGridEvery w:val="0"/>
  <w:characterSpacingControl w:val="doNotCompress"/>
  <w:savePreviewPicture/>
  <w:rsids>
    <w:rsidRoot w:val="00590D07"/>
    <w:rsid w:val="00011C8B"/>
    <w:rsid w:val="004E29B3"/>
    <w:rsid w:val="00590D07"/>
    <w:rsid w:val="00784D58"/>
    <w:rsid w:val="008D6863"/>
    <w:rsid w:val="00B86B75"/>
    <w:rsid w:val="00BC48D5"/>
    <w:rsid w:val="00C36279"/>
    <w:rsid w:val="00E315A3"/>
  </w:rsids>
  <m:mathPr>
    <m:mathFont m:val="Lucida Grande"/>
    <m:brkBin m:val="before"/>
    <m:brkBinSub m:val="--"/>
    <m:smallFrac m:val="false"/>
    <m:dispDef m:val="false"/>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proofState w:spelling="clean" w:grammar="clean"/>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style w:type="paragraph" w:default="1" w:styleId="Normal">
    <w:name w:val="Normal"/>
    <w:qFormat/>
  </w:style>
  <w:style w:type="paragraph" w:styleId="BodyText">
    <w:name w:val="Body Text"/>
    <w:basedOn w:val="Normal"/>
    <w:link w:val="BodyTextChar"/>
    <w:pPr>
      <w:spacing w:before="180" w:after="180"/>
    </w:pPr>
    <w:qFormat/>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styleId="Title">
    <w:name w:val="Title"/>
    <w:basedOn w:val="Normal"/>
    <w:next w:val="BodyText"/>
    <w:qFormat/>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Subtitle">
    <w:name w:val="Subtitle"/>
    <w:basedOn w:val="Title"/>
    <w:next w:val="BodyText"/>
    <w:qFormat/>
    <w:pPr>
      <w:keepNext/>
      <w:keepLines/>
      <w:spacing w:before="240" w:after="240"/>
      <w:jc w:val="center"/>
    </w:pPr>
    <w:rPr>
      <w:sz w:val="30"/>
      <w:szCs w:val="30"/>
    </w:rPr>
  </w:style>
  <w:style w:type="paragraph" w:customStyle="1" w:styleId="Author">
    <w:name w:val="Author"/>
    <w:next w:val="BodyText"/>
    <w:qFormat/>
    <w:pPr>
      <w:keepNext/>
      <w:keepLines/>
      <w:jc w:val="center"/>
    </w:pPr>
  </w:style>
  <w:style w:type="paragraph" w:styleId="Date">
    <w:name w:val="Date"/>
    <w:next w:val="BodyText"/>
    <w:qFormat/>
    <w:pPr>
      <w:keepNext/>
      <w:keepLines/>
      <w:jc w:val="center"/>
    </w:pPr>
  </w:style>
  <w:style w:type="paragraph" w:customStyle="1" w:styleId="Abstract">
    <w:name w:val="Abstract"/>
    <w:basedOn w:val="Normal"/>
    <w:next w:val="BodyText"/>
    <w:qFormat/>
    <w:pPr>
      <w:keepNext/>
      <w:keepLines/>
      <w:spacing w:before="300" w:after="300"/>
    </w:pPr>
    <w:rPr>
      <w:sz w:val="20"/>
      <w:szCs w:val="20"/>
    </w:rPr>
  </w:style>
  <w:style w:type="paragraph" w:styleId="Bibliography">
    <w:name w:val="Bibliography"/>
    <w:basedOn w:val="Normal"/>
    <w:next w:val="Bibliography"/>
    <w:qFormat/>
    <w:pPr/>
    <w:rPr/>
  </w:style>
  <w:style w:type="paragraph" w:styleId="Heading1">
    <w:name w:val="Heading 1"/>
    <w:basedOn w:val="Normal"/>
    <w:next w:val="BodyText"/>
    <w:uiPriority w:val="9"/>
    <w:qFormat/>
    <w:pPr>
      <w:keepNext/>
      <w:keepLines/>
      <w:spacing w:before="480" w:after="0"/>
      <w:outlineLvl w:val="0"/>
    </w:pPr>
    <w:rPr>
      <w:rFonts w:asciiTheme="majorHAnsi" w:eastAsiaTheme="majorEastAsia" w:hAnsiTheme="majorHAnsi" w:cstheme="majorBidi"/>
      <w:b/>
      <w:bCs/>
      <w:color w:val="4F81BD" w:themeColor="accent1"/>
      <w:sz w:val="32"/>
      <w:szCs w:val="32"/>
    </w:rPr>
  </w:style>
  <w:style w:type="paragraph" w:styleId="Heading2">
    <w:name w:val="Heading 2"/>
    <w:basedOn w:val="Normal"/>
    <w:next w:val="BodyText"/>
    <w:uiPriority w:val="9"/>
    <w:unhideWhenUsed/>
    <w:qFormat/>
    <w:pPr>
      <w:keepNext/>
      <w:keepLines/>
      <w:spacing w:before="200" w:after="0"/>
      <w:outlineLvl w:val="1"/>
    </w:pPr>
    <w:rPr>
      <w:rFonts w:asciiTheme="majorHAnsi" w:eastAsiaTheme="majorEastAsia" w:hAnsiTheme="majorHAnsi" w:cstheme="majorBidi"/>
      <w:b/>
      <w:bCs/>
      <w:color w:val="4F81BD" w:themeColor="accent1"/>
      <w:sz w:val="28"/>
      <w:szCs w:val="28"/>
    </w:rPr>
  </w:style>
  <w:style w:type="paragraph" w:styleId="Heading3">
    <w:name w:val="Heading 3"/>
    <w:basedOn w:val="Normal"/>
    <w:next w:val="BodyText"/>
    <w:uiPriority w:val="9"/>
    <w:unhideWhenUsed/>
    <w:qFormat/>
    <w:pPr>
      <w:keepNext/>
      <w:keepLines/>
      <w:spacing w:before="200" w:after="0"/>
      <w:outlineLvl w:val="2"/>
    </w:pPr>
    <w:rPr>
      <w:rFonts w:asciiTheme="majorHAnsi" w:eastAsiaTheme="majorEastAsia" w:hAnsiTheme="majorHAnsi" w:cstheme="majorBidi"/>
      <w:b/>
      <w:bCs/>
      <w:color w:val="4F81BD" w:themeColor="accent1"/>
      <w:sz w:val="24"/>
      <w:szCs w:val="24"/>
    </w:rPr>
  </w:style>
  <w:style w:type="paragraph" w:styleId="Heading4">
    <w:name w:val="Heading 4"/>
    <w:basedOn w:val="Normal"/>
    <w:next w:val="BodyText"/>
    <w:uiPriority w:val="9"/>
    <w:unhideWhenUsed/>
    <w:qFormat/>
    <w:pPr>
      <w:keepNext/>
      <w:keepLines/>
      <w:spacing w:before="200" w:after="0"/>
      <w:outlineLvl w:val="3"/>
    </w:pPr>
    <w:rPr>
      <w:rFonts w:asciiTheme="majorHAnsi" w:eastAsiaTheme="majorEastAsia" w:hAnsiTheme="majorHAnsi" w:cstheme="majorBidi"/>
      <w:i/>
      <w:bCs/>
      <w:color w:val="4F81BD" w:themeColor="accent1"/>
      <w:sz w:val="24"/>
      <w:szCs w:val="24"/>
    </w:rPr>
  </w:style>
  <w:style w:type="paragraph" w:styleId="Heading5">
    <w:name w:val="Heading 5"/>
    <w:basedOn w:val="Normal"/>
    <w:next w:val="BodyText"/>
    <w:uiPriority w:val="9"/>
    <w:unhideWhenUsed/>
    <w:qFormat/>
    <w:pPr>
      <w:keepNext/>
      <w:keepLines/>
      <w:spacing w:before="200" w:after="0"/>
      <w:outlineLvl w:val="4"/>
    </w:pPr>
    <w:rPr>
      <w:rFonts w:asciiTheme="majorHAnsi" w:eastAsiaTheme="majorEastAsia" w:hAnsiTheme="majorHAnsi" w:cstheme="majorBidi"/>
      <w:iCs/>
      <w:color w:val="4F81BD" w:themeColor="accent1"/>
      <w:sz w:val="24"/>
      <w:szCs w:val="24"/>
    </w:rPr>
  </w:style>
  <w:style w:type="paragraph" w:styleId="Heading6">
    <w:name w:val="Heading 6"/>
    <w:basedOn w:val="Normal"/>
    <w:next w:val="BodyText"/>
    <w:uiPriority w:val="9"/>
    <w:unhideWhenUsed/>
    <w:qFormat/>
    <w:pPr>
      <w:keepNext/>
      <w:keepLines/>
      <w:spacing w:before="200" w:after="0"/>
      <w:outlineLvl w:val="5"/>
    </w:pPr>
    <w:rPr>
      <w:rFonts w:asciiTheme="majorHAnsi" w:eastAsiaTheme="majorEastAsia" w:hAnsiTheme="majorHAnsi" w:cstheme="majorBidi"/>
      <w:color w:val="4F81BD" w:themeColor="accent1"/>
      <w:sz w:val="24"/>
      <w:szCs w:val="24"/>
    </w:rPr>
  </w:style>
  <w:style w:type="paragraph" w:styleId="Heading7">
    <w:name w:val="Heading 7"/>
    <w:basedOn w:val="Normal"/>
    <w:next w:val="BodyText"/>
    <w:uiPriority w:val="9"/>
    <w:unhideWhenUsed/>
    <w:qFormat/>
    <w:pPr>
      <w:keepNext/>
      <w:keepLines/>
      <w:spacing w:before="200" w:after="0"/>
      <w:outlineLvl w:val="6"/>
    </w:pPr>
    <w:rPr>
      <w:rFonts w:asciiTheme="majorHAnsi" w:eastAsiaTheme="majorEastAsia" w:hAnsiTheme="majorHAnsi" w:cstheme="majorBidi"/>
      <w:color w:val="4F81BD" w:themeColor="accent1"/>
      <w:sz w:val="24"/>
      <w:szCs w:val="24"/>
    </w:rPr>
  </w:style>
  <w:style w:type="paragraph" w:styleId="Heading8">
    <w:name w:val="Heading 8"/>
    <w:basedOn w:val="Normal"/>
    <w:next w:val="BodyText"/>
    <w:uiPriority w:val="9"/>
    <w:unhideWhenUsed/>
    <w:qFormat/>
    <w:pPr>
      <w:keepNext/>
      <w:keepLines/>
      <w:spacing w:before="200" w:after="0"/>
      <w:outlineLvl w:val="7"/>
    </w:pPr>
    <w:rPr>
      <w:rFonts w:asciiTheme="majorHAnsi" w:eastAsiaTheme="majorEastAsia" w:hAnsiTheme="majorHAnsi" w:cstheme="majorBidi"/>
      <w:color w:val="4F81BD" w:themeColor="accent1"/>
      <w:sz w:val="24"/>
      <w:szCs w:val="24"/>
    </w:rPr>
  </w:style>
  <w:style w:type="paragraph" w:styleId="Heading9">
    <w:name w:val="Heading 9"/>
    <w:basedOn w:val="Normal"/>
    <w:next w:val="BodyText"/>
    <w:uiPriority w:val="9"/>
    <w:unhideWhenUsed/>
    <w:qFormat/>
    <w:pPr>
      <w:keepNext/>
      <w:keepLines/>
      <w:spacing w:before="200" w:after="0"/>
      <w:outlineLvl w:val="8"/>
    </w:pPr>
    <w:rPr>
      <w:rFonts w:asciiTheme="majorHAnsi" w:eastAsiaTheme="majorEastAsia" w:hAnsiTheme="majorHAnsi" w:cstheme="majorBidi"/>
      <w:color w:val="4F81BD" w:themeColor="accent1"/>
      <w:sz w:val="24"/>
      <w:szCs w:val="24"/>
    </w:rPr>
  </w:style>
  <w:style w:type="paragraph" w:styleId="BlockText">
    <w:name w:val="Block Text"/>
    <w:basedOn w:val="BodyText"/>
    <w:next w:val="BodyText"/>
    <w:uiPriority w:val="9"/>
    <w:unhideWhenUsed/>
    <w:qFormat/>
    <w:pPr>
      <w:spacing w:before="100" w:after="100"/>
      <w:ind w:firstLine="0" w:left="480" w:right="480"/>
    </w:pPr>
  </w:style>
  <w:style w:type="paragraph" w:styleId="FootnoteText">
    <w:name w:val="Footnote Text"/>
    <w:basedOn w:val="Normal"/>
    <w:next w:val="FootnoteText"/>
    <w:uiPriority w:val="9"/>
    <w:unhideWhenUsed/>
    <w:qFormat/>
  </w:style>
  <w:style w:type="character" w:default="1" w:styleId="DefaultParagraphFont">
    <w:name w:val="Default Paragraph Font"/>
    <w:semiHidden/>
    <w:unhideWhenUsed/>
  </w:style>
  <w:style w:type="table" w:default="1" w:styleId="Table">
    <w:name w:val="Table"/>
    <w:basedOn w:val="TableNormal"/>
    <w:semiHidden/>
    <w:unhideWhenUsed/>
    <w:qFormat/>
    <w:tblPr>
      <w:tblInd w:w="0" w:type="dxa"/>
      <w:tblCellMar>
        <w:top w:w="0" w:type="dxa"/>
        <w:left w:w="108" w:type="dxa"/>
        <w:bottom w:w="0" w:type="dxa"/>
        <w:right w:w="108" w:type="dxa"/>
      </w:tblCellMar>
    </w:tbl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BodyTextChar"/>
    <w:pPr>
      <w:spacing w:before="0" w:after="120"/>
    </w:pPr>
    <w:rPr>
      <w:i/>
    </w:rPr>
  </w:style>
  <w:style w:type="paragraph" w:customStyle="1" w:styleId="TableCaption">
    <w:name w:val="Table Caption"/>
    <w:basedOn w:val="Caption"/>
    <w:pPr>
      <w:keepNext/>
    </w:pPr>
  </w:style>
  <w:style w:type="paragraph" w:customStyle="1" w:styleId="ImageCaption">
    <w:name w:val="Image Caption"/>
    <w:basedOn w:val="Caption"/>
  </w:style>
  <w:style w:type="paragraph" w:customStyle="1" w:styleId="Figure">
    <w:name w:val="Figure"/>
    <w:basedOn w:val="Normal"/>
  </w:style>
  <w:style w:type="paragraph" w:customStyle="1" w:styleId="CaptionedFigure">
    <w:name w:val="Captioned Figure"/>
    <w:basedOn w:val="Figure"/>
    <w:pPr>
      <w:keepNext/>
    </w:pPr>
  </w:style>
  <w:style w:type="character" w:customStyle="1" w:styleId="BodyTextChar">
    <w:name w:val="Body Text Char"/>
    <w:basedOn w:val="DefaultParagraphFont"/>
    <w:link w:val="BodyText"/>
  </w:style>
  <w:style w:type="character" w:customStyle="1" w:styleId="VerbatimChar">
    <w:name w:val="Verbatim Char"/>
    <w:basedOn w:val="BodyTextChar"/>
    <w:rPr>
      <w:rFonts w:ascii="Consolas" w:hAnsi="Consolas"/>
      <w:sz w:val="22"/>
    </w:rPr>
  </w:style>
  <w:style w:type="character" w:customStyle="1" w:styleId="SectionNumber">
    <w:name w:val="Section Number"/>
    <w:basedOn w:val="BodyTextChar"/>
  </w:style>
  <w:style w:type="character" w:styleId="FootnoteReference">
    <w:name w:val="Footnote Reference"/>
    <w:basedOn w:val="BodyTextChar"/>
    <w:rPr>
      <w:vertAlign w:val="superscript"/>
    </w:rPr>
  </w:style>
  <w:style w:type="character" w:styleId="Hyperlink">
    <w:name w:val="Hyperlink"/>
    <w:basedOn w:val="BodyTextChar"/>
    <w:rPr>
      <w:color w:val="4F81BD" w:themeColor="accent1"/>
    </w:rPr>
  </w:style>
  <w:style w:type="paragraph" w:styleId="TOCHeading">
    <w:name w:val="TOC Heading"/>
    <w:basedOn w:val="Heading1"/>
    <w:next w:val="BodyText"/>
    <w:uiPriority w:val="39"/>
    <w:unhideWhenUsed/>
    <w:qFormat/>
    <w:pPr>
      <w:spacing w:before="240" w:line="259" w:lineRule="auto"/>
      <w:outlineLvl w:val="9"/>
    </w:pPr>
    <w:rPr>
      <w:rFonts w:asciiTheme="majorHAnsi" w:eastAsiaTheme="majorEastAsia" w:hAnsiTheme="majorHAnsi" w:cstheme="majorBidi"/>
      <w:b w:val="0"/>
      <w:bCs w:val="0"/>
      <w:color w:val="365F91" w:themeColor="accent1" w:themeShade="BF"/>
    </w:rPr>
  </w:style>
  <w:style w:type="paragraph" w:customStyle="1" w:styleId="SourceCode">
    <w:name w:val="Source Code"/>
    <w:basedOn w:val="Normal"/>
    <w:link w:val="VerbatimChar"/>
    <w:pPr>
      <w:wordWrap w:val="off"/>
    </w:pPr>
  </w:style>
  <w:style w:type="character" w:customStyle="1" w:styleId="KeywordTok">
    <w:name w:val="KeywordTok"/>
    <w:basedOn w:val="VerbatimChar"/>
    <w:rPr>
      <w:color w:val="007020"/>
      <w:b/>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style>
  <w:style w:type="character" w:customStyle="1" w:styleId="CommentTok">
    <w:name w:val="CommentTok"/>
    <w:basedOn w:val="VerbatimChar"/>
    <w:rPr>
      <w:color w:val="60a0b0"/>
      <w:i/>
    </w:rPr>
  </w:style>
  <w:style w:type="character" w:customStyle="1" w:styleId="DocumentationTok">
    <w:name w:val="DocumentationTok"/>
    <w:basedOn w:val="VerbatimChar"/>
    <w:rPr>
      <w:color w:val="ba2121"/>
      <w:i/>
    </w:rPr>
  </w:style>
  <w:style w:type="character" w:customStyle="1" w:styleId="AnnotationTok">
    <w:name w:val="AnnotationTok"/>
    <w:basedOn w:val="VerbatimChar"/>
    <w:rPr>
      <w:color w:val="60a0b0"/>
      <w:b/>
      <w:i/>
    </w:rPr>
  </w:style>
  <w:style w:type="character" w:customStyle="1" w:styleId="CommentVarTok">
    <w:name w:val="CommentVarTok"/>
    <w:basedOn w:val="VerbatimChar"/>
    <w:rPr>
      <w:color w:val="60a0b0"/>
      <w:b/>
      <w:i/>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color w:val="007020"/>
      <w:b/>
    </w:rPr>
  </w:style>
  <w:style w:type="character" w:customStyle="1" w:styleId="OperatorTok">
    <w:name w:val="OperatorTok"/>
    <w:basedOn w:val="VerbatimChar"/>
    <w:rPr>
      <w:color w:val="666666"/>
    </w:rPr>
  </w:style>
  <w:style w:type="character" w:customStyle="1" w:styleId="BuiltInTok">
    <w:name w:val="BuiltInTok"/>
    <w:basedOn w:val="VerbatimChar"/>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color w:val="60a0b0"/>
      <w:b/>
      <w:i/>
    </w:rPr>
  </w:style>
  <w:style w:type="character" w:customStyle="1" w:styleId="WarningTok">
    <w:name w:val="WarningTok"/>
    <w:basedOn w:val="VerbatimChar"/>
    <w:rPr>
      <w:color w:val="60a0b0"/>
      <w:b/>
      <w:i/>
    </w:rPr>
  </w:style>
  <w:style w:type="character" w:customStyle="1" w:styleId="AlertTok">
    <w:name w:val="AlertTok"/>
    <w:basedOn w:val="VerbatimChar"/>
    <w:rPr>
      <w:color w:val="ff0000"/>
      <w:b/>
    </w:rPr>
  </w:style>
  <w:style w:type="character" w:customStyle="1" w:styleId="ErrorTok">
    <w:name w:val="ErrorTok"/>
    <w:basedOn w:val="VerbatimChar"/>
    <w:rPr>
      <w:color w:val="ff0000"/>
      <w:b/>
    </w:rPr>
  </w:style>
  <w:style w:type="character" w:customStyle="1" w:styleId="NormalTok">
    <w:name w:val="NormalTok"/>
    <w:basedOn w:val="VerbatimChar"/>
    <w:rPr/>
  </w:style>
</w:styles>
</file>

<file path=word/webSettings.xml><?xml version="1.0" encoding="utf-8"?>
<ns0:webSettings xmlns:ns0="http://schemas.openxmlformats.org/wordprocessingml/2006/main">
  <ns0:allowPNG/>
  <ns0:doNotSaveAsSingleFile/>
</ns0:webSettings>
</file>

<file path=word/_rels/document.xml.rels><?xml version="1.0" encoding="UTF-8"?>
<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Type="http://schemas.openxmlformats.org/officeDocument/2006/relationships/image" Id="rId43" Target="media/rId43.png" /><Relationship Type="http://schemas.openxmlformats.org/officeDocument/2006/relationships/image" Id="rId45" Target="media/rId45.png" /><Relationship Type="http://schemas.openxmlformats.org/officeDocument/2006/relationships/image" Id="rId47" Target="media/rId47.png" /><Relationship Type="http://schemas.openxmlformats.org/officeDocument/2006/relationships/image" Id="rId49" Target="media/rId49.png" /><Relationship Type="http://schemas.openxmlformats.org/officeDocument/2006/relationships/image" Id="rId51" Target="media/rId51.png" /><Relationship Type="http://schemas.openxmlformats.org/officeDocument/2006/relationships/image" Id="rId31" Target="media/rId31.png" /><Relationship Type="http://schemas.openxmlformats.org/officeDocument/2006/relationships/image" Id="rId33" Target="media/rId33.png" /><Relationship Type="http://schemas.openxmlformats.org/officeDocument/2006/relationships/image" Id="rId35" Target="media/rId35.png" /><Relationship Type="http://schemas.openxmlformats.org/officeDocument/2006/relationships/image" Id="rId37" Target="media/rId37.png" /><Relationship Type="http://schemas.openxmlformats.org/officeDocument/2006/relationships/image" Id="rId39" Target="media/rId39.png" /><Relationship Type="http://schemas.openxmlformats.org/officeDocument/2006/relationships/image" Id="rId41" Target="media/rId41.png" /><Relationship Type="http://schemas.openxmlformats.org/officeDocument/2006/relationships/image" Id="rId71" Target="media/rId71.png" /><Relationship Type="http://schemas.openxmlformats.org/officeDocument/2006/relationships/image" Id="rId73" Target="media/rId73.png" /><Relationship Type="http://schemas.openxmlformats.org/officeDocument/2006/relationships/image" Id="rId20" Target="media/rId20.png" /><Relationship Type="http://schemas.openxmlformats.org/officeDocument/2006/relationships/image" Id="rId69" Target="media/rId69.png" /><Relationship Type="http://schemas.openxmlformats.org/officeDocument/2006/relationships/image" Id="rId30" Target="media/rId30.png" /><Relationship Type="http://schemas.openxmlformats.org/officeDocument/2006/relationships/image" Id="rId55" Target="media/rId55.png" /><Relationship Type="http://schemas.openxmlformats.org/officeDocument/2006/relationships/image" Id="rId59" Target="media/rId59.png" /><Relationship Type="http://schemas.openxmlformats.org/officeDocument/2006/relationships/image" Id="rId62" Target="media/rId62.jpg" /><Relationship Type="http://schemas.openxmlformats.org/officeDocument/2006/relationships/hyperlink" Id="rId23" Target="https://www.scm.com/doc/AMS/Pipe_protocol.html" TargetMode="External" /></Relationships>
</file>

<file path=word/_rels/footnotes.xml.rels><?xml version="1.0" encoding="UTF-8"?>
<Relationships xmlns="http://schemas.openxmlformats.org/package/2006/relationships"><Relationship Type="http://schemas.openxmlformats.org/officeDocument/2006/relationships/hyperlink" Id="rId23" Target="https://www.scm.com/doc/AMS/Pipe_protocol.html"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Words>83</Words>
  <SharedDoc>false</SharedDoc>
  <HyperlinksChanged>false</HyperlinksChanged>
  <Lines>12</Lines>
  <AppVersion>12.0000</AppVersion>
  <LinksUpToDate>false</LinksUpToDate>
  <Application>Microsoft Word 12.0.0</Application>
  <CharactersWithSpaces>583</CharactersWithSpaces>
  <Template>Normal.dotm</Template>
  <DocSecurity>0</DocSecurity>
  <TotalTime>6</TotalTime>
  <ScaleCrop>false</ScaleCrop>
  <Characters>475</Characters>
  <Paragraphs>8</Paragraphs>
  <Pages>1</Pag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EON GPR Test Systems Under the Auspices of REAXPRO</dc:title>
  <dc:creator>Alejandro, Hannes, Rohit, Satish, Maxim</dc:creator>
  <cp:keywords/>
  <dcterms:created xsi:type="dcterms:W3CDTF">2021-02-28T05:50:52Z</dcterms:created>
  <dcterms:modified xsi:type="dcterms:W3CDTF">2021-02-28T05:50:52Z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bstract">
    <vt:lpwstr>Brief system descriptions of test cases considered. Also includes developer TODO items.</vt:lpwstr>
  </property>
  <property fmtid="{D5CDD505-2E9C-101B-9397-08002B2CF9AE}" pid="3" name="bibliography">
    <vt:lpwstr/>
  </property>
  <property fmtid="{D5CDD505-2E9C-101B-9397-08002B2CF9AE}" pid="4" name="date">
    <vt:lpwstr/>
  </property>
</Properties>
</file>