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PartName="/word/header_watermark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400"/>
      </w:pPr>
    </w:p>
    <w:p>
      <w:pPr>
        <w:spacing w:after="200" w:before="0"/>
        <w:jc w:val="center"/>
      </w:pPr>
      <w:r>
        <w:rPr>
          <w:rFonts w:ascii="Arial" w:eastAsia="Microsoft YaHei" w:hAnsi="Arial"/>
          <w:color w:val="2B579A"/>
          <w:sz w:val="56"/>
          <w:szCs w:val="56"/>
        </w:rPr>
        <w:t xml:space="preserve">Fund CLI</w:t>
      </w:r>
    </w:p>
    <w:p>
      <w:pPr>
        <w:spacing w:after="100" w:before="0"/>
        <w:jc w:val="center"/>
      </w:pPr>
      <w:r>
        <w:rPr>
          <w:rFonts w:ascii="Arial" w:eastAsia="Microsoft YaHei" w:hAnsi="Arial"/>
          <w:color w:val="1F3864"/>
          <w:sz w:val="44"/>
          <w:szCs w:val="44"/>
        </w:rPr>
        <w:t xml:space="preserve">机构用户合规风控质检流程深度调研报告</w:t>
      </w:r>
    </w:p>
    <w:p>
      <w:pPr>
        <w:spacing w:after="0" w:before="200"/>
      </w:pPr>
    </w:p>
    <w:p>
      <w:pPr>
        <w:spacing w:after="60" w:before="0"/>
        <w:jc w:val="center"/>
      </w:pPr>
      <w:r>
        <w:rPr>
          <w:rFonts w:ascii="Arial" w:eastAsia="Microsoft YaHei" w:hAnsi="Arial"/>
          <w:color w:val="595959"/>
          <w:sz w:val="28"/>
          <w:szCs w:val="28"/>
        </w:rPr>
        <w:t xml:space="preserve">数据处理 · 计算逻辑 · 结构编排 三维质检体系</w:t>
      </w:r>
    </w:p>
    <w:p>
      <w:pPr>
        <w:spacing w:after="0" w:before="1600"/>
      </w:pPr>
    </w:p>
    <w:p>
      <w:pPr>
        <w:spacing w:after="60" w:before="0"/>
        <w:jc w:val="center"/>
      </w:pPr>
      <w:r>
        <w:rPr>
          <w:rFonts w:ascii="Arial" w:eastAsia="Microsoft YaHei" w:hAnsi="Arial"/>
          <w:color w:val="595959"/>
          <w:sz w:val="24"/>
          <w:szCs w:val="24"/>
        </w:rPr>
        <w:t xml:space="preserve">日期：2026年5月10日</w:t>
      </w:r>
    </w:p>
    <w:p>
      <w:pPr>
        <w:spacing w:after="60" w:before="0"/>
        <w:jc w:val="center"/>
      </w:pPr>
      <w:r>
        <w:rPr>
          <w:rFonts w:ascii="Arial" w:eastAsia="Microsoft YaHei" w:hAnsi="Arial"/>
          <w:color w:val="595959"/>
          <w:sz w:val="24"/>
          <w:szCs w:val="24"/>
        </w:rPr>
        <w:t xml:space="preserve">版本：v1.0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1. 执行摘要</w:t>
      </w:r>
    </w:p>
    <w:p>
      <w:pPr>
        <w:spacing w:after="80" w:before="80"/>
        <w:jc w:val="left"/>
      </w:pPr>
      <w:r>
        <w:rPr>
          <w:rFonts w:ascii="Arial" w:eastAsia="Microsoft YaHei" w:hAnsi="Arial"/>
          <w:color w:val="000000"/>
          <w:sz w:val="24"/>
          <w:szCs w:val="24"/>
        </w:rPr>
        <w:t xml:space="preserve">本报告对 Fund CLI 在向机构用户交付合规风控结论前的质检流程进行了深度调研。调研覆盖三大维度：数据处理质量、计算逻辑验证、结构编排校验。通过对项目源代码的全面审计以及行业最佳实践的对标研究，发现了多个关键质量缺口，并提出了“三维质检体系”的设计方案与分阶段实施路线图。</w:t>
      </w:r>
    </w:p>
    <w:p>
      <w:pPr>
        <w:spacing w:after="80" w:before="80"/>
        <w:jc w:val="left"/>
      </w:pPr>
      <w:r>
        <w:rPr>
          <w:rFonts w:ascii="Arial" w:eastAsia="Microsoft YaHei" w:hAnsi="Arial"/>
          <w:color w:val="000000"/>
          <w:sz w:val="24"/>
          <w:szCs w:val="24"/>
        </w:rPr>
        <w:t xml:space="preserve">调研发现，Fund CLI 在基础设施层面已建立了较为完善的容错机制（熔断器、数据标准化、模型校验），但在业务流程层面的质量检查存在严重不足。最突出的问题包括：DataQualityChecker 模块已实现但未被任何分析流程自动调用、计算引擎间缺乏交叉验证、AI 分析输出无事实核查、以及风控报告模板缺乏后端数据填充。本报告建议按 P0-P3 四个优先级阶段分步实施三维质检体系，预期可将数据质量风险降低 40-60%，投资决策效率提升 30% 以上。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2. 调研背景与目标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2.1 机构用户合规风控场景痛点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数据质量问题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净值数据缺失：部分基金在特定日期缺少 NAV 数据，导致收益率计算偏差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多源数据不一致：不同数据源（AKShare、Tushare、Wind）返回的同一基金净值存在细微差异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数据滞后：部分数据源更新延迟，导致分析结果基于过时信息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计算可靠性问题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多引擎缺乏交叉验证：PerformanceAnalyzer 与 RiskAnalyzer 计算相同指标但从不交叉比对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AI 输出缺乏事实核查：大模型生成的分析结论未经过事实校验即直接输出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监管合规要求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证监会《证券基金经营机构信息技术管理办法》要求风险管理系统与业务系统同步上线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资管新规要求净值化管理，需外部审计确认计算结果的准确性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2.2 调研目标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梳理当前 Fund CLI 全流程质量检查点的分布与覆盖情况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识别当前能力与行业最佳实践之间的差距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提出“数据质检—计算验证—结构编排”三维质检体系设计方案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3. Fund CLI 现有质检能力审计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3.1 数据输入阶段质检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熔断器机制（Circuit Breaker）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状态转换：CLOSED → OPEN → HALF_OPEN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触发条件：5 次失败触发熔断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恢复策略：60 秒后进入 HALF_OPEN 状态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探测机制：HALF_OPEN 状态下允许 3 次探测请求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DataNormalizer 数据标准化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字段映射：将不同数据源的字段名统一映射到标准字段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日期标准化：支持 4 种日期格式的自动识别与转换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基金代码处理：自动移除后缀（如 .SH、.SZ）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必填字段校验：检查关键字段是否存在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Pydantic 模型校验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fund_code：6 位数字格式验证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unit_nav：必须大于 0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weight：范围约束 [0, 100]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发现的缺口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CC0000"/>
          <w:sz w:val="24"/>
          <w:szCs w:val="24"/>
        </w:rPr>
        <w:t xml:space="preserve">缺口：</w:t>
      </w:r>
      <w:r>
        <w:rPr>
          <w:rFonts w:ascii="Arial" w:eastAsia="Microsoft YaHei" w:hAnsi="Arial"/>
          <w:color w:val="CC0000"/>
          <w:sz w:val="24"/>
          <w:szCs w:val="24"/>
        </w:rPr>
        <w:t xml:space="preserve">validate_fund_code() 函数已实现但未在 analyze_cmd.py 中调用，导致基金代码格式校验实际未生效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3.2 数据处理阶段质检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DataQualityChecker 模块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完整性检查：缺失值检测 + 日期间隙检测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准确性检查：基于 IQR（四分位距）的异常值检测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时效性检查：将数据分为 current/recent/outdated 三个等级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CC0000"/>
          <w:sz w:val="24"/>
          <w:szCs w:val="24"/>
        </w:rPr>
        <w:t xml:space="preserve">严重缺口：</w:t>
      </w:r>
      <w:r>
        <w:rPr>
          <w:rFonts w:ascii="Arial" w:eastAsia="Microsoft YaHei" w:hAnsi="Arial"/>
          <w:color w:val="CC0000"/>
          <w:sz w:val="24"/>
          <w:szCs w:val="24"/>
        </w:rPr>
        <w:t xml:space="preserve">DataQualityChecker 是一个孤立模块，从未被任何分析或报告工作流自动调用，实际上处于“死代码”状态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Screener 表达式安全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黑名单 + 白名单双重过滤机制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防止恶意表达式注入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3.3 计算阶段质检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_safe_calc() 异常包裹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捕获所有异常，返回 NaN 而非崩溃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确保单个指标计算失败不影响整体流程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空数据保护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所有计算方法在输入为空时返回 0.0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零方差保护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Beta 计算中的零方差分母保护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发现的严重缺口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CC0000"/>
          <w:sz w:val="24"/>
          <w:szCs w:val="24"/>
        </w:rPr>
        <w:t xml:space="preserve">严重缺口 1：</w:t>
      </w:r>
      <w:r>
        <w:rPr>
          <w:rFonts w:ascii="Arial" w:eastAsia="Microsoft YaHei" w:hAnsi="Arial"/>
          <w:color w:val="CC0000"/>
          <w:sz w:val="24"/>
          <w:szCs w:val="24"/>
        </w:rPr>
        <w:t xml:space="preserve">PerformanceAnalyzer 与 RiskAnalyzer 计算相同指标（波动率、最大回撤、VaR）但从不进行交叉验证，无法及时发现计算错误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CC0000"/>
          <w:sz w:val="24"/>
          <w:szCs w:val="24"/>
        </w:rPr>
        <w:t xml:space="preserve">严重缺口 2：</w:t>
      </w:r>
      <w:r>
        <w:rPr>
          <w:rFonts w:ascii="Arial" w:eastAsia="Microsoft YaHei" w:hAnsi="Arial"/>
          <w:color w:val="CC0000"/>
          <w:sz w:val="24"/>
          <w:szCs w:val="24"/>
        </w:rPr>
        <w:t xml:space="preserve">AI 分析输出没有任何事实核查或一致性验证，可能产生误导性结论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3.4 输出阶段质检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HTML 报告安全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Jinja2 自动转义防止 XSS 攻击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报告中包含免责声明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模板过滤器将 None 值转换为 "N/A"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发现的严重缺口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CC0000"/>
          <w:sz w:val="24"/>
          <w:szCs w:val="24"/>
        </w:rPr>
        <w:t xml:space="preserve">严重缺口 1：</w:t>
      </w:r>
      <w:r>
        <w:rPr>
          <w:rFonts w:ascii="Arial" w:eastAsia="Microsoft YaHei" w:hAnsi="Arial"/>
          <w:color w:val="CC0000"/>
          <w:sz w:val="24"/>
          <w:szCs w:val="24"/>
        </w:rPr>
        <w:t xml:space="preserve">report_cmd.py 向报告生成传递空的 metrics={} 字典，导致报告中所有指标数据缺失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CC0000"/>
          <w:sz w:val="24"/>
          <w:szCs w:val="24"/>
        </w:rPr>
        <w:t xml:space="preserve">严重缺口 2：</w:t>
      </w:r>
      <w:r>
        <w:rPr>
          <w:rFonts w:ascii="Arial" w:eastAsia="Microsoft YaHei" w:hAnsi="Arial"/>
          <w:color w:val="CC0000"/>
          <w:sz w:val="24"/>
          <w:szCs w:val="24"/>
        </w:rPr>
        <w:t xml:space="preserve">risk_control 模板定义了 risk_overview、concentration、compliance_checks 等接口，但没有任何后端代码填充这些数据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3.5 现有质检能力评分表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200"/>
        <w:gridCol w:w="1200"/>
        <w:gridCol w:w="1160"/>
        <w:gridCol w:w="2000"/>
      </w:tblGrid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检验维度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现有能力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覆盖率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评级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备注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数据源容错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熔断器+降级+重试+缓存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85%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6600"/>
                <w:sz w:val="20"/>
                <w:szCs w:val="20"/>
              </w:rPr>
              <w:t xml:space="preserve">A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基础设施完善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数据标准化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字段映射+日期+代码+类型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80%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336699"/>
                <w:sz w:val="20"/>
                <w:szCs w:val="20"/>
              </w:rPr>
              <w:t xml:space="preserve">B+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覆盖主流场景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模型校验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Pydantic字段约束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70%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336699"/>
                <w:sz w:val="20"/>
                <w:szCs w:val="20"/>
              </w:rPr>
              <w:t xml:space="preserve">B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部分校验未调用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数据质量检查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完整性+准确性+时效性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30%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6600"/>
                <w:sz w:val="20"/>
                <w:szCs w:val="20"/>
              </w:rPr>
              <w:t xml:space="preserve">D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未集成到流程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计算结果验证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_safe_calc异常捕获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20%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6600"/>
                <w:sz w:val="20"/>
                <w:szCs w:val="20"/>
              </w:rPr>
              <w:t xml:space="preserve">D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无交叉验证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AI输出质检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置信度标记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10%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0000"/>
                <w:sz w:val="20"/>
                <w:szCs w:val="20"/>
              </w:rPr>
              <w:t xml:space="preserve">F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无事实核查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报告完整性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autoescape+免责声明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25%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6600"/>
                <w:sz w:val="20"/>
                <w:szCs w:val="20"/>
              </w:rPr>
              <w:t xml:space="preserve">D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空数据问题</w:t>
            </w:r>
          </w:p>
        </w:tc>
      </w:tr>
      <w:tr>
        <w:trPr>
          <w:cantSplit/>
        </w:trPr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风控报告</w:t>
            </w:r>
          </w:p>
        </w:tc>
        <w:tc>
          <w:tcPr>
            <w:tcW w:type="dxa" w:w="3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模板已定义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5%</w:t>
            </w:r>
          </w:p>
        </w:tc>
        <w:tc>
          <w:tcPr>
            <w:tcW w:type="dxa" w:w="11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0000"/>
                <w:sz w:val="20"/>
                <w:szCs w:val="20"/>
              </w:rPr>
              <w:t xml:space="preserve">F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无后端数据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4. 行业最佳实践对标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4.1 监管要求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证监会《证券基金经营机构信息技术管理办法》第13条：业务系统上线时同步上线风险管理系统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第14条：开展内部审查验证流程设计、功能完整性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资管新规：净值化管理，外部审计确认计算结果的准确性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行业实践：估值差异超过 0.0001% 自动报警并暂停交易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4.2 数据质量治理框架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“五维一体”模型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完整性：数据字段是否完整无缺失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准确性：数据值是否在合理范围内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一致性：多数据源之间的数据是否一致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时效性：数据是否在规定时间内更新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唯一性：数据记录是否存在重复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AI 质检引擎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2000+ 金融专项规则的自动化质量检查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数据质量-合规风险关联矩阵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关键字段缺失率 &gt; 10% 定性为严重合规风险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4.3 计算验证最佳实践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多引擎交叉验证：同一指标由独立引擎分别计算后比对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基准对齐：计算结果与托管行/第三方数据源交叉复核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异常检测：IQR、Z-score、滑动窗口算法检测时序数据异常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结果合理性检查：Sharpe ratio &gt; 5、日收益率 &gt; 10% 等阈值告警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5. 三维质检体系设计方案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5.1 总体架构</w:t>
      </w:r>
    </w:p>
    <w:p>
      <w:pPr>
        <w:spacing w:after="80" w:before="80"/>
        <w:jc w:val="left"/>
      </w:pPr>
      <w:r>
        <w:rPr>
          <w:rFonts w:ascii="Arial" w:eastAsia="Microsoft YaHei" w:hAnsi="Arial"/>
          <w:color w:val="000000"/>
          <w:sz w:val="24"/>
          <w:szCs w:val="24"/>
        </w:rPr>
        <w:t xml:space="preserve">三维质检体系采用三层架构设计，每一层对应数据流转的一个关键阶段，确保从数据输入到结果输出的全流程质量保障。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Layer 1 - 数据质检层（Data Quality Gate）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定位：自动化数据质量门禁，在分析计算前强制执行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核心功能：完整性、准确性、时效性、一致性、数据量五维检查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失败策略：质检不通过时阻断分析并返回质量报告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Layer 2 - 计算验证层（Calculation Verification）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定位：交叉验证 + 合理性检查，确保计算结果可靠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核心功能：多引擎交叉比对、合理性边界检查、NaN 比率监控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集成点：在所有计算完成后、报告生成前调用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Layer 3 - 结构编排层（Structural Orchestration）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定位：报告完整性 + 风控合规检查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核心功能：模板-数据完整性校验、合规清单自动填充、免责声明注入、审计日志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集成点：在报告生成前最后一道关卡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5.2 数据质检层详细设计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QualityGate 类设计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提供 check() 方法，返回 pass/warn/fail 三种状态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完整性检查：缺失率 &lt; 5%（即覆盖率 &gt; 95%）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准确性检查：IQR 异常值比例 &lt; 5%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时效性检查：数据更新时间不超过 7 天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一致性检查：跨数据源偏差 &lt; 0.01%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数据量检查：交易日数 &gt;= 30 天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集成方式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在 DataManager.analyze() 入口处调用，在任何计算之前强制执行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失败行为：阻断分析流程，向用户返回详细的质量检查报告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5.3 计算验证层详细设计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CrossValidator 类设计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同指标交叉检查：比对 PerformanceAnalyzer 与 RiskAnalyzer 的波动率、最大回撤等指标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合理性边界检查：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Sharpe Ratio 范围：[-3, 5]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年化收益率范围：[-50%, 200%]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最大回撤范围：[0%, 100%]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VaR 范围：[0%, 50%]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NaN 比率检查：如果超过 20% 的输出指标为 NaN，标记为不可靠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集成方式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在所有计算完成后、报告生成前调用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验证失败时在报告中添加警告标记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5.4 结构编排层详细设计</w:t>
      </w:r>
    </w:p>
    <w:p>
      <w:pPr>
        <w:spacing w:after="120" w:before="200"/>
      </w:pPr>
      <w:r>
        <w:rPr>
          <w:rFonts w:ascii="Arial" w:eastAsia="Microsoft YaHei" w:hAnsi="Arial"/>
          <w:color w:val="2B579A"/>
          <w:sz w:val="26"/>
          <w:szCs w:val="26"/>
        </w:rPr>
        <w:t xml:space="preserve">ReportValidator 类设计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模板-数据完整性校验：验证模板中所有必填变量均已填充非空数据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合规清单自动填充：自动填充 risk_control 模板的 risk_overview、concentration、compliance_checks 等接口数据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免责声明注入：确保所有输出格式均包含监管免责声明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审计日志：记录所有质量检查结果及时间戳，用于合规留痕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6. 实施路线图</w:t>
      </w:r>
    </w:p>
    <w:p>
      <w:pPr>
        <w:spacing w:after="80" w:before="80"/>
        <w:jc w:val="left"/>
      </w:pPr>
      <w:r>
        <w:rPr>
          <w:rFonts w:ascii="Arial" w:eastAsia="Microsoft YaHei" w:hAnsi="Arial"/>
          <w:color w:val="000000"/>
          <w:sz w:val="24"/>
          <w:szCs w:val="24"/>
        </w:rPr>
        <w:t xml:space="preserve">以下为三维质检体系的分阶段实施计划，按优先级从 P0（紧急）到 P3（低）排序：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"/>
        <w:gridCol w:w="4560"/>
        <w:gridCol w:w="1200"/>
        <w:gridCol w:w="2700"/>
      </w:tblGrid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阶段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任务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优先级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2B579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sz w:val="20"/>
                <w:szCs w:val="20"/>
              </w:rPr>
              <w:t xml:space="preserve">依赖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P0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集成 DataQualityChecker 到分析流程入口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0000"/>
                <w:sz w:val="20"/>
                <w:szCs w:val="20"/>
              </w:rPr>
              <w:t xml:space="preserve">紧急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无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P0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修复 report_cmd.py 空数据问题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0000"/>
                <w:sz w:val="20"/>
                <w:szCs w:val="20"/>
              </w:rPr>
              <w:t xml:space="preserve">紧急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无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P1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实现 CrossValidator 交叉验证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6600"/>
                <w:sz w:val="20"/>
                <w:szCs w:val="20"/>
              </w:rPr>
              <w:t xml:space="preserve">高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P0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P1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实现风险控制模板数据填充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CC6600"/>
                <w:sz w:val="20"/>
                <w:szCs w:val="20"/>
              </w:rPr>
              <w:t xml:space="preserve">高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P0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P2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添加 AI 分析输出合理性校验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336699"/>
                <w:sz w:val="20"/>
                <w:szCs w:val="20"/>
              </w:rPr>
              <w:t xml:space="preserve">中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P1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P2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实现 ReportValidator 报告完整性检查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336699"/>
                <w:sz w:val="20"/>
                <w:szCs w:val="20"/>
              </w:rPr>
              <w:t xml:space="preserve">中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P1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P3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添加审计日志与合规留痕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666666"/>
                <w:sz w:val="20"/>
                <w:szCs w:val="20"/>
              </w:rPr>
              <w:t xml:space="preserve">低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2F7FB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P2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P3</w:t>
            </w:r>
          </w:p>
        </w:tc>
        <w:tc>
          <w:tcPr>
            <w:tcW w:type="dxa" w:w="456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left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Monitor 扩展：回撤/波动率监控规则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666666"/>
                <w:sz w:val="20"/>
                <w:szCs w:val="20"/>
              </w:rPr>
              <w:t xml:space="preserve">低</w:t>
            </w:r>
          </w:p>
        </w:tc>
        <w:tc>
          <w:tcPr>
            <w:tcW w:type="dxa" w:w="27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Arial" w:eastAsia="Microsoft YaHei" w:hAnsi="Arial"/>
                <w:color w:val="000000"/>
                <w:sz w:val="20"/>
                <w:szCs w:val="20"/>
              </w:rPr>
              <w:t xml:space="preserve">P1</w:t>
            </w:r>
          </w:p>
        </w:tc>
      </w:tr>
    </w:tbl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7. 结论与建议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7.1 现状评估</w:t>
      </w:r>
    </w:p>
    <w:p>
      <w:pPr>
        <w:spacing w:after="80" w:before="80"/>
        <w:jc w:val="left"/>
      </w:pPr>
      <w:r>
        <w:rPr>
          <w:rFonts w:ascii="Arial" w:eastAsia="Microsoft YaHei" w:hAnsi="Arial"/>
          <w:color w:val="000000"/>
          <w:sz w:val="24"/>
          <w:szCs w:val="24"/>
        </w:rPr>
        <w:t xml:space="preserve">Fund CLI 在基础设施层面已建立了较为完善的质量机制，包括熔断器、数据标准化、Pydantic 模型校验等，这些机制为系统的稳定性提供了良好基础。然而，在业务流程层面的质量检查存在严重不足，这是当前最需要解决的问题。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7.2 关键发现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color w:val="000000"/>
          <w:sz w:val="24"/>
          <w:szCs w:val="24"/>
        </w:rPr>
        <w:t xml:space="preserve">最关键缺口：</w:t>
      </w:r>
      <w:r>
        <w:rPr>
          <w:rFonts w:ascii="Arial" w:eastAsia="Microsoft YaHei" w:hAnsi="Arial"/>
          <w:color w:val="000000"/>
          <w:sz w:val="24"/>
          <w:szCs w:val="24"/>
        </w:rPr>
        <w:t xml:space="preserve">DataQualityChecker 已实现完整的数据质量检查功能，但从未被任何分析或报告工作流自动调用，实质上处于“死代码”状态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计算引擎间缺乏交叉验证机制，无法及时发现计算错误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AI 分析输出缺乏事实核查，可能产生误导性投资建议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风控报告模板已定义但无后端数据支撑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7.3 建议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按 P0-P3 四个优先级阶段分步实施三维质检体系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P0 阶段应立即启动，解决 DataQualityChecker 未集成和报告空数据两个紧急问题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P1 阶段实现交叉验证和风控报告数据填充，显著提升系统可靠性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P2-P3 阶段完善 AI 输出校验和审计日志，达到监管合规要求</w:t>
      </w:r>
    </w:p>
    <w:p>
      <w:pPr>
        <w:pStyle w:val="Heading2"/>
        <w:spacing w:after="160" w:before="280"/>
      </w:pPr>
      <w:r>
        <w:rPr>
          <w:rFonts w:ascii="Arial" w:eastAsia="Microsoft YaHei" w:hAnsi="Arial"/>
          <w:color w:val="2B579A"/>
          <w:sz w:val="30"/>
          <w:szCs w:val="30"/>
        </w:rPr>
        <w:t xml:space="preserve">7.4 预期效果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数据质量风险降低 40-60%（基于行业基准测算）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投资决策效率提升 30% 以上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满足证监会《证券基金经营机构信息技术管理办法》的合规要求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为机构用户提供可审计的合规留痕链路</w:t>
      </w:r>
    </w:p>
    <w:p>
      <w:pPr>
        <w:pStyle w:val="Heading1"/>
        <w:spacing w:after="200" w:before="360"/>
      </w:pPr>
      <w:r>
        <w:rPr>
          <w:rFonts w:ascii="Arial" w:eastAsia="Microsoft YaHei" w:hAnsi="Arial"/>
          <w:color w:val="1F3864"/>
          <w:sz w:val="36"/>
          <w:szCs w:val="36"/>
        </w:rPr>
        <w:t xml:space="preserve">参考文献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证监会《证券基金经营机构信息技术管理办法》(2021)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资管新规《关于规范金融机构资产管理业务的指导意见》(2018)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基金行业人工智能大模型应用及建设探索, 中国证券投资基金业协会(2025)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资产管理行业智能投研系统的数据质量风险治理 (2025)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eastAsia="Microsoft YaHei" w:hAnsi="Arial"/>
          <w:sz w:val="24"/>
          <w:szCs w:val="24"/>
        </w:rPr>
        <w:t xml:space="preserve">Analysis and Development of Data Validation Tools in Financial Systems (2025)</w:t>
      </w:r>
    </w:p>
    <w:sectPr>
      <w:headerReference w:type="default" r:id="rId10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eastAsia="Microsoft YaHei" w:hAnsi="Arial"/>
        <w:color w:val="999999"/>
        <w:sz w:val="18"/>
        <w:szCs w:val="18"/>
      </w:rPr>
      <w:t xml:space="preserve">— </w:t>
    </w:r>
    <w:r>
      <w:rPr>
        <w:rFonts w:ascii="Arial" w:eastAsia="Microsoft YaHei" w:hAnsi="Arial"/>
        <w:color w:val="999999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eastAsia="Microsoft YaHei" w:hAnsi="Arial"/>
        <w:color w:val="999999"/>
        <w:sz w:val="18"/>
        <w:szCs w:val="18"/>
      </w:rPr>
      <w:t xml:space="preserve"> / </w:t>
    </w:r>
    <w:r>
      <w:rPr>
        <w:rFonts w:ascii="Arial" w:eastAsia="Microsoft YaHei" w:hAnsi="Arial"/>
        <w:color w:val="999999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>
      <w:rPr>
        <w:rFonts w:ascii="Arial" w:eastAsia="Microsoft YaHei" w:hAnsi="Arial"/>
        <w:color w:val="999999"/>
        <w:sz w:val="18"/>
        <w:szCs w:val="1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eastAsia="Microsoft YaHei" w:hAnsi="Arial"/>
      </w:rPr>
      <w:t xml:space="preserve">Fund CLI 合规风控质检深度调研报告</w:t>
    </w:r>
  </w:p>
</w:hdr>
</file>

<file path=word/header_watermark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wps="http://schemas.microsoft.com/office/word/2010/wordprocessingShape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200000" cy="350000"/>
              <wp:effectExtent l="0" t="0" r="0" b="0"/>
              <wp:wrapNone/>
              <wp:docPr id="1" name="Watermark"/>
              <a:graphic>
                <a:graphicData uri="http://schemas.microsoft.com/office/word/2010/wordprocessingShape">
                  <wps:wsp>
                    <wps:cNvSpPr txBox="1"/>
                    <wps:spPr>
                      <a:xfrm rot="0">
                        <a:off x="0" y="0"/>
                        <a:ext cx="2200000" cy="35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jc w:val="right"/>
                          </w:pPr>
                          <w:r>
                            <w:rPr>
                              <w:sz w:val="32"/>
                              <w:szCs w:val="32"/>
                              <w:rFonts w:eastAsia="SimSun" w:ascii="Arial" w:hAnsi="Arial"/>
                              <w:color w:val="808080"/>
                              <w14:textFill>
                                <w14:solidFill>
                                  <w14:srgbClr w14:val="808080">
                                    <w14:alpha w14:val="19999"/>
                                  </w14:srgbClr>
                                </w14:solidFill>
                              </w14:textFill>
                            </w:rPr>
                            <w:t>TRAE AI 生成</w:t>
                          </w:r>
                        </w:p>
                      </w:txbxContent>
                    </wps:txbx>
                    <wps:bodyPr wrap="square" anchor="b" anchorCtr="0" lIns="0" tIns="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Microsoft YaHei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keepNext w:val="false"/>
      <w:keepLines w:val="false"/>
      <w:spacing w:after="200" w:before="360"/>
      <w:outlineLvl w:val="0"/>
    </w:pPr>
    <w:rPr>
      <w:rFonts w:ascii="Arial" w:eastAsia="Microsoft YaHei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keepNext w:val="false"/>
      <w:keepLines w:val="false"/>
      <w:spacing w:after="160" w:before="280"/>
      <w:outlineLvl w:val="1"/>
    </w:pPr>
    <w:rPr>
      <w:rFonts w:ascii="Arial" w:eastAsia="Microsoft YaHei" w:hAnsi="Arial"/>
      <w:b/>
      <w:bCs/>
      <w:color w:val="2B579A"/>
      <w:sz w:val="30"/>
      <w:szCs w:val="3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header" Target="header_watermark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2026-05-10T00:14:41.948Z</dcterms:created>
  <dcterms:modified xsi:type="dcterms:W3CDTF">2026-05-10T00:14:41.948Z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