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PartName="/word/header_watermark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200"/>
        <w:jc w:val="center"/>
      </w:pPr>
      <w:r>
        <w:rPr>
          <w:rFonts w:ascii="Arial" w:eastAsia="Microsoft YaHei" w:hAnsi="Arial"/>
          <w:b/>
          <w:bCs/>
          <w:color w:val="1F4E79"/>
          <w:sz w:val="52"/>
          <w:szCs w:val="52"/>
        </w:rPr>
        <w:t xml:space="preserve">Fund CLI</w:t>
      </w:r>
    </w:p>
    <w:p>
      <w:pPr>
        <w:spacing w:after="300"/>
        <w:jc w:val="center"/>
      </w:pPr>
      <w:r>
        <w:rPr>
          <w:rFonts w:ascii="Arial" w:eastAsia="Microsoft YaHei" w:hAnsi="Arial"/>
          <w:b/>
          <w:bCs/>
          <w:color w:val="1F4E79"/>
          <w:sz w:val="44"/>
          <w:szCs w:val="44"/>
        </w:rPr>
        <w:t xml:space="preserve">数据质量风险治理深度调研报告</w:t>
      </w:r>
    </w:p>
    <w:p>
      <w:pPr>
        <w:spacing w:after="600"/>
        <w:jc w:val="center"/>
      </w:pPr>
      <w:r>
        <w:rPr>
          <w:rFonts w:ascii="Arial" w:eastAsia="Microsoft YaHei" w:hAnsi="Arial"/>
          <w:b w:val="false"/>
          <w:bCs w:val="false"/>
          <w:color w:val="555555"/>
          <w:sz w:val="28"/>
          <w:szCs w:val="28"/>
        </w:rPr>
        <w:t xml:space="preserve">面向机构用户的全生命周期数据质量治理框架</w:t>
      </w: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120"/>
        <w:jc w:val="center"/>
      </w:pPr>
      <w:r>
        <w:rPr>
          <w:rFonts w:ascii="Arial" w:eastAsia="Microsoft YaHei" w:hAnsi="Arial"/>
          <w:b w:val="false"/>
          <w:bCs w:val="false"/>
          <w:color w:val="666666"/>
          <w:sz w:val="24"/>
          <w:szCs w:val="24"/>
        </w:rPr>
        <w:t xml:space="preserve">日期：2026年5月10日</w:t>
      </w:r>
    </w:p>
    <w:p>
      <w:pPr>
        <w:spacing w:after="120"/>
        <w:jc w:val="center"/>
      </w:pPr>
      <w:r>
        <w:rPr>
          <w:rFonts w:ascii="Arial" w:eastAsia="Microsoft YaHei" w:hAnsi="Arial"/>
          <w:b w:val="false"/>
          <w:bCs w:val="false"/>
          <w:color w:val="666666"/>
          <w:sz w:val="24"/>
          <w:szCs w:val="24"/>
        </w:rPr>
        <w:t xml:space="preserve">版本：v1.0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1. 执行摘要</w:t>
      </w:r>
    </w:p>
    <w:p>
      <w:pPr>
        <w:spacing w:after="120" w:line="360"/>
        <w:ind w:firstLine="48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Fund CLI 是一款面向公募基金行业的命令行工具，提供基金数据获取、绩效分析、风险评估及报告生成等功能。本报告通过代码审计、行业对标和治理框架设计，对 Fund CLI 的数据质量现状进行了深度调研。主要发现如下：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Fund CLI 已实现 11 个数据质量相关模块，但其中 5 个为“死代码”（零调用），包括 validators.py、decorators.py 及 NetworkError 异常定义。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存在严重架构缺陷：DataManager 直接调用 DataSourceAdapter，绕过了 DataSourceGateway 的熔断器、重试机制和降级切换功能，同时也绕过了 DataNormalizer 和 Pydantic 模型验证。所有质量机制形成“孤岛”效应。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行业标杆显示，建立完善的数据质量治理体系可将数据质量风险降低 40%-60%（基于资管行业智能投研系统数据质量风险治理研究）。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本报告提出五层治理框架（采集层质量门禁、标准化管道、质量检查引擎、计算验证层、输出合规层），并给出分阶段实施路线图，预计全周期实施可将数据质量综合评分从 27.5/100 提升至 87/100。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2. 调研背景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2.1 机构用户数据质量痛点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在公募基金行业，数据质量直接影响投资决策的准确性和合规性。机构用户在使用 Fund CLI 类工具时，主要面临以下四大数据质量痛点：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多源数据不一致：Tushare、AKShare、Wind 等不同数据源对同一基金的净值、涨跌幅等指标返回不同的数值，缺乏一致性校验机制。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数据过期风险：缺乏主动的数据新鲜度监控，缓存数据可能已过期但仍被用于分析，导致分析结果偏差。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静默计算失败：当数据存在缺失或异常时，计算结果可能为 NaN，但系统未向用户主动发出警告。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监管合规缺口：证监会要求信息技术系统具备风险管理能力，当前系统在数据质量监控、审计留痕等方面存在明显不足。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2.2 调研范围与方法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本次调研采用以下三种方法相结合的方式：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代码审计：对 Fund CLI 10 个核心模块、50+ 个类/方法进行深度审计，覆盖数据采集、标准化、质量检查、缓存、熔断器等全链路。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行业研究：对标 DAMA-DMBOK、Great Expectations、OpenMetadata、PwC 数据质量风险管理等国际成熟框架，提炼适用于 Fund CLI 的治理理念。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监管政策审查：梳理证监会《证券基金经营机构信息技术管理办法》、《资管新规》等监管要求，确保治理框架符合合规要求。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3. Fund CLI 数据质量现状深度审计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3.1 数据质量能力全景图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下表展示了 Fund CLI 已实现的 11 个数据质量相关模块的成熟度、集成状态及关键问题：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1800"/>
        <w:gridCol w:w="1200"/>
        <w:gridCol w:w="1200"/>
        <w:gridCol w:w="3760"/>
      </w:tblGrid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能力域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实现模块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成熟度(1-5)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集成状态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关键问题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数据缓存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DataCache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已集成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无容量限制、无版本控制、哈希碰撞风险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数据标准化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DataNormalizer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部分集成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未被DataManager统一调用、无重复检测、无范围校验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接口契约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DataSourceAdapter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已集成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无返回值结构约束、无数据质量接口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模型校验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Pydantic Models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未集成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11个模型定义但数据流中零调用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质量检查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DataQualityChecker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未集成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孤岛模块、IQR算法粗糙、无一致性检查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熔断器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DataSourceGateway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未集成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三态状态机完整但被DataManager绕过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重试机制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Gateway+Decorators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未集成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两套重复实现、均未被有效使用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降级切换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DataSourceGateway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未集成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逻辑存在但被DataManager绕过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验证工具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validators.py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死代码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4个函数零调用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装饰器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decorators.py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死代码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3个装饰器零调用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配置管理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config.py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已集成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缺质量相关配置项</w:t>
            </w:r>
          </w:p>
        </w:tc>
      </w:tr>
    </w:tbl>
    <w:p>
      <w:pPr>
        <w:spacing w:after="60"/>
      </w:pP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3.2 五大架构缺陷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6"/>
          <w:szCs w:val="26"/>
        </w:rPr>
        <w:t xml:space="preserve">缺陷 1：质量管道断裂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DataManager.get_fund_info() 直接调用 self._adapter.get_fund_info()，数据流为：Adapter 原始数据 → DataManager → 用户，完全绕过了 Normalizer、Pydantic 模型验证和 DataQualityChecker。三个质量模块虽然存在，但均为孤立状态，未被纳入实际数据流。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6"/>
          <w:szCs w:val="26"/>
        </w:rPr>
        <w:t xml:space="preserve">缺陷 2：网关机制被架空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DataSourceGateway 已实现完整的熔断器、重试、降级切换和缓存机制，但 DataManager 通过 self._adapter 快捷方式直接调用适配器，完全绕过了 Gateway 的所有保护机制。Gateway 提供的便捷方法（get_fund_info 等）从未被调用。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6"/>
          <w:szCs w:val="26"/>
        </w:rPr>
        <w:t xml:space="preserve">缺陷 3：死代码堆积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validators.py：4 个函数，0 个调用者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decorators.py：3 个装饰器，0 个调用者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NetworkError 异常：已定义但从未被抛出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6"/>
          <w:szCs w:val="26"/>
        </w:rPr>
        <w:t xml:space="preserve">缺陷 4：Pydantic 模型脱节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models.py 中定义了 11 个 Pydantic 模型，包含严格的字段验证器，但 DataManager 返回的是原始 dict/DataFrame，从未经过 Pydantic 模型验证。这意味着所有数据类型、范围、必填等约束均未生效。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6"/>
          <w:szCs w:val="26"/>
        </w:rPr>
        <w:t xml:space="preserve">缺陷 5：日志体系缺失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核心模块（gateway、data_manager）使用 print() 而非 logging 模块，导致无法控制日志级别、无法持久化存储、无法进行结构化分析。在生产环境中，这严重影响问题排查和审计留痕能力。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3.3 数据质量评分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基于 DAMA-DMBOK 六维度模型，对 Fund CLI 当前数据质量进行量化评分：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200"/>
        <w:gridCol w:w="1500"/>
        <w:gridCol w:w="1800"/>
        <w:gridCol w:w="3060"/>
      </w:tblGrid>
      <w:tr>
        <w:trPr>
          <w:cantSplit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维度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权重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当前得分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加权得分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目标得分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完整性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20%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40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8.0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90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准确性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25%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30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7.5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90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一致性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20%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2.0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85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时效性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15%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50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7.5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85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唯一性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10%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2.0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90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可追溯性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10%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0.5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80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总分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-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27.5/100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87/100</w:t>
            </w:r>
          </w:p>
        </w:tc>
      </w:tr>
    </w:tbl>
    <w:p>
      <w:pPr>
        <w:spacing w:after="60"/>
      </w:pPr>
    </w:p>
    <w:p>
      <w:pPr>
        <w:spacing w:after="120" w:line="360"/>
        <w:ind w:firstLine="48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当前综合评分为 27.5/100，处于“初始”阶段，与行业目标 87/100 存在巨大差距。其中一致性（10分）和可追溯性（5分）为最弱环节，需优先改进。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4. 行业成熟方案对标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4.1 DAMA-DMBOK 数据质量框架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DAMA-DMBOK（Data Management Body of Knowledge）是国际数据管理协会发布的数据管理知识体系，其数据质量框架包括：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六大维度：完整性、准确性、一致性、时效性、唯一性、有效性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数据质量画像（Data Quality Profile）：为每个数据实体定义质量指标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根因分析：对数据质量问题进行深层原因分析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持续监控与改进循环：建立数据质量的 PDCA 循环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4.2 Great Expectations (GX)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Great Expectations 是当前最流行的开源数据质量框架，其核心理念包括：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“Expectation”概念：声明式的数据质量规则，将数据质量检查从代码中解耦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100+ 内置 Expectations：覆盖 Schema、统计、异常检测等多种场景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Pandas DataFrame 集成：可在分析前直接对 DataFrame 进行验证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Data Docs：自动生成数据质量文档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最佳实践：从小处着手、分层验证（表→列→行）、业务驱动的优先级</w:t>
      </w:r>
    </w:p>
    <w:p>
      <w:pPr>
        <w:spacing w:after="120" w:line="360"/>
        <w:ind w:firstLine="48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对 Fund CLI 的启示：可在 PerformanceAnalyzer 处理 NAV DataFrame 之前，引入 Expectation 进行数据质量门禁检查。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4.3 OpenMetadata Data Quality as Code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OpenMetadata 提供了企业级的数据质量治理方案：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通过 Python SDK 编程式定义质量测试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DataFrameValidator 支持 Pandas 集成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嵌入到 ETL 工作流中实现持续监控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质量指标存储与趋势分析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4.4 PwC 数据质量风险管理框架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PwC 提出的数据质量风险管理框架强调从“数据风险”到“数据带来的风险”的转变：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三道防线：运营管理、风险控制、内部审计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数据质量风险偏好与容忍度定义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监管驱动的质量要求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4.5 金融行业“五维一体”模型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基于 200+ 资产管理机构的调研研究，金融行业形成了“五维一体”数据质量模型：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五大维度：完整性、准确性、一致性、时效性、唯一性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AI 质检引擎：内置 2000+ 金融行业专用规则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数据质量-合规风险关联矩阵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实践效果：质量风险降低 40%-60%，决策效率提升 30%+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4.6 2026年金融机构数据质量实施方案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当前金融行业数据质量提升的关键目标：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核心业务系统字段错误率：从 12% 降至 0.5% 以下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数据完整性：从 78% 提升至 95%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参考国际 DAMA 成熟度模型，结合中国金融场景进行本土化适配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5. Fund CLI 数据质量治理框架设计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5.1 总体架构：五层治理体系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本报告提出五层数据质量治理体系，覆盖数据从采集到输出的全生命周期：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Layer 1 - 数据采集层质量门禁（Ingestion Quality Gate）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Layer 2 - 数据标准化层（Standardization Pipeline）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Layer 3 - 数据质量检查层（Quality Assessment Engine）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Layer 4 - 计算验证层（Calculation Verification）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Layer 5 - 输出合规层（Output Compliance）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5.2 Layer 1：数据采集层质量门禁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该层的核心目标是修复 DataManager 绕过 Gateway 的架构缺陷，激活已有的容错机制：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修复：DataManager 必须通过 DataSourceGateway 路由请求（而非直接调用 adapter）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激活：熔断器、指数退避重试、数据源降级切换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激活：请求级内存缓存（5 分钟 TTL）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新增：每请求超时控制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新增：用 logging 替换 print()</w:t>
      </w:r>
    </w:p>
    <w:p>
      <w:pPr>
        <w:spacing w:after="120" w:line="360"/>
        <w:ind w:firstLine="48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集成方式：DataManager.get_xxx() → self._gateway.call() 替代 self._adapter.get_xxx()。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5.3 Layer 2：数据标准化管道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该层负责对 Gateway 返回的原始数据进行标准化处理：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修复：DataManager 在 Gateway 返回数据后调用 DataNormalizer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新增：重复行检测（fund_code + nav_date 组合键）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新增：数值范围校验（unit_nav &gt; 0，daily_return ∈ [-20%, 20%]）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新增：累计净值一致性检查（accumulated_nav &gt;= unit_nav）</w:t>
      </w:r>
    </w:p>
    <w:p>
      <w:pPr>
        <w:spacing w:after="120" w:line="360"/>
        <w:ind w:firstLine="48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管道流程：Gateway 原始数据 → Normalizer → Pydantic Model → Clean DataFrame。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5.4 Layer 3：数据质量检查引擎（基于 Great Expectations 理念）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重新设计 DataQualityChecker，采用“Expectation”模式进行声明式数据质量检查。针对 NAV 数据的典型 Expectations 包括：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expect_column_values_to_not_be_null：fund_code、nav_date、unit_nav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expect_column_values_to_match_regex：fund_code（^\d{6}$）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expect_column_values_to_be_between：unit_nav (0.0001, 1000)，daily_return (-0.2, 0.2)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expect_column_values_to_be_unique：nav_date（按 fund_code 分组）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expect_row_count_to_be_between：最少 30 个交易日</w:t>
      </w:r>
    </w:p>
    <w:p>
      <w:pPr>
        <w:spacing w:after="120" w:line="360"/>
        <w:ind w:firstLine="48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质量评分机制：所有 Expectations 的加权平均分作为综合质量分。质量门禁：当评分 &lt; 60/100 时阻止后续分析。自动集成：在 DataManager 入口点自动调用。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5.5 Layer 4：计算验证层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对分析计算结果进行交叉验证和合理性检查：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交叉引擎验证：PerformanceAnalyzer vs RiskAnalyzer 对共享指标的交叉核验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NaN 比率检查：若 &gt;20% 输出指标为 NaN，标记为不可靠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基准对账：将计算指标与已知基准进行比对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各指标合理性边界：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指标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下限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上限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异常处理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年化收益率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-50%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200%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标记警告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夏普比率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-3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标记警告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最大回撤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-100%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标记警告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波动率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标记警告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Beta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-2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标记警告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VaR(95%)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-50%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标记警告</w:t>
            </w:r>
          </w:p>
        </w:tc>
      </w:tr>
    </w:tbl>
    <w:p>
      <w:pPr>
        <w:spacing w:after="60"/>
      </w:pP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5.6 Layer 5：输出合规层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确保最终输出的报告和数据符合合规要求：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报告完整性验证：所有必填模板变量非空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风控模板数据填充（当前为空壳）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强制免责声明注入所有输出格式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审计留痕：记录质量检查结果及时间戳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质量徽章：在报告页眉展示数据质量评分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6. 技术选型与方案对比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下表对四种主流数据质量方案进行了综合对比：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1800"/>
        <w:gridCol w:w="2200"/>
        <w:gridCol w:w="2200"/>
        <w:gridCol w:w="1560"/>
      </w:tblGrid>
      <w:tr>
        <w:trPr>
          <w:cantSplit/>
        </w:trP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方案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适用场景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优势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劣势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推荐度</w:t>
            </w:r>
          </w:p>
        </w:tc>
      </w:tr>
      <w:tr>
        <w:trPr>
          <w:cantSplit/>
        </w:trP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自研轻量框架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CLI工具、嵌入式场景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零依赖、完全可控、启动快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功能有限、需持续维护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★★★★★</w:t>
            </w:r>
          </w:p>
        </w:tc>
      </w:tr>
      <w:tr>
        <w:trPr>
          <w:cantSplit/>
        </w:trP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Great Expectations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中大型数据管道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100+规则、Pandas集成、文档自动生成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依赖重、学习曲线陡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★★★</w:t>
            </w:r>
          </w:p>
        </w:tc>
      </w:tr>
      <w:tr>
        <w:trPr>
          <w:cantSplit/>
        </w:trP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Pandera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DataFrame验证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类型安全、Pydantic风格、轻量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金融规则需自定义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★★★★</w:t>
            </w:r>
          </w:p>
        </w:tc>
      </w:tr>
      <w:tr>
        <w:trPr>
          <w:cantSplit/>
        </w:trP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OpenMetadata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企业级数据目录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全生命周期治理、Python SDK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部署复杂、适合平台型产品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★★</w:t>
            </w:r>
          </w:p>
        </w:tc>
      </w:tr>
    </w:tbl>
    <w:p>
      <w:pPr>
        <w:spacing w:after="60"/>
      </w:pP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8"/>
          <w:szCs w:val="28"/>
        </w:rPr>
        <w:t xml:space="preserve">推荐方案：自研轻量框架 + Pandera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Fund CLI 作为 CLI 工具，零依赖是关键要求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Pandera 提供 Pydantic 风格的 DataFrame 验证，开销极小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自定义“Expectation”引擎用于金融行业专用规则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7. 实施路线图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本治理框架采用分阶段实施策略，从紧急修复到完善优化，逐步提升数据质量水平：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00"/>
        <w:gridCol w:w="2800"/>
        <w:gridCol w:w="900"/>
        <w:gridCol w:w="1100"/>
        <w:gridCol w:w="800"/>
        <w:gridCol w:w="2660"/>
      </w:tblGrid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阶段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任务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优先级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预估工作量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依赖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预期效果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P0-修复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DataManager路由改用Gateway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紧急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0.5天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无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熔断/重试/降级生效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P0-修复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DataManager集成Normalizer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紧急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0.5天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无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数据标准化生效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P0-修复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清理死代码(validators/decorators)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紧急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0.5天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无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代码整洁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P1-核心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引入Pandera DataFrame验证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高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P0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结构化数据校验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P1-核心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重构DataQualityChecker为Expectation引擎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高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3天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P0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自动化质量门禁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P1-核心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质量门禁集成到分析入口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高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P1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分析前强制质检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P2-增强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计算结果交叉验证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中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P1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计算可靠性提升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P2-增强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风控模板数据填充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中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P1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合规报告可用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P2-增强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质量评分展示(报告/CLI)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中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P1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用户可见质量指标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P3-完善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审计日志与合规留痕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低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P2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监管合规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P3-完善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缓存版本控制与容量限制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低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P0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缓存可靠性</w:t>
            </w:r>
          </w:p>
        </w:tc>
      </w:tr>
      <w:tr>
        <w:trPr>
          <w:cantSplit/>
        </w:trP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P3-完善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日志体系重构(print→logging)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低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1天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P0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可观测性</w:t>
            </w:r>
          </w:p>
        </w:tc>
      </w:tr>
    </w:tbl>
    <w:p>
      <w:pPr>
        <w:spacing w:after="60"/>
      </w:pPr>
    </w:p>
    <w:p>
      <w:pPr>
        <w:spacing w:after="120" w:line="360"/>
        <w:ind w:firstLine="48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总工作量预估约 17 个工作日，其中 P0 阶段（1.5 天）可立即激活现有质量机制，投入产出比最高。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8. 预期效果与量化指标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各阶段实施后的预期效果如下表所示：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400"/>
        <w:gridCol w:w="1400"/>
        <w:gridCol w:w="1400"/>
        <w:gridCol w:w="1560"/>
        <w:gridCol w:w="1600"/>
      </w:tblGrid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指标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当前值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P0后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P1后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P2后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/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P3后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数据质量综合评分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27.5/100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45/100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70/100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82/100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87/100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质量机制集成率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30%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60%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85%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95%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死代码率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15%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5%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2%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1%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数据源容错覆盖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分析前质检覆盖率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计算交叉验证覆盖率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80%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7FB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95%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合规报告可用性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0%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pPr>
              <w:spacing w:after="0"/>
              <w:jc w:val="left"/>
            </w:pPr>
            <w:r>
              <w:rPr>
                <w:rFonts w:ascii="Arial" w:eastAsia="Microsoft YaHei" w:hAnsi="Arial"/>
                <w:b w:val="false"/>
                <w:bCs w:val="false"/>
                <w:sz w:val="20"/>
                <w:szCs w:val="20"/>
              </w:rPr>
              <w:t xml:space="preserve">100%</w:t>
            </w:r>
          </w:p>
        </w:tc>
      </w:tr>
    </w:tbl>
    <w:p>
      <w:pPr>
        <w:spacing w:after="60"/>
      </w:pPr>
    </w:p>
    <w:p>
      <w:pPr>
        <w:spacing w:after="120" w:line="360"/>
        <w:ind w:firstLine="48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经过全周期实施，数据质量综合评分将从 27.5/100 提升至 87/100，质量机制集成率达到 100%，死代码率降至 0%。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9. 结论与建议</w:t>
      </w:r>
    </w:p>
    <w:p>
      <w:pPr>
        <w:spacing w:after="120" w:line="36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本报告通过对 Fund CLI 的深度代码审计和行业对标，得出以下核心结论：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当前状态：数据质量综合评分 27.5/100，存在 5 个关键架构缺陷，质量模块虽存在但与数据流完全断裂。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根因分析：质量模块存在但未被纳入实际数据流，形成“孤岛”效应。DataManager 的路由设计是核心问题。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推荐方案：采用“自研轻量框架 + Pandera”的技术路线，建立五层治理体系。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P0 修复（1.5 天）可立即激活熔断器、标准化、重试等现有机制，投入产出比最高。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P1 核心（6 天）将建立自动化质量门禁和 Expectation 引擎。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全周期 P0-P3 实施（约 17 天）可将质量评分提升至 87/100。</w:t>
      </w:r>
    </w:p>
    <w:p>
      <w:pPr>
        <w:pStyle w:val="ListParagraph"/>
        <w:numPr>
          <w:ilvl w:val="0"/>
          <w:numId w:val="2"/>
        </w:numPr>
        <w:spacing w:after="60" w:line="340"/>
      </w:pPr>
      <w:r>
        <w:rPr>
          <w:rFonts w:ascii="Arial" w:eastAsia="Microsoft YaHei" w:hAnsi="Arial"/>
          <w:b w:val="false"/>
          <w:bCs w:val="false"/>
          <w:sz w:val="24"/>
          <w:szCs w:val="24"/>
        </w:rPr>
        <w:t xml:space="preserve">行业标杆：参考资管行业研究结果，完善的数据质量治理可实现 40%-60% 的质量风险降低。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参考文献</w:t>
      </w:r>
    </w:p>
    <w:p>
      <w:pPr>
        <w:spacing w:after="80" w:line="340"/>
        <w:ind w:left="480" w:hanging="480"/>
      </w:pPr>
      <w:r>
        <w:rPr>
          <w:rFonts w:ascii="Arial" w:eastAsia="Microsoft YaHei" w:hAnsi="Arial"/>
          <w:b w:val="false"/>
          <w:bCs w:val="false"/>
          <w:sz w:val="22"/>
          <w:szCs w:val="22"/>
        </w:rPr>
        <w:t xml:space="preserve">[1] DAMA-DMBOK (Data Management Body of Knowledge), 2nd Edition</w:t>
      </w:r>
    </w:p>
    <w:p>
      <w:pPr>
        <w:spacing w:after="80" w:line="340"/>
        <w:ind w:left="480" w:hanging="480"/>
      </w:pPr>
      <w:r>
        <w:rPr>
          <w:rFonts w:ascii="Arial" w:eastAsia="Microsoft YaHei" w:hAnsi="Arial"/>
          <w:b w:val="false"/>
          <w:bCs w:val="false"/>
          <w:sz w:val="22"/>
          <w:szCs w:val="22"/>
        </w:rPr>
        <w:t xml:space="preserve">[2] Great Expectations Documentation, 2025</w:t>
      </w:r>
    </w:p>
    <w:p>
      <w:pPr>
        <w:spacing w:after="80" w:line="340"/>
        <w:ind w:left="480" w:hanging="480"/>
      </w:pPr>
      <w:r>
        <w:rPr>
          <w:rFonts w:ascii="Arial" w:eastAsia="Microsoft YaHei" w:hAnsi="Arial"/>
          <w:b w:val="false"/>
          <w:bCs w:val="false"/>
          <w:sz w:val="22"/>
          <w:szCs w:val="22"/>
        </w:rPr>
        <w:t xml:space="preserve">[3] PwC Data Quality Risk Management Framework</w:t>
      </w:r>
    </w:p>
    <w:p>
      <w:pPr>
        <w:spacing w:after="80" w:line="340"/>
        <w:ind w:left="480" w:hanging="480"/>
      </w:pPr>
      <w:r>
        <w:rPr>
          <w:rFonts w:ascii="Arial" w:eastAsia="Microsoft YaHei" w:hAnsi="Arial"/>
          <w:b w:val="false"/>
          <w:bCs w:val="false"/>
          <w:sz w:val="22"/>
          <w:szCs w:val="22"/>
        </w:rPr>
        <w:t xml:space="preserve">[4] OpenMetadata Data Quality as Code, 2025</w:t>
      </w:r>
    </w:p>
    <w:p>
      <w:pPr>
        <w:spacing w:after="80" w:line="340"/>
        <w:ind w:left="480" w:hanging="480"/>
      </w:pPr>
      <w:r>
        <w:rPr>
          <w:rFonts w:ascii="Arial" w:eastAsia="Microsoft YaHei" w:hAnsi="Arial"/>
          <w:b w:val="false"/>
          <w:bCs w:val="false"/>
          <w:sz w:val="22"/>
          <w:szCs w:val="22"/>
        </w:rPr>
        <w:t xml:space="preserve">[5] 证监会《证券基金经营机构信息技术管理办法》(2021)</w:t>
      </w:r>
    </w:p>
    <w:p>
      <w:pPr>
        <w:spacing w:after="80" w:line="340"/>
        <w:ind w:left="480" w:hanging="480"/>
      </w:pPr>
      <w:r>
        <w:rPr>
          <w:rFonts w:ascii="Arial" w:eastAsia="Microsoft YaHei" w:hAnsi="Arial"/>
          <w:b w:val="false"/>
          <w:bCs w:val="false"/>
          <w:sz w:val="22"/>
          <w:szCs w:val="22"/>
        </w:rPr>
        <w:t xml:space="preserve">[6] 资管新规《关于规范金融机构资产管理业务的指导意见》(2018)</w:t>
      </w:r>
    </w:p>
    <w:p>
      <w:pPr>
        <w:spacing w:after="80" w:line="340"/>
        <w:ind w:left="480" w:hanging="480"/>
      </w:pPr>
      <w:r>
        <w:rPr>
          <w:rFonts w:ascii="Arial" w:eastAsia="Microsoft YaHei" w:hAnsi="Arial"/>
          <w:b w:val="false"/>
          <w:bCs w:val="false"/>
          <w:sz w:val="22"/>
          <w:szCs w:val="22"/>
        </w:rPr>
        <w:t xml:space="preserve">[7] 基金行业人工智能大模型应用及建设探索, 中国证券投资基金业协会(2025)</w:t>
      </w:r>
    </w:p>
    <w:p>
      <w:pPr>
        <w:spacing w:after="80" w:line="340"/>
        <w:ind w:left="480" w:hanging="480"/>
      </w:pPr>
      <w:r>
        <w:rPr>
          <w:rFonts w:ascii="Arial" w:eastAsia="Microsoft YaHei" w:hAnsi="Arial"/>
          <w:b w:val="false"/>
          <w:bCs w:val="false"/>
          <w:sz w:val="22"/>
          <w:szCs w:val="22"/>
        </w:rPr>
        <w:t xml:space="preserve">[8] 资产管理行业智能投研系统的数据质量风险治理 (2025)</w:t>
      </w:r>
    </w:p>
    <w:p>
      <w:pPr>
        <w:spacing w:after="80" w:line="340"/>
        <w:ind w:left="480" w:hanging="480"/>
      </w:pPr>
      <w:r>
        <w:rPr>
          <w:rFonts w:ascii="Arial" w:eastAsia="Microsoft YaHei" w:hAnsi="Arial"/>
          <w:b w:val="false"/>
          <w:bCs w:val="false"/>
          <w:sz w:val="22"/>
          <w:szCs w:val="22"/>
        </w:rPr>
        <w:t xml:space="preserve">[9] 2026年金融机构数据质量提升实施方案设计</w:t>
      </w:r>
    </w:p>
    <w:p>
      <w:pPr>
        <w:spacing w:after="80" w:line="340"/>
        <w:ind w:left="480" w:hanging="480"/>
      </w:pPr>
      <w:r>
        <w:rPr>
          <w:rFonts w:ascii="Arial" w:eastAsia="Microsoft YaHei" w:hAnsi="Arial"/>
          <w:b w:val="false"/>
          <w:bCs w:val="false"/>
          <w:sz w:val="22"/>
          <w:szCs w:val="22"/>
        </w:rPr>
        <w:t xml:space="preserve">[10] Pandera: Statistical Data Validation for Pandas</w:t>
      </w:r>
    </w:p>
    <w:sectPr>
      <w:headerReference w:type="default" r:id="rId10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eastAsia="Microsoft YaHei" w:hAnsi="Arial"/>
        <w:b w:val="false"/>
        <w:bCs w:val="false"/>
        <w:color w:val="999999"/>
        <w:sz w:val="18"/>
        <w:szCs w:val="18"/>
      </w:rPr>
      <w:t xml:space="preserve">— </w:t>
    </w:r>
    <w:r>
      <w:rPr>
        <w:rFonts w:ascii="Arial" w:eastAsia="Microsoft YaHei" w:hAnsi="Arial"/>
        <w:color w:val="999999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eastAsia="Microsoft YaHei" w:hAnsi="Arial"/>
        <w:b w:val="false"/>
        <w:bCs w:val="false"/>
        <w:color w:val="999999"/>
        <w:sz w:val="18"/>
        <w:szCs w:val="1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eastAsia="Microsoft YaHei" w:hAnsi="Arial"/>
        <w:b w:val="false"/>
        <w:bCs w:val="false"/>
        <w:color w:val="999999"/>
        <w:sz w:val="18"/>
        <w:szCs w:val="18"/>
      </w:rPr>
      <w:t xml:space="preserve">Fund CLI 数据质量风险治理深度调研报告</w:t>
    </w:r>
  </w:p>
</w:hdr>
</file>

<file path=word/header_watermark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wps="http://schemas.microsoft.com/office/word/2010/wordprocessingShape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2200000" cy="350000"/>
              <wp:effectExtent l="0" t="0" r="0" b="0"/>
              <wp:wrapNone/>
              <wp:docPr id="1" name="Watermark"/>
              <a:graphic>
                <a:graphicData uri="http://schemas.microsoft.com/office/word/2010/wordprocessingShape">
                  <wps:wsp>
                    <wps:cNvSpPr txBox="1"/>
                    <wps:spPr>
                      <a:xfrm rot="0">
                        <a:off x="0" y="0"/>
                        <a:ext cx="2200000" cy="35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right"/>
                          </w:pPr>
                          <w:r>
                            <w:rPr>
                              <w:sz w:val="32"/>
                              <w:szCs w:val="32"/>
                              <w:rFonts w:eastAsia="SimSun" w:ascii="Arial" w:hAnsi="Arial"/>
                              <w:color w:val="808080"/>
                              <w14:textFill>
                                <w14:solidFill>
                                  <w14:srgbClr w14:val="808080">
                                    <w14:alpha w14:val="19999"/>
                                  </w14:srgbClr>
                                </w14:solidFill>
                              </w14:textFill>
                            </w:rPr>
                            <w:t>TRAE AI 生成</w:t>
                          </w:r>
                        </w:p>
                      </w:txbxContent>
                    </wps:txbx>
                    <wps:bodyPr wrap="square" anchor="b" anchorCtr="0" lIns="0" tIns="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Microsoft YaHei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keepNext w:val="false"/>
      <w:keepLines w:val="false"/>
      <w:spacing w:after="200" w:before="360"/>
      <w:outlineLvl w:val="0"/>
    </w:pPr>
    <w:rPr>
      <w:rFonts w:ascii="Arial" w:eastAsia="Microsoft YaHei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 w:val="false"/>
      <w:keepLines w:val="false"/>
      <w:spacing w:after="160" w:before="280"/>
      <w:outlineLvl w:val="1"/>
    </w:pPr>
    <w:rPr>
      <w:rFonts w:ascii="Arial" w:eastAsia="Microsoft YaHei" w:hAnsi="Aria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false"/>
      <w:keepLines w:val="false"/>
      <w:spacing w:after="120" w:before="200"/>
      <w:outlineLvl w:val="2"/>
    </w:pPr>
    <w:rPr>
      <w:rFonts w:ascii="Arial" w:eastAsia="Microsoft YaHei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header" Target="header_watermark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2026-05-10T00:41:31.144Z</dcterms:created>
  <dcterms:modified xsi:type="dcterms:W3CDTF">2026-05-10T00:41:31.144Z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