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F2F6FA"/>
          </w:tcPr>
          <w:p>
            <w:r>
              <w:rPr>
                <w:b/>
                <w:sz w:val="18"/>
              </w:rPr>
              <w:t>Name</w:t>
            </w:r>
          </w:p>
        </w:tc>
        <w:tc>
          <w:tcPr>
            <w:tcW w:type="dxa" w:w="2592"/>
            <w:shd w:fill="F2F6FA"/>
          </w:tcPr>
          <w:p>
            <w:r>
              <w:rPr>
                <w:sz w:val="18"/>
              </w:rPr>
              <w:t>Wong Kit Ping, Godfrey</w:t>
            </w:r>
          </w:p>
        </w:tc>
        <w:tc>
          <w:tcPr>
            <w:tcW w:type="dxa" w:w="2592"/>
            <w:shd w:fill="F2F6FA"/>
          </w:tcPr>
          <w:p>
            <w:r>
              <w:rPr>
                <w:b/>
                <w:sz w:val="18"/>
              </w:rPr>
              <w:t>Location</w:t>
            </w:r>
          </w:p>
        </w:tc>
        <w:tc>
          <w:tcPr>
            <w:tcW w:type="dxa" w:w="2592"/>
            <w:shd w:fill="F2F6FA"/>
          </w:tcPr>
          <w:p>
            <w:r>
              <w:rPr>
                <w:sz w:val="18"/>
              </w:rPr>
              <w:t>Hong Kong</w:t>
            </w:r>
          </w:p>
        </w:tc>
      </w:tr>
      <w:tr>
        <w:tc>
          <w:tcPr>
            <w:tcW w:type="dxa" w:w="2592"/>
            <w:shd w:fill="F2F6FA"/>
          </w:tcPr>
          <w:p>
            <w:r>
              <w:rPr>
                <w:b/>
                <w:sz w:val="18"/>
              </w:rPr>
              <w:t>Contact</w:t>
            </w:r>
          </w:p>
        </w:tc>
        <w:tc>
          <w:tcPr>
            <w:tcW w:type="dxa" w:w="2592"/>
            <w:shd w:fill="F2F6FA"/>
          </w:tcPr>
          <w:p>
            <w:r>
              <w:rPr>
                <w:sz w:val="18"/>
              </w:rPr>
              <w:t>+852 6767 5706</w:t>
            </w:r>
          </w:p>
        </w:tc>
        <w:tc>
          <w:tcPr>
            <w:tcW w:type="dxa" w:w="2592"/>
            <w:shd w:fill="F2F6FA"/>
          </w:tcPr>
          <w:p>
            <w:r>
              <w:rPr>
                <w:b/>
                <w:sz w:val="18"/>
              </w:rPr>
              <w:t>Email</w:t>
            </w:r>
          </w:p>
        </w:tc>
        <w:tc>
          <w:tcPr>
            <w:tcW w:type="dxa" w:w="2592"/>
            <w:shd w:fill="F2F6FA"/>
          </w:tcPr>
          <w:p>
            <w:r>
              <w:rPr>
                <w:sz w:val="18"/>
              </w:rPr>
              <w:t>goofreywong@gmail.com</w:t>
            </w:r>
          </w:p>
        </w:tc>
      </w:tr>
    </w:tbl>
    <w:p>
      <w:pPr>
        <w:spacing w:before="60" w:after="80"/>
        <w:jc w:val="center"/>
      </w:pPr>
      <w:r>
        <w:rPr>
          <w:sz w:val="16"/>
        </w:rPr>
        <w:t>GitHub: https://github.com/goofrey/zoom-search | PyPI: https://pypi.org/project/zoom-search/ | Glama: https://glama.ai/mcp/servers/goofrey/zoom-search</w:t>
      </w:r>
    </w:p>
    <w:p>
      <w:pPr>
        <w:spacing w:before="60" w:after="60"/>
        <w:pBdr>
          <w:bottom w:val="single" w:sz="6" w:space="1" w:color="9EADBD"/>
        </w:pBdr>
      </w:pPr>
    </w:p>
    <w:p>
      <w:pPr>
        <w:spacing w:after="100"/>
        <w:jc w:val="center"/>
      </w:pPr>
      <w:r>
        <w:rPr>
          <w:b/>
          <w:sz w:val="21"/>
        </w:rPr>
        <w:t>AI Engineer | Generative AI | LLM Agents | LangGraph | Python</w:t>
      </w:r>
    </w:p>
    <w:p>
      <w:pPr>
        <w:spacing w:after="80" w:line="240" w:lineRule="auto"/>
      </w:pPr>
      <w:r>
        <w:rPr>
          <w:sz w:val="18"/>
        </w:rPr>
        <w:t>AI and software engineer with 7+ years delivering software and automation products, including 4 years focused on AI automation, LLM applications, grounded retrieval, and enterprise workflow transformation. Built and released Zoom Search, an open-source MCP-ready search and evidence tool for AI agents with query rewriting, source-domain zoom-in, sourced answer synthesis, LangGraph integration, evaluation harnesses, runtime metrics, and PyPI distribution. Experienced in Python, LangChain/LangGraph patterns, GraphRAG, Neo4j, semantic retrieval, async APIs, Agile delivery, cross-functional collaboration, and production support.</w:t>
      </w:r>
    </w:p>
    <w:p>
      <w:pPr>
        <w:spacing w:before="60" w:after="60"/>
        <w:pBdr>
          <w:bottom w:val="single" w:sz="6" w:space="1" w:color="9EADBD"/>
        </w:pBdr>
      </w:pPr>
    </w:p>
    <w:p>
      <w:pPr>
        <w:spacing w:before="140" w:after="80"/>
        <w:shd w:fill="D9EAF7"/>
      </w:pPr>
      <w:r>
        <w:rPr>
          <w:b/>
          <w:color w:val="1F4E79"/>
          <w:sz w:val="21"/>
        </w:rPr>
        <w:t>SELECTED GENERATIVE AI PROJECT</w:t>
      </w:r>
    </w:p>
    <w:p>
      <w:pPr>
        <w:spacing w:before="140" w:after="80"/>
      </w:pPr>
      <w:r>
        <w:rPr>
          <w:b/>
          <w:sz w:val="20"/>
        </w:rPr>
        <w:t>Zoom Search - MCP Search and Evidence Tool for LLM Agents</w:t>
      </w:r>
    </w:p>
    <w:p>
      <w:pPr>
        <w:spacing w:after="80" w:line="240" w:lineRule="auto"/>
      </w:pPr>
      <w:r>
        <w:rPr>
          <w:sz w:val="18"/>
        </w:rPr>
        <w:t>GitHub: https://github.com/goofrey/zoom-search | PyPI: https://pypi.org/project/zoom-search/</w:t>
      </w:r>
    </w:p>
    <w:p>
      <w:pPr>
        <w:pStyle w:val="ListBullet"/>
        <w:spacing w:after="40" w:line="240" w:lineRule="auto"/>
      </w:pPr>
      <w:r>
        <w:rPr>
          <w:sz w:val="18"/>
        </w:rPr>
        <w:t>Designed and released a Python MCP server and agent-callable tool that transforms natural-language questions into query rewriting, broad search, source-domain zoom-in, evidence collection, and grounded answer synthesis with citations.</w:t>
      </w:r>
    </w:p>
    <w:p>
      <w:pPr>
        <w:pStyle w:val="ListBullet"/>
        <w:spacing w:after="40" w:line="240" w:lineRule="auto"/>
      </w:pPr>
      <w:r>
        <w:rPr>
          <w:sz w:val="18"/>
        </w:rPr>
        <w:t>Integrated LangGraph/LangChain tool patterns and structured MCP inputs and outputs so LLM agents can use search and evidence gathering as a typed step within multi-tool workflows.</w:t>
      </w:r>
    </w:p>
    <w:p>
      <w:pPr>
        <w:pStyle w:val="ListBullet"/>
        <w:spacing w:after="40" w:line="240" w:lineRule="auto"/>
      </w:pPr>
      <w:r>
        <w:rPr>
          <w:sz w:val="18"/>
        </w:rPr>
        <w:t>Built provider abstractions, async execution, structured responses, streaming events, retry-aware behavior, warnings, runtime metrics, and opt-in raw diagnostics to troubleshoot and optimize agent behavior.</w:t>
      </w:r>
    </w:p>
    <w:p>
      <w:pPr>
        <w:pStyle w:val="ListBullet"/>
        <w:spacing w:after="40" w:line="240" w:lineRule="auto"/>
      </w:pPr>
      <w:r>
        <w:rPr>
          <w:sz w:val="18"/>
        </w:rPr>
        <w:t>Created evaluation and regression checks covering answer quality, useful-source coverage, latency, token cost, search-request volume, and historical golden benchmark thresholds.</w:t>
      </w:r>
    </w:p>
    <w:p>
      <w:pPr>
        <w:pStyle w:val="ListBullet"/>
        <w:spacing w:after="40" w:line="240" w:lineRule="auto"/>
      </w:pPr>
      <w:r>
        <w:rPr>
          <w:sz w:val="18"/>
        </w:rPr>
        <w:t>Owned the delivery lifecycle across pytest, GitHub Actions, Docker-based validation, GitHub Releases, PyPI 0.1.5, MCP ecosystem listings, and user-facing technical documentation.</w:t>
      </w:r>
    </w:p>
    <w:p>
      <w:pPr>
        <w:spacing w:before="60" w:after="60"/>
        <w:pBdr>
          <w:bottom w:val="single" w:sz="6" w:space="1" w:color="9EADBD"/>
        </w:pBdr>
      </w:pPr>
    </w:p>
    <w:p>
      <w:pPr>
        <w:spacing w:before="140" w:after="80"/>
        <w:shd w:fill="D9EAF7"/>
      </w:pPr>
      <w:r>
        <w:rPr>
          <w:b/>
          <w:color w:val="1F4E79"/>
          <w:sz w:val="21"/>
        </w:rPr>
        <w:t>PROFESSIONAL EXPERIENCE</w:t>
      </w:r>
    </w:p>
    <w:p>
      <w:pPr>
        <w:spacing w:before="140" w:after="80"/>
      </w:pPr>
      <w:r>
        <w:rPr>
          <w:b/>
          <w:sz w:val="20"/>
        </w:rPr>
        <w:t>InvestHK, HKSAR Government - Assistant Manager, AI Automation and Knowledge Systems</w:t>
      </w:r>
    </w:p>
    <w:p>
      <w:pPr>
        <w:spacing w:after="80" w:line="240" w:lineRule="auto"/>
      </w:pPr>
      <w:r>
        <w:rPr>
          <w:sz w:val="18"/>
        </w:rPr>
        <w:t>July 2022 - Present</w:t>
      </w:r>
    </w:p>
    <w:p>
      <w:pPr>
        <w:pStyle w:val="ListBullet"/>
        <w:spacing w:after="40" w:line="240" w:lineRule="auto"/>
      </w:pPr>
      <w:r>
        <w:rPr>
          <w:sz w:val="18"/>
        </w:rPr>
        <w:t>Designed and delivered Python-based LLM agents and automation workflows for enterprise operations, including FAQ handling, document intake, application workflows, and internal knowledge assistance.</w:t>
      </w:r>
    </w:p>
    <w:p>
      <w:pPr>
        <w:pStyle w:val="ListBullet"/>
        <w:spacing w:after="40" w:line="240" w:lineRule="auto"/>
      </w:pPr>
      <w:r>
        <w:rPr>
          <w:sz w:val="18"/>
        </w:rPr>
        <w:t>Applied LangGraph-style orchestration, prompt and context engineering, tool-use steps, conversation state, retries, and grounded response patterns to production-facing internal AI systems.</w:t>
      </w:r>
    </w:p>
    <w:p>
      <w:pPr>
        <w:pStyle w:val="ListBullet"/>
        <w:spacing w:after="40" w:line="240" w:lineRule="auto"/>
      </w:pPr>
      <w:r>
        <w:rPr>
          <w:sz w:val="18"/>
        </w:rPr>
        <w:t>Built knowledge graph and GraphRAG workflows with Neo4j, semantic retrieval, contextual reasoning, source grounding, and explainable responses for domain-specific knowledge operations.</w:t>
      </w:r>
    </w:p>
    <w:p>
      <w:pPr>
        <w:pStyle w:val="ListBullet"/>
        <w:spacing w:after="40" w:line="240" w:lineRule="auto"/>
      </w:pPr>
      <w:r>
        <w:rPr>
          <w:sz w:val="18"/>
        </w:rPr>
        <w:t>Collaborated with business users and cross-functional stakeholders to turn ambiguous requirements into proofs of concept, production workflows, evaluation checks, documentation, and maintainable solutions.</w:t>
      </w:r>
    </w:p>
    <w:p>
      <w:pPr>
        <w:pStyle w:val="ListBullet"/>
        <w:spacing w:after="40" w:line="240" w:lineRule="auto"/>
      </w:pPr>
      <w:r>
        <w:rPr>
          <w:sz w:val="18"/>
        </w:rPr>
        <w:t>Troubleshot workflow failures, retrieval quality, context issues, and integration behavior; iterated through testing and user feedback to improve reliability and usability.</w:t>
      </w:r>
    </w:p>
    <w:p>
      <w:pPr>
        <w:pStyle w:val="ListBullet"/>
        <w:spacing w:after="40" w:line="240" w:lineRule="auto"/>
      </w:pPr>
      <w:r>
        <w:rPr>
          <w:sz w:val="18"/>
        </w:rPr>
        <w:t>Participated in iterative planning, delivery reviews, and stakeholder feedback cycles while communicating technical tradeoffs to both technical and non-technical audiences.</w:t>
      </w:r>
    </w:p>
    <w:p>
      <w:pPr>
        <w:spacing w:before="140" w:after="80"/>
      </w:pPr>
      <w:r>
        <w:rPr>
          <w:b/>
          <w:sz w:val="20"/>
        </w:rPr>
        <w:t>Shenzhen Good Spider Network Technology Company - General Manager / Full-stack Product Lead</w:t>
      </w:r>
    </w:p>
    <w:p>
      <w:pPr>
        <w:spacing w:after="80" w:line="240" w:lineRule="auto"/>
      </w:pPr>
      <w:r>
        <w:rPr>
          <w:sz w:val="18"/>
        </w:rPr>
        <w:t>January 2019 - March 2022</w:t>
      </w:r>
    </w:p>
    <w:p>
      <w:pPr>
        <w:pStyle w:val="ListBullet"/>
        <w:spacing w:after="40" w:line="240" w:lineRule="auto"/>
      </w:pPr>
      <w:r>
        <w:rPr>
          <w:sz w:val="18"/>
        </w:rPr>
        <w:t>Led a customer-facing WeChat Mini Program from concept to production, owning front-end and back-end development, database design, API integrations, release planning, and production support.</w:t>
      </w:r>
    </w:p>
    <w:p>
      <w:pPr>
        <w:pStyle w:val="ListBullet"/>
        <w:spacing w:after="40" w:line="240" w:lineRule="auto"/>
      </w:pPr>
      <w:r>
        <w:rPr>
          <w:sz w:val="18"/>
        </w:rPr>
        <w:t>Worked across product, engineering, operations, and customer feedback to prioritize requirements, deliver incremental releases, and resolve application and data issues.</w:t>
      </w:r>
    </w:p>
    <w:p>
      <w:pPr>
        <w:pStyle w:val="ListBullet"/>
        <w:spacing w:after="40" w:line="240" w:lineRule="auto"/>
      </w:pPr>
      <w:r>
        <w:rPr>
          <w:sz w:val="18"/>
        </w:rPr>
        <w:t>Optimized backend workflows and database interactions while managing implementation tradeoffs, incidents, and operational reliability.</w:t>
      </w:r>
    </w:p>
    <w:p>
      <w:pPr>
        <w:spacing w:before="60" w:after="60"/>
        <w:pBdr>
          <w:bottom w:val="single" w:sz="6" w:space="1" w:color="9EADBD"/>
        </w:pBdr>
      </w:pPr>
    </w:p>
    <w:p>
      <w:pPr>
        <w:spacing w:before="140" w:after="80"/>
        <w:shd w:fill="D9EAF7"/>
      </w:pPr>
      <w:r>
        <w:rPr>
          <w:b/>
          <w:color w:val="1F4E79"/>
          <w:sz w:val="21"/>
        </w:rPr>
        <w:t>TECHNICAL SKILLS</w:t>
      </w:r>
    </w:p>
    <w:p>
      <w:pPr>
        <w:pStyle w:val="ListBullet"/>
        <w:spacing w:after="40" w:line="240" w:lineRule="auto"/>
      </w:pPr>
      <w:r>
        <w:rPr>
          <w:sz w:val="18"/>
        </w:rPr>
        <w:t>Generative AI / Agents: LLM applications, agentic workflows, LangChain/LangGraph patterns, MCP, tool calling, prompt engineering, context engineering, structured outputs, orchestration</w:t>
      </w:r>
    </w:p>
    <w:p>
      <w:pPr>
        <w:pStyle w:val="ListBullet"/>
        <w:spacing w:after="40" w:line="240" w:lineRule="auto"/>
      </w:pPr>
      <w:r>
        <w:rPr>
          <w:sz w:val="18"/>
        </w:rPr>
        <w:t>Retrieval / Grounding: GraphRAG, Neo4j, knowledge graphs, semantic and vector retrieval concepts, query rewriting, source citation, evidence synthesis, hallucination mitigation</w:t>
      </w:r>
    </w:p>
    <w:p>
      <w:pPr>
        <w:pStyle w:val="ListBullet"/>
        <w:spacing w:after="40" w:line="240" w:lineRule="auto"/>
      </w:pPr>
      <w:r>
        <w:rPr>
          <w:sz w:val="18"/>
        </w:rPr>
        <w:t>Python / Enterprise Engineering: Python, async APIs, REST APIs, provider integrations, streaming, error handling, troubleshooting, optimization, package releases, production support</w:t>
      </w:r>
    </w:p>
    <w:p>
      <w:pPr>
        <w:pStyle w:val="ListBullet"/>
        <w:spacing w:after="40" w:line="240" w:lineRule="auto"/>
      </w:pPr>
      <w:r>
        <w:rPr>
          <w:sz w:val="18"/>
        </w:rPr>
        <w:t>Evaluation / LLMOps: evaluation harnesses, regression suites, golden tests, runtime metrics, diagnostics, latency/cost/quality tradeoffs, pytest, GitHub Actions, Docker</w:t>
      </w:r>
    </w:p>
    <w:p>
      <w:pPr>
        <w:pStyle w:val="ListBullet"/>
        <w:spacing w:after="40" w:line="240" w:lineRule="auto"/>
      </w:pPr>
      <w:r>
        <w:rPr>
          <w:sz w:val="18"/>
        </w:rPr>
        <w:t>Delivery / Collaboration: Agile delivery, proof-of-concept development, requirements analysis, cross-functional collaboration, technical documentation, stakeholder communication</w:t>
      </w:r>
    </w:p>
    <w:p>
      <w:pPr>
        <w:spacing w:before="60" w:after="60"/>
        <w:pBdr>
          <w:bottom w:val="single" w:sz="6" w:space="1" w:color="9EADBD"/>
        </w:pBdr>
      </w:pPr>
    </w:p>
    <w:p>
      <w:pPr>
        <w:spacing w:before="140" w:after="80"/>
        <w:shd w:fill="D9EAF7"/>
      </w:pPr>
      <w:r>
        <w:rPr>
          <w:b/>
          <w:color w:val="1F4E79"/>
          <w:sz w:val="21"/>
        </w:rPr>
        <w:t>EDUCATION</w:t>
      </w:r>
    </w:p>
    <w:p>
      <w:pPr>
        <w:spacing w:before="140" w:after="80"/>
      </w:pPr>
      <w:r>
        <w:rPr>
          <w:b/>
          <w:sz w:val="20"/>
        </w:rPr>
        <w:t>Fudan University, Shanghai</w:t>
      </w:r>
    </w:p>
    <w:p>
      <w:pPr>
        <w:spacing w:after="80" w:line="240" w:lineRule="auto"/>
      </w:pPr>
      <w:r>
        <w:rPr>
          <w:sz w:val="18"/>
        </w:rPr>
        <w:t>Master, Finance | September 2016 - June 2018</w:t>
      </w:r>
    </w:p>
    <w:p>
      <w:pPr>
        <w:spacing w:before="140" w:after="80"/>
      </w:pPr>
      <w:r>
        <w:rPr>
          <w:b/>
          <w:sz w:val="20"/>
        </w:rPr>
        <w:t>Hong Kong Baptist University, Hong Kong</w:t>
      </w:r>
    </w:p>
    <w:p>
      <w:pPr>
        <w:spacing w:after="80" w:line="240" w:lineRule="auto"/>
      </w:pPr>
      <w:r>
        <w:rPr>
          <w:sz w:val="18"/>
        </w:rPr>
        <w:t>Bachelor, Religious Studies and Philosophy | September 2008 - June 2011</w:t>
      </w:r>
    </w:p>
    <w:sectPr w:rsidR="00FC693F" w:rsidRPr="0006063C" w:rsidSect="00034616"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