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7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A3C5E" w:val="clear"/>
            <w:tcMar>
              <w:top w:type="dxa" w:w="400"/>
              <w:left w:type="dxa" w:w="400"/>
              <w:bottom w:type="dxa" w:w="400"/>
              <w:right w:type="dxa" w:w="400"/>
            </w:tcMar>
          </w:tcPr>
          <w:p>
            <w:pPr>
              <w:jc w:val="center"/>
            </w:pPr>
            <w:r>
              <w:rPr>
                <w:rFonts w:ascii="Arial" w:cs="Arial" w:eastAsia="Arial" w:hAnsi="Arial"/>
                <w:b/>
                <w:bCs/>
                <w:color w:val="FFFFFF"/>
                <w:sz w:val="72"/>
                <w:szCs w:val="72"/>
              </w:rPr>
              <w:t xml:space="preserve">moewatch</w:t>
            </w:r>
          </w:p>
          <w:p>
            <w:pPr>
              <w:spacing w:after="80" w:before="120"/>
              <w:jc w:val="center"/>
            </w:pPr>
            <w:r>
              <w:rPr>
                <w:rFonts w:ascii="Arial" w:cs="Arial" w:eastAsia="Arial" w:hAnsi="Arial"/>
                <w:color w:val="AEC6CF"/>
                <w:sz w:val="32"/>
                <w:szCs w:val="32"/>
              </w:rPr>
              <w:t xml:space="preserve">MoE Diagnostic &amp; Audit Library</w:t>
            </w:r>
          </w:p>
          <w:p>
            <w:pPr>
              <w:spacing w:after="200" w:before="60"/>
              <w:jc w:val="center"/>
            </w:pPr>
            <w:r>
              <w:rPr>
                <w:rFonts w:ascii="Arial" w:cs="Arial" w:eastAsia="Arial" w:hAnsi="Arial"/>
                <w:i/>
                <w:iCs/>
                <w:color w:val="AEC6CF"/>
                <w:sz w:val="22"/>
                <w:szCs w:val="22"/>
              </w:rPr>
              <w:t xml:space="preserve">Complete Technical Specification  •  Post-Research Edition</w:t>
            </w:r>
          </w:p>
          <w:p>
            <w:pPr>
              <w:spacing w:after="300" w:before="100"/>
              <w:jc w:val="center"/>
            </w:pPr>
            <w:r>
              <w:rPr>
                <w:rFonts w:ascii="Courier New" w:cs="Courier New" w:eastAsia="Courier New" w:hAnsi="Courier New"/>
                <w:b/>
                <w:bCs/>
                <w:color w:val="F0E68C"/>
                <w:sz w:val="26"/>
                <w:szCs w:val="26"/>
              </w:rPr>
              <w:t xml:space="preserve">pip install moewatch</w:t>
            </w:r>
          </w:p>
        </w:tc>
      </w:tr>
    </w:tbl>
    <w:p>
      <w:pPr>
        <w:spacing w:after="0" w:before="360"/>
      </w:pPr>
      <w:r>
        <w:t xml:space="preserve"/>
      </w:r>
    </w:p>
    <w:p>
      <w:pPr>
        <w:spacing w:after="40" w:before="0"/>
        <w:jc w:val="center"/>
      </w:pPr>
      <w:r>
        <w:rPr>
          <w:rFonts w:ascii="Arial" w:cs="Arial" w:eastAsia="Arial" w:hAnsi="Arial"/>
          <w:b/>
          <w:bCs/>
          <w:sz w:val="22"/>
          <w:szCs w:val="22"/>
        </w:rPr>
        <w:t xml:space="preserve">Author: </w:t>
      </w:r>
      <w:r>
        <w:rPr>
          <w:rFonts w:ascii="Arial" w:cs="Arial" w:eastAsia="Arial" w:hAnsi="Arial"/>
          <w:sz w:val="22"/>
          <w:szCs w:val="22"/>
        </w:rPr>
        <w:t xml:space="preserve">Abinesh  •  GitHub: Abineshabee</w:t>
      </w:r>
    </w:p>
    <w:p>
      <w:pPr>
        <w:spacing w:after="0" w:before="0"/>
        <w:jc w:val="center"/>
      </w:pPr>
      <w:r>
        <w:rPr>
          <w:rFonts w:ascii="Arial" w:cs="Arial" w:eastAsia="Arial" w:hAnsi="Arial"/>
          <w:i/>
          <w:iCs/>
          <w:color w:val="777777"/>
          <w:sz w:val="20"/>
          <w:szCs w:val="20"/>
        </w:rPr>
        <w:t xml:space="preserve">Document Version: 2.0  •  June 2026  •  Post-Competitive Research</w:t>
      </w:r>
    </w:p>
    <w:p>
      <w:r>
        <w:br w:type="page"/>
      </w:r>
    </w:p>
    <w:p>
      <w:pPr>
        <w:pStyle w:val="Heading1"/>
        <w:pBdr>
          <w:bottom w:val="single" w:color="2980B9" w:sz="8" w:space="4"/>
        </w:pBdr>
        <w:spacing w:after="160" w:before="360"/>
      </w:pPr>
      <w:r>
        <w:rPr>
          <w:rFonts w:ascii="Arial" w:cs="Arial" w:eastAsia="Arial" w:hAnsi="Arial"/>
          <w:b/>
          <w:bCs/>
          <w:color w:val="1A3C5E"/>
          <w:sz w:val="32"/>
          <w:szCs w:val="32"/>
        </w:rPr>
        <w:t xml:space="preserve">1. What Is moewatch?</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980B9" w:sz="1"/>
              <w:left w:val="single" w:color="2980B9" w:sz="1"/>
              <w:bottom w:val="single" w:color="2980B9" w:sz="1"/>
              <w:right w:val="single" w:color="2980B9" w:sz="1"/>
            </w:tcBorders>
            <w:shd w:fill="EAF2FB" w:val="clear"/>
            <w:tcMar>
              <w:top w:type="dxa" w:w="120"/>
              <w:left w:type="dxa" w:w="200"/>
              <w:bottom w:type="dxa" w:w="120"/>
              <w:right w:type="dxa" w:w="200"/>
            </w:tcMar>
          </w:tcPr>
          <w:p>
            <w:pPr>
              <w:jc w:val="center"/>
            </w:pPr>
            <w:r>
              <w:rPr>
                <w:rFonts w:ascii="Arial" w:cs="Arial" w:eastAsia="Arial" w:hAnsi="Arial"/>
                <w:b/>
                <w:bCs/>
                <w:color w:val="1A3C5E"/>
                <w:sz w:val="22"/>
                <w:szCs w:val="22"/>
              </w:rPr>
              <w:t xml:space="preserve">moewatch is a lightweight, pip-installable Python library that attaches to any existing Mixture-of-Experts (MoE) model in HuggingFace Transformers and gives you real-time diagnostics, training-time alerts, and actionable fix suggestions — without replacing your training setup.</w:t>
            </w:r>
          </w:p>
        </w:tc>
      </w:tr>
    </w:tbl>
    <w:p>
      <w:pPr>
        <w:spacing w:after="0" w:before="120"/>
      </w:pPr>
      <w:r>
        <w:t xml:space="preserve"/>
      </w:r>
    </w:p>
    <w:p>
      <w:pPr>
        <w:spacing w:after="60" w:before="60"/>
      </w:pPr>
      <w:r>
        <w:rPr>
          <w:rFonts w:ascii="Arial" w:cs="Arial" w:eastAsia="Arial" w:hAnsi="Arial"/>
          <w:sz w:val="22"/>
          <w:szCs w:val="22"/>
        </w:rPr>
        <w:t xml:space="preserve">Think of it as pytest for MoE training. Just as pytest does not replace your code — it audits it — moewatch does not replace your trainer. It sits beside it and tells you when something is wrong before you waste a GPU-day on a collapsed model.</w:t>
      </w:r>
    </w:p>
    <w:p>
      <w:pPr>
        <w:spacing w:after="0"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What moewatch IS</w:t>
            </w:r>
          </w:p>
        </w:tc>
        <w:tc>
          <w:tcPr>
            <w:tcW w:type="dxa" w:w="468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What moewatch is NOT</w:t>
            </w:r>
          </w:p>
        </w:tc>
      </w:tr>
      <w:tr>
        <w:tc>
          <w:tcPr>
            <w:tcW w:type="dxa" w:w="468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A plug-in diagnostic tool for existing HuggingFace MoE models</w:t>
            </w:r>
          </w:p>
        </w:tc>
        <w:tc>
          <w:tcPr>
            <w:tcW w:type="dxa" w:w="468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Another WandB / TensorBoard wrapper</w:t>
            </w:r>
          </w:p>
        </w:tc>
      </w:tr>
      <w:tr>
        <w:tc>
          <w:tcPr>
            <w:tcW w:type="dxa" w:w="468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pip install, one line to attach, immediate output</w:t>
            </w:r>
          </w:p>
        </w:tc>
        <w:tc>
          <w:tcPr>
            <w:tcW w:type="dxa" w:w="468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A replacement for LibMoE or DeepSpeed</w:t>
            </w:r>
          </w:p>
        </w:tc>
      </w:tr>
      <w:tr>
        <w:tc>
          <w:tcPr>
            <w:tcW w:type="dxa" w:w="468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Live routing diagnostics from actual forward pass decisions</w:t>
            </w:r>
          </w:p>
        </w:tc>
        <w:tc>
          <w:tcPr>
            <w:tcW w:type="dxa" w:w="468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A new MoE architecture or trainer</w:t>
            </w:r>
          </w:p>
        </w:tc>
      </w:tr>
      <w:tr>
        <w:tc>
          <w:tcPr>
            <w:tcW w:type="dxa" w:w="468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Honest about scope — single GPU in v0.1, community-extended beyond</w:t>
            </w:r>
          </w:p>
        </w:tc>
        <w:tc>
          <w:tcPr>
            <w:tcW w:type="dxa" w:w="468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An enterprise 100+ GPU monitoring platform</w:t>
            </w:r>
          </w:p>
        </w:tc>
      </w:tr>
      <w:tr>
        <w:tc>
          <w:tcPr>
            <w:tcW w:type="dxa" w:w="468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PyTorch-native, Linux/CUDA-first, Colab-validated</w:t>
            </w:r>
          </w:p>
        </w:tc>
        <w:tc>
          <w:tcPr>
            <w:tcW w:type="dxa" w:w="468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An Apple MLX or non-PyTorch tool</w:t>
            </w:r>
          </w:p>
        </w:tc>
      </w:tr>
    </w:tbl>
    <w:p>
      <w:pPr>
        <w:spacing w:after="0" w:before="200"/>
      </w:pPr>
      <w:r>
        <w:t xml:space="preserve"/>
      </w:r>
    </w:p>
    <w:p>
      <w:pPr>
        <w:pStyle w:val="Heading1"/>
        <w:pBdr>
          <w:bottom w:val="single" w:color="2980B9" w:sz="8" w:space="4"/>
        </w:pBdr>
        <w:spacing w:after="160" w:before="360"/>
      </w:pPr>
      <w:r>
        <w:rPr>
          <w:rFonts w:ascii="Arial" w:cs="Arial" w:eastAsia="Arial" w:hAnsi="Arial"/>
          <w:b/>
          <w:bCs/>
          <w:color w:val="1A3C5E"/>
          <w:sz w:val="32"/>
          <w:szCs w:val="32"/>
        </w:rPr>
        <w:t xml:space="preserve">2. Problem Statement</w:t>
      </w:r>
    </w:p>
    <w:p>
      <w:pPr>
        <w:pStyle w:val="Heading2"/>
        <w:spacing w:after="100" w:before="240"/>
      </w:pPr>
      <w:r>
        <w:rPr>
          <w:rFonts w:ascii="Arial" w:cs="Arial" w:eastAsia="Arial" w:hAnsi="Arial"/>
          <w:b/>
          <w:bCs/>
          <w:color w:val="2980B9"/>
          <w:sz w:val="26"/>
          <w:szCs w:val="26"/>
        </w:rPr>
        <w:t xml:space="preserve">2.1 The Core Failure Modes</w:t>
      </w:r>
    </w:p>
    <w:p>
      <w:pPr>
        <w:spacing w:after="60" w:before="60"/>
      </w:pPr>
      <w:r>
        <w:rPr>
          <w:rFonts w:ascii="Arial" w:cs="Arial" w:eastAsia="Arial" w:hAnsi="Arial"/>
          <w:sz w:val="22"/>
          <w:szCs w:val="22"/>
        </w:rPr>
        <w:t xml:space="preserve">MoE training is fundamentally fragile in ways that dense model training is not. Four specific failure modes exist that current tooling does not surface early enough:</w:t>
      </w:r>
    </w:p>
    <w:p>
      <w:pPr>
        <w:spacing w:after="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3400"/>
        <w:gridCol w:w="3160"/>
      </w:tblGrid>
      <w:tr>
        <w:trPr>
          <w:tblHeader/>
        </w:trPr>
        <w:tc>
          <w:tcPr>
            <w:tcW w:type="dxa" w:w="280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Failure Mode</w:t>
            </w:r>
          </w:p>
        </w:tc>
        <w:tc>
          <w:tcPr>
            <w:tcW w:type="dxa" w:w="340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When Discovered Today</w:t>
            </w:r>
          </w:p>
        </w:tc>
        <w:tc>
          <w:tcPr>
            <w:tcW w:type="dxa" w:w="316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Cost</w:t>
            </w:r>
          </w:p>
        </w:tc>
      </w:tr>
      <w:tr>
        <w:tc>
          <w:tcPr>
            <w:tcW w:type="dxa" w:w="280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Expert Collapse</w:t>
            </w:r>
          </w:p>
        </w:tc>
        <w:tc>
          <w:tcPr>
            <w:tcW w:type="dxa" w:w="340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After full training run</w:t>
            </w:r>
          </w:p>
        </w:tc>
        <w:tc>
          <w:tcPr>
            <w:tcW w:type="dxa" w:w="316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Days of GPU time wasted</w:t>
            </w:r>
          </w:p>
        </w:tc>
      </w:tr>
      <w:tr>
        <w:tc>
          <w:tcPr>
            <w:tcW w:type="dxa" w:w="280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Low Routing Entropy</w:t>
            </w:r>
          </w:p>
        </w:tc>
        <w:tc>
          <w:tcPr>
            <w:tcW w:type="dxa" w:w="340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Manual log analysis post-run</w:t>
            </w:r>
          </w:p>
        </w:tc>
        <w:tc>
          <w:tcPr>
            <w:tcW w:type="dxa" w:w="316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Suboptimal model, rerun needed</w:t>
            </w:r>
          </w:p>
        </w:tc>
      </w:tr>
      <w:tr>
        <w:tc>
          <w:tcPr>
            <w:tcW w:type="dxa" w:w="280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Dead Experts</w:t>
            </w:r>
          </w:p>
        </w:tc>
        <w:tc>
          <w:tcPr>
            <w:tcW w:type="dxa" w:w="340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Inference evaluation only</w:t>
            </w:r>
          </w:p>
        </w:tc>
        <w:tc>
          <w:tcPr>
            <w:tcW w:type="dxa" w:w="316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Model capacity permanently wasted</w:t>
            </w:r>
          </w:p>
        </w:tc>
      </w:tr>
      <w:tr>
        <w:tc>
          <w:tcPr>
            <w:tcW w:type="dxa" w:w="280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Unstable Router</w:t>
            </w:r>
          </w:p>
        </w:tc>
        <w:tc>
          <w:tcPr>
            <w:tcW w:type="dxa" w:w="340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Loss curve inspection after the fact</w:t>
            </w:r>
          </w:p>
        </w:tc>
        <w:tc>
          <w:tcPr>
            <w:tcW w:type="dxa" w:w="316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Hours of debugging with no clear signal</w:t>
            </w:r>
          </w:p>
        </w:tc>
      </w:tr>
    </w:tbl>
    <w:p>
      <w:pPr>
        <w:spacing w:after="0" w:before="120"/>
      </w:pPr>
      <w:r>
        <w:t xml:space="preserve"/>
      </w:r>
    </w:p>
    <w:p>
      <w:pPr>
        <w:pStyle w:val="Heading2"/>
        <w:spacing w:after="100" w:before="240"/>
      </w:pPr>
      <w:r>
        <w:rPr>
          <w:rFonts w:ascii="Arial" w:cs="Arial" w:eastAsia="Arial" w:hAnsi="Arial"/>
          <w:b/>
          <w:bCs/>
          <w:color w:val="2980B9"/>
          <w:sz w:val="26"/>
          <w:szCs w:val="26"/>
        </w:rPr>
        <w:t xml:space="preserve">2.2 The Confirmed Tooling Gap</w:t>
      </w:r>
    </w:p>
    <w:p>
      <w:pPr>
        <w:spacing w:after="60" w:before="60"/>
      </w:pPr>
      <w:r>
        <w:rPr>
          <w:rFonts w:ascii="Arial" w:cs="Arial" w:eastAsia="Arial" w:hAnsi="Arial"/>
          <w:sz w:val="22"/>
          <w:szCs w:val="22"/>
        </w:rPr>
        <w:t xml:space="preserve">After thorough competitive research across five distinct tools and libraries, the following gap has been confirmed as real, unoccupied, and precisely bounded:</w:t>
      </w:r>
    </w:p>
    <w:p>
      <w:pPr>
        <w:spacing w:after="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80"/>
        <w:gridCol w:w="1400"/>
        <w:gridCol w:w="1800"/>
        <w:gridCol w:w="1400"/>
        <w:gridCol w:w="1080"/>
        <w:gridCol w:w="2000"/>
      </w:tblGrid>
      <w:tr>
        <w:trPr>
          <w:tblHeader/>
        </w:trPr>
        <w:tc>
          <w:tcPr>
            <w:tcW w:type="dxa" w:w="168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Tool</w:t>
            </w:r>
          </w:p>
        </w:tc>
        <w:tc>
          <w:tcPr>
            <w:tcW w:type="dxa" w:w="140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Backend</w:t>
            </w:r>
          </w:p>
        </w:tc>
        <w:tc>
          <w:tcPr>
            <w:tcW w:type="dxa" w:w="180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MoE Diagnostics</w:t>
            </w:r>
          </w:p>
        </w:tc>
        <w:tc>
          <w:tcPr>
            <w:tcW w:type="dxa" w:w="140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Training-time</w:t>
            </w:r>
          </w:p>
        </w:tc>
        <w:tc>
          <w:tcPr>
            <w:tcW w:type="dxa" w:w="108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Linux/CUDA</w:t>
            </w:r>
          </w:p>
        </w:tc>
        <w:tc>
          <w:tcPr>
            <w:tcW w:type="dxa" w:w="200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Verdict</w:t>
            </w:r>
          </w:p>
        </w:tc>
      </w:tr>
      <w:tr>
        <w:tc>
          <w:tcPr>
            <w:tcW w:type="dxa" w:w="168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chuk-lazarus</w:t>
            </w:r>
          </w:p>
        </w:tc>
        <w:tc>
          <w:tcPr>
            <w:tcW w:type="dxa" w:w="140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Apple MLX only</w:t>
            </w:r>
          </w:p>
        </w:tc>
        <w:tc>
          <w:tcPr>
            <w:tcW w:type="dxa" w:w="180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Yes, deep</w:t>
            </w:r>
          </w:p>
        </w:tc>
        <w:tc>
          <w:tcPr>
            <w:tcW w:type="dxa" w:w="140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Partial</w:t>
            </w:r>
          </w:p>
        </w:tc>
        <w:tc>
          <w:tcPr>
            <w:tcW w:type="dxa" w:w="108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 No</w:t>
            </w:r>
          </w:p>
        </w:tc>
        <w:tc>
          <w:tcPr>
            <w:tcW w:type="dxa" w:w="200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Eliminated — Apple Silicon only</w:t>
            </w:r>
          </w:p>
        </w:tc>
      </w:tr>
      <w:tr>
        <w:tc>
          <w:tcPr>
            <w:tcW w:type="dxa" w:w="168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MLXLMProbe</w:t>
            </w:r>
          </w:p>
        </w:tc>
        <w:tc>
          <w:tcPr>
            <w:tcW w:type="dxa" w:w="140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Apple MLX only</w:t>
            </w:r>
          </w:p>
        </w:tc>
        <w:tc>
          <w:tcPr>
            <w:tcW w:type="dxa" w:w="180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Yes</w:t>
            </w:r>
          </w:p>
        </w:tc>
        <w:tc>
          <w:tcPr>
            <w:tcW w:type="dxa" w:w="140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No</w:t>
            </w:r>
          </w:p>
        </w:tc>
        <w:tc>
          <w:tcPr>
            <w:tcW w:type="dxa" w:w="108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 No</w:t>
            </w:r>
          </w:p>
        </w:tc>
        <w:tc>
          <w:tcPr>
            <w:tcW w:type="dxa" w:w="200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Eliminated — Apple Silicon only</w:t>
            </w:r>
          </w:p>
        </w:tc>
      </w:tr>
      <w:tr>
        <w:tc>
          <w:tcPr>
            <w:tcW w:type="dxa" w:w="168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model-clinic</w:t>
            </w:r>
          </w:p>
        </w:tc>
        <w:tc>
          <w:tcPr>
            <w:tcW w:type="dxa" w:w="140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PyTorch ✓</w:t>
            </w:r>
          </w:p>
        </w:tc>
        <w:tc>
          <w:tcPr>
            <w:tcW w:type="dxa" w:w="180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Surface only (static weights)</w:t>
            </w:r>
          </w:p>
        </w:tc>
        <w:tc>
          <w:tcPr>
            <w:tcW w:type="dxa" w:w="140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Advisory/callback</w:t>
            </w:r>
          </w:p>
        </w:tc>
        <w:tc>
          <w:tcPr>
            <w:tcW w:type="dxa" w:w="108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 Yes</w:t>
            </w:r>
          </w:p>
        </w:tc>
        <w:tc>
          <w:tcPr>
            <w:tcW w:type="dxa" w:w="200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Adjacent, not overlapping</w:t>
            </w:r>
          </w:p>
        </w:tc>
      </w:tr>
      <w:tr>
        <w:tc>
          <w:tcPr>
            <w:tcW w:type="dxa" w:w="168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LibMoE</w:t>
            </w:r>
          </w:p>
        </w:tc>
        <w:tc>
          <w:tcPr>
            <w:tcW w:type="dxa" w:w="140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Own framework</w:t>
            </w:r>
          </w:p>
        </w:tc>
        <w:tc>
          <w:tcPr>
            <w:tcW w:type="dxa" w:w="180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Deep</w:t>
            </w:r>
          </w:p>
        </w:tc>
        <w:tc>
          <w:tcPr>
            <w:tcW w:type="dxa" w:w="140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Yes</w:t>
            </w:r>
          </w:p>
        </w:tc>
        <w:tc>
          <w:tcPr>
            <w:tcW w:type="dxa" w:w="108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 Yes</w:t>
            </w:r>
          </w:p>
        </w:tc>
        <w:tc>
          <w:tcPr>
            <w:tcW w:type="dxa" w:w="200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Different category — full framework adoption required</w:t>
            </w:r>
          </w:p>
        </w:tc>
      </w:tr>
      <w:tr>
        <w:tc>
          <w:tcPr>
            <w:tcW w:type="dxa" w:w="168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MixtureKit</w:t>
            </w:r>
          </w:p>
        </w:tc>
        <w:tc>
          <w:tcPr>
            <w:tcW w:type="dxa" w:w="140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Own framework</w:t>
            </w:r>
          </w:p>
        </w:tc>
        <w:tc>
          <w:tcPr>
            <w:tcW w:type="dxa" w:w="180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Visualization</w:t>
            </w:r>
          </w:p>
        </w:tc>
        <w:tc>
          <w:tcPr>
            <w:tcW w:type="dxa" w:w="140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No</w:t>
            </w:r>
          </w:p>
        </w:tc>
        <w:tc>
          <w:tcPr>
            <w:tcW w:type="dxa" w:w="108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 Yes</w:t>
            </w:r>
          </w:p>
        </w:tc>
        <w:tc>
          <w:tcPr>
            <w:tcW w:type="dxa" w:w="200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Different category — framework adoption required</w:t>
            </w:r>
          </w:p>
        </w:tc>
      </w:tr>
      <w:tr>
        <w:tc>
          <w:tcPr>
            <w:tcW w:type="dxa" w:w="168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moewatch (this)</w:t>
            </w:r>
          </w:p>
        </w:tc>
        <w:tc>
          <w:tcPr>
            <w:tcW w:type="dxa" w:w="140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PyTorch ✓</w:t>
            </w:r>
          </w:p>
        </w:tc>
        <w:tc>
          <w:tcPr>
            <w:tcW w:type="dxa" w:w="180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Deep — live forward pass</w:t>
            </w:r>
          </w:p>
        </w:tc>
        <w:tc>
          <w:tcPr>
            <w:tcW w:type="dxa" w:w="140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Yes</w:t>
            </w:r>
          </w:p>
        </w:tc>
        <w:tc>
          <w:tcPr>
            <w:tcW w:type="dxa" w:w="108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 Yes</w:t>
            </w:r>
          </w:p>
        </w:tc>
        <w:tc>
          <w:tcPr>
            <w:tcW w:type="dxa" w:w="200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Unoccupied — build it</w:t>
            </w:r>
          </w:p>
        </w:tc>
      </w:tr>
    </w:tbl>
    <w:p>
      <w:pPr>
        <w:spacing w:after="0" w:before="120"/>
      </w:pPr>
      <w:r>
        <w:t xml:space="preserve"/>
      </w:r>
    </w:p>
    <w:p>
      <w:pPr>
        <w:pStyle w:val="Heading2"/>
        <w:spacing w:after="100" w:before="240"/>
      </w:pPr>
      <w:r>
        <w:rPr>
          <w:rFonts w:ascii="Arial" w:cs="Arial" w:eastAsia="Arial" w:hAnsi="Arial"/>
          <w:b/>
          <w:bCs/>
          <w:color w:val="2980B9"/>
          <w:sz w:val="26"/>
          <w:szCs w:val="26"/>
        </w:rPr>
        <w:t xml:space="preserve">2.3 The model-clinic Distinction</w:t>
      </w:r>
    </w:p>
    <w:p>
      <w:pPr>
        <w:spacing w:after="60" w:before="60"/>
      </w:pPr>
      <w:r>
        <w:rPr>
          <w:rFonts w:ascii="Arial" w:cs="Arial" w:eastAsia="Arial" w:hAnsi="Arial"/>
          <w:sz w:val="22"/>
          <w:szCs w:val="22"/>
        </w:rPr>
        <w:t xml:space="preserve">model-clinic (v0.4.2, May 2026) is the closest genuine adjacent tool and deserves honest acknowledgment. It is pip-installable, PyTorch-native, and includes moe_router_collapse as a named diagnostic condition. However, it performs static weight analysis on saved checkpoints — reading tensor statistics post-hoc — not live routing diagnostics during a forward pass. The distinction is fundamental:</w:t>
      </w:r>
    </w:p>
    <w:p>
      <w:pPr>
        <w:spacing w:after="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980B9" w:sz="1"/>
              <w:left w:val="single" w:color="2980B9" w:sz="1"/>
              <w:bottom w:val="single" w:color="2980B9" w:sz="1"/>
              <w:right w:val="single" w:color="2980B9" w:sz="1"/>
            </w:tcBorders>
            <w:shd w:fill="EAF2FB" w:val="clear"/>
            <w:tcMar>
              <w:top w:type="dxa" w:w="120"/>
              <w:left w:type="dxa" w:w="200"/>
              <w:bottom w:type="dxa" w:w="120"/>
              <w:right w:type="dxa" w:w="200"/>
            </w:tcMar>
          </w:tcPr>
          <w:p>
            <w:pPr>
              <w:jc w:val="center"/>
            </w:pPr>
            <w:r>
              <w:rPr>
                <w:rFonts w:ascii="Arial" w:cs="Arial" w:eastAsia="Arial" w:hAnsi="Arial"/>
                <w:b/>
                <w:bCs/>
                <w:color w:val="1A3C5E"/>
                <w:sz w:val="22"/>
                <w:szCs w:val="22"/>
              </w:rPr>
              <w:t xml:space="preserve">model-clinic = blood test on a saved sample.
moewatch = live heart monitor during the surgery.</w:t>
            </w:r>
          </w:p>
        </w:tc>
      </w:tr>
    </w:tbl>
    <w:p>
      <w:pPr>
        <w:spacing w:after="0" w:before="80"/>
      </w:pPr>
      <w:r>
        <w:t xml:space="preserve"/>
      </w:r>
    </w:p>
    <w:p>
      <w:pPr>
        <w:spacing w:after="60" w:before="60"/>
      </w:pPr>
      <w:r>
        <w:rPr>
          <w:rFonts w:ascii="Arial" w:cs="Arial" w:eastAsia="Arial" w:hAnsi="Arial"/>
          <w:sz w:val="22"/>
          <w:szCs w:val="22"/>
        </w:rPr>
        <w:t xml:space="preserve">The README for moewatch will explicitly acknowledge model-clinic and explain this distinction. The design of its ClinicMonitor + ClinicTrainerCallback API pattern is worth studying as a reference.</w:t>
      </w:r>
    </w:p>
    <w:p>
      <w:pPr>
        <w:spacing w:after="0" w:before="200"/>
      </w:pPr>
      <w:r>
        <w:t xml:space="preserve"/>
      </w:r>
    </w:p>
    <w:p>
      <w:pPr>
        <w:pStyle w:val="Heading1"/>
        <w:pBdr>
          <w:bottom w:val="single" w:color="2980B9" w:sz="8" w:space="4"/>
        </w:pBdr>
        <w:spacing w:after="160" w:before="360"/>
      </w:pPr>
      <w:r>
        <w:rPr>
          <w:rFonts w:ascii="Arial" w:cs="Arial" w:eastAsia="Arial" w:hAnsi="Arial"/>
          <w:b/>
          <w:bCs/>
          <w:color w:val="1A3C5E"/>
          <w:sz w:val="32"/>
          <w:szCs w:val="32"/>
        </w:rPr>
        <w:t xml:space="preserve">3. The Idea</w:t>
      </w:r>
    </w:p>
    <w:p>
      <w:pPr>
        <w:spacing w:after="60" w:before="60"/>
      </w:pPr>
      <w:r>
        <w:rPr>
          <w:rFonts w:ascii="Arial" w:cs="Arial" w:eastAsia="Arial" w:hAnsi="Arial"/>
          <w:sz w:val="22"/>
          <w:szCs w:val="22"/>
        </w:rPr>
        <w:t xml:space="preserve">The idea emerged from a concrete observation: HuggingFace MoE researchers — training Mixtral, OLMoE, DeepSeek-MoE — discover expert collapse after the fact. The tooling ecosystem was designed for dense models and MoEs inherited it without the diagnostic layer they actually need.</w:t>
      </w:r>
    </w:p>
    <w:p>
      <w:pPr>
        <w:spacing w:after="0" w:before="80"/>
      </w:pPr>
      <w:r>
        <w:t xml:space="preserve"/>
      </w:r>
    </w:p>
    <w:p>
      <w:pPr>
        <w:spacing w:after="60" w:before="60"/>
      </w:pPr>
      <w:r>
        <w:rPr>
          <w:rFonts w:ascii="Arial" w:cs="Arial" w:eastAsia="Arial" w:hAnsi="Arial"/>
          <w:sz w:val="22"/>
          <w:szCs w:val="22"/>
        </w:rPr>
        <w:t xml:space="preserve">The analogy that crystallized the design: pytest does not rewrite your code. It attaches to it and surfaces failures. moewatch is pytest for MoE routing. Attach it. It tells you what is collapsing and when, with zero modifications to your model or trainer.</w:t>
      </w:r>
    </w:p>
    <w:p>
      <w:pPr>
        <w:spacing w:after="0" w:before="80"/>
      </w:pPr>
      <w:r>
        <w:t xml:space="preserve"/>
      </w:r>
    </w:p>
    <w:p>
      <w:pPr>
        <w:pStyle w:val="Heading2"/>
        <w:spacing w:after="100" w:before="240"/>
      </w:pPr>
      <w:r>
        <w:rPr>
          <w:rFonts w:ascii="Arial" w:cs="Arial" w:eastAsia="Arial" w:hAnsi="Arial"/>
          <w:b/>
          <w:bCs/>
          <w:color w:val="2980B9"/>
          <w:sz w:val="26"/>
          <w:szCs w:val="26"/>
        </w:rPr>
        <w:t xml:space="preserve">3.1 Design Axioms</w:t>
      </w:r>
    </w:p>
    <w:p>
      <w:pPr>
        <w:pStyle w:val="ListParagraph"/>
        <w:numPr>
          <w:ilvl w:val="0"/>
          <w:numId w:val="2"/>
        </w:numPr>
        <w:spacing w:after="40" w:before="40"/>
      </w:pPr>
      <w:r>
        <w:rPr>
          <w:rFonts w:ascii="Arial" w:cs="Arial" w:eastAsia="Arial" w:hAnsi="Arial"/>
          <w:sz w:val="22"/>
          <w:szCs w:val="22"/>
        </w:rPr>
        <w:t xml:space="preserve">Non-invasive first. Zero weight modifications, zero training loop changes.</w:t>
      </w:r>
    </w:p>
    <w:p>
      <w:pPr>
        <w:pStyle w:val="ListParagraph"/>
        <w:numPr>
          <w:ilvl w:val="0"/>
          <w:numId w:val="2"/>
        </w:numPr>
        <w:spacing w:after="40" w:before="40"/>
      </w:pPr>
      <w:r>
        <w:rPr>
          <w:rFonts w:ascii="Arial" w:cs="Arial" w:eastAsia="Arial" w:hAnsi="Arial"/>
          <w:sz w:val="22"/>
          <w:szCs w:val="22"/>
        </w:rPr>
        <w:t xml:space="preserve">Attach-anywhere. If you loaded it from HuggingFace, moewatch should work on it.</w:t>
      </w:r>
    </w:p>
    <w:p>
      <w:pPr>
        <w:pStyle w:val="ListParagraph"/>
        <w:numPr>
          <w:ilvl w:val="0"/>
          <w:numId w:val="2"/>
        </w:numPr>
        <w:spacing w:after="40" w:before="40"/>
      </w:pPr>
      <w:r>
        <w:rPr>
          <w:rFonts w:ascii="Arial" w:cs="Arial" w:eastAsia="Arial" w:hAnsi="Arial"/>
          <w:sz w:val="22"/>
          <w:szCs w:val="22"/>
        </w:rPr>
        <w:t xml:space="preserve">Live diagnostics over post-hoc analysis. The value is catching collapse at step 2000, not after the run.</w:t>
      </w:r>
    </w:p>
    <w:p>
      <w:pPr>
        <w:pStyle w:val="ListParagraph"/>
        <w:numPr>
          <w:ilvl w:val="0"/>
          <w:numId w:val="2"/>
        </w:numPr>
        <w:spacing w:after="40" w:before="40"/>
      </w:pPr>
      <w:r>
        <w:rPr>
          <w:rFonts w:ascii="Arial" w:cs="Arial" w:eastAsia="Arial" w:hAnsi="Arial"/>
          <w:sz w:val="22"/>
          <w:szCs w:val="22"/>
        </w:rPr>
        <w:t xml:space="preserve">Honest scope. Single GPU first. No pretending to solve distributed until community validates it.</w:t>
      </w:r>
    </w:p>
    <w:p>
      <w:pPr>
        <w:pStyle w:val="ListParagraph"/>
        <w:numPr>
          <w:ilvl w:val="0"/>
          <w:numId w:val="2"/>
        </w:numPr>
        <w:spacing w:after="40" w:before="40"/>
      </w:pPr>
      <w:r>
        <w:rPr>
          <w:rFonts w:ascii="Arial" w:cs="Arial" w:eastAsia="Arial" w:hAnsi="Arial"/>
          <w:sz w:val="22"/>
          <w:szCs w:val="22"/>
        </w:rPr>
        <w:t xml:space="preserve">Actionable output. Not just metrics — suggestions the researcher can act on immediately.</w:t>
      </w:r>
    </w:p>
    <w:p>
      <w:pPr>
        <w:spacing w:after="0" w:before="200"/>
      </w:pPr>
      <w:r>
        <w:t xml:space="preserve"/>
      </w:r>
    </w:p>
    <w:p>
      <w:pPr>
        <w:pStyle w:val="Heading1"/>
        <w:pBdr>
          <w:bottom w:val="single" w:color="2980B9" w:sz="8" w:space="4"/>
        </w:pBdr>
        <w:spacing w:after="160" w:before="360"/>
      </w:pPr>
      <w:r>
        <w:rPr>
          <w:rFonts w:ascii="Arial" w:cs="Arial" w:eastAsia="Arial" w:hAnsi="Arial"/>
          <w:b/>
          <w:bCs/>
          <w:color w:val="1A3C5E"/>
          <w:sz w:val="32"/>
          <w:szCs w:val="32"/>
        </w:rPr>
        <w:t xml:space="preserve">4. Objectives</w:t>
      </w:r>
    </w:p>
    <w:p>
      <w:pPr>
        <w:pStyle w:val="Heading2"/>
        <w:spacing w:after="100" w:before="240"/>
      </w:pPr>
      <w:r>
        <w:rPr>
          <w:rFonts w:ascii="Arial" w:cs="Arial" w:eastAsia="Arial" w:hAnsi="Arial"/>
          <w:b/>
          <w:bCs/>
          <w:color w:val="2980B9"/>
          <w:sz w:val="26"/>
          <w:szCs w:val="26"/>
        </w:rPr>
        <w:t xml:space="preserve">4.1 Primary Objectives</w:t>
      </w:r>
    </w:p>
    <w:p>
      <w:pPr>
        <w:pStyle w:val="ListParagraph"/>
        <w:numPr>
          <w:ilvl w:val="0"/>
          <w:numId w:val="2"/>
        </w:numPr>
        <w:spacing w:after="40" w:before="40"/>
      </w:pPr>
      <w:r>
        <w:rPr>
          <w:rFonts w:ascii="Arial" w:cs="Arial" w:eastAsia="Arial" w:hAnsi="Arial"/>
          <w:sz w:val="22"/>
          <w:szCs w:val="22"/>
        </w:rPr>
        <w:t xml:space="preserve">Make MoE failure modes visible during training, not after.</w:t>
      </w:r>
    </w:p>
    <w:p>
      <w:pPr>
        <w:pStyle w:val="ListParagraph"/>
        <w:numPr>
          <w:ilvl w:val="0"/>
          <w:numId w:val="2"/>
        </w:numPr>
        <w:spacing w:after="40" w:before="40"/>
      </w:pPr>
      <w:r>
        <w:rPr>
          <w:rFonts w:ascii="Arial" w:cs="Arial" w:eastAsia="Arial" w:hAnsi="Arial"/>
          <w:sz w:val="22"/>
          <w:szCs w:val="22"/>
        </w:rPr>
        <w:t xml:space="preserve">Provide zero-friction installation: pip install moewatch, then one line to attach.</w:t>
      </w:r>
    </w:p>
    <w:p>
      <w:pPr>
        <w:pStyle w:val="ListParagraph"/>
        <w:numPr>
          <w:ilvl w:val="0"/>
          <w:numId w:val="2"/>
        </w:numPr>
        <w:spacing w:after="40" w:before="40"/>
      </w:pPr>
      <w:r>
        <w:rPr>
          <w:rFonts w:ascii="Arial" w:cs="Arial" w:eastAsia="Arial" w:hAnsi="Arial"/>
          <w:sz w:val="22"/>
          <w:szCs w:val="22"/>
        </w:rPr>
        <w:t xml:space="preserve">Work with models researchers already use: Mixtral, DeepSeek-MoE, OLMoE.</w:t>
      </w:r>
    </w:p>
    <w:p>
      <w:pPr>
        <w:pStyle w:val="ListParagraph"/>
        <w:numPr>
          <w:ilvl w:val="0"/>
          <w:numId w:val="2"/>
        </w:numPr>
        <w:spacing w:after="40" w:before="40"/>
      </w:pPr>
      <w:r>
        <w:rPr>
          <w:rFonts w:ascii="Arial" w:cs="Arial" w:eastAsia="Arial" w:hAnsi="Arial"/>
          <w:sz w:val="22"/>
          <w:szCs w:val="22"/>
        </w:rPr>
        <w:t xml:space="preserve">Give actionable fix suggestions, not just metric dumps.</w:t>
      </w:r>
    </w:p>
    <w:p>
      <w:pPr>
        <w:pStyle w:val="ListParagraph"/>
        <w:numPr>
          <w:ilvl w:val="0"/>
          <w:numId w:val="2"/>
        </w:numPr>
        <w:spacing w:after="40" w:before="40"/>
      </w:pPr>
      <w:r>
        <w:rPr>
          <w:rFonts w:ascii="Arial" w:cs="Arial" w:eastAsia="Arial" w:hAnsi="Arial"/>
          <w:sz w:val="22"/>
          <w:szCs w:val="22"/>
        </w:rPr>
        <w:t xml:space="preserve">Be honest about scope: single-GPU first, distributed later via community.</w:t>
      </w:r>
    </w:p>
    <w:p>
      <w:pPr>
        <w:spacing w:after="0" w:before="80"/>
      </w:pPr>
      <w:r>
        <w:t xml:space="preserve"/>
      </w:r>
    </w:p>
    <w:p>
      <w:pPr>
        <w:pStyle w:val="Heading2"/>
        <w:spacing w:after="100" w:before="240"/>
      </w:pPr>
      <w:r>
        <w:rPr>
          <w:rFonts w:ascii="Arial" w:cs="Arial" w:eastAsia="Arial" w:hAnsi="Arial"/>
          <w:b/>
          <w:bCs/>
          <w:color w:val="2980B9"/>
          <w:sz w:val="26"/>
          <w:szCs w:val="26"/>
        </w:rPr>
        <w:t xml:space="preserve">4.2 Secondary Objectives</w:t>
      </w:r>
    </w:p>
    <w:p>
      <w:pPr>
        <w:pStyle w:val="ListParagraph"/>
        <w:numPr>
          <w:ilvl w:val="0"/>
          <w:numId w:val="2"/>
        </w:numPr>
        <w:spacing w:after="40" w:before="40"/>
      </w:pPr>
      <w:r>
        <w:rPr>
          <w:rFonts w:ascii="Arial" w:cs="Arial" w:eastAsia="Arial" w:hAnsi="Arial"/>
          <w:sz w:val="22"/>
          <w:szCs w:val="22"/>
        </w:rPr>
        <w:t xml:space="preserve">Build community trust through a transparent, scoped v0.1 release.</w:t>
      </w:r>
    </w:p>
    <w:p>
      <w:pPr>
        <w:pStyle w:val="ListParagraph"/>
        <w:numPr>
          <w:ilvl w:val="0"/>
          <w:numId w:val="2"/>
        </w:numPr>
        <w:spacing w:after="40" w:before="40"/>
      </w:pPr>
      <w:r>
        <w:rPr>
          <w:rFonts w:ascii="Arial" w:cs="Arial" w:eastAsia="Arial" w:hAnsi="Arial"/>
          <w:sz w:val="22"/>
          <w:szCs w:val="22"/>
        </w:rPr>
        <w:t xml:space="preserve">Establish a clear contribution surface for distributed and multi-GPU support.</w:t>
      </w:r>
    </w:p>
    <w:p>
      <w:pPr>
        <w:pStyle w:val="ListParagraph"/>
        <w:numPr>
          <w:ilvl w:val="0"/>
          <w:numId w:val="2"/>
        </w:numPr>
        <w:spacing w:after="40" w:before="40"/>
      </w:pPr>
      <w:r>
        <w:rPr>
          <w:rFonts w:ascii="Arial" w:cs="Arial" w:eastAsia="Arial" w:hAnsi="Arial"/>
          <w:sz w:val="22"/>
          <w:szCs w:val="22"/>
        </w:rPr>
        <w:t xml:space="preserve">Become the standard diagnostic companion for HuggingFace MoE models.</w:t>
      </w:r>
    </w:p>
    <w:p>
      <w:pPr>
        <w:pStyle w:val="ListParagraph"/>
        <w:numPr>
          <w:ilvl w:val="0"/>
          <w:numId w:val="2"/>
        </w:numPr>
        <w:spacing w:after="40" w:before="40"/>
      </w:pPr>
      <w:r>
        <w:rPr>
          <w:rFonts w:ascii="Arial" w:cs="Arial" w:eastAsia="Arial" w:hAnsi="Arial"/>
          <w:sz w:val="22"/>
          <w:szCs w:val="22"/>
        </w:rPr>
        <w:t xml:space="preserve">Acknowledge model-clinic honestly in README — explain what each tool does differently.</w:t>
      </w:r>
    </w:p>
    <w:p>
      <w:pPr>
        <w:pStyle w:val="ListParagraph"/>
        <w:numPr>
          <w:ilvl w:val="0"/>
          <w:numId w:val="2"/>
        </w:numPr>
        <w:spacing w:after="40" w:before="40"/>
      </w:pPr>
      <w:r>
        <w:rPr>
          <w:rFonts w:ascii="Arial" w:cs="Arial" w:eastAsia="Arial" w:hAnsi="Arial"/>
          <w:sz w:val="22"/>
          <w:szCs w:val="22"/>
        </w:rPr>
        <w:t xml:space="preserve">Integrate with WandB and TensorBoard based on user demand in v0.2+.</w:t>
      </w:r>
    </w:p>
    <w:p>
      <w:pPr>
        <w:spacing w:after="0" w:before="80"/>
      </w:pPr>
      <w:r>
        <w:t xml:space="preserve"/>
      </w:r>
    </w:p>
    <w:p>
      <w:pPr>
        <w:pStyle w:val="Heading2"/>
        <w:spacing w:after="100" w:before="240"/>
      </w:pPr>
      <w:r>
        <w:rPr>
          <w:rFonts w:ascii="Arial" w:cs="Arial" w:eastAsia="Arial" w:hAnsi="Arial"/>
          <w:b/>
          <w:bCs/>
          <w:color w:val="2980B9"/>
          <w:sz w:val="26"/>
          <w:szCs w:val="26"/>
        </w:rPr>
        <w:t xml:space="preserve">4.3 Non-Objectives (Explicitly Out of Scope)</w:t>
      </w:r>
    </w:p>
    <w:p>
      <w:pPr>
        <w:pStyle w:val="ListParagraph"/>
        <w:numPr>
          <w:ilvl w:val="0"/>
          <w:numId w:val="2"/>
        </w:numPr>
        <w:spacing w:after="40" w:before="40"/>
      </w:pPr>
      <w:r>
        <w:rPr>
          <w:rFonts w:ascii="Arial" w:cs="Arial" w:eastAsia="Arial" w:hAnsi="Arial"/>
          <w:sz w:val="22"/>
          <w:szCs w:val="22"/>
        </w:rPr>
        <w:t xml:space="preserve">Building a new MoE architecture.</w:t>
      </w:r>
    </w:p>
    <w:p>
      <w:pPr>
        <w:pStyle w:val="ListParagraph"/>
        <w:numPr>
          <w:ilvl w:val="0"/>
          <w:numId w:val="2"/>
        </w:numPr>
        <w:spacing w:after="40" w:before="40"/>
      </w:pPr>
      <w:r>
        <w:rPr>
          <w:rFonts w:ascii="Arial" w:cs="Arial" w:eastAsia="Arial" w:hAnsi="Arial"/>
          <w:sz w:val="22"/>
          <w:szCs w:val="22"/>
        </w:rPr>
        <w:t xml:space="preserve">Replacing any existing training framework.</w:t>
      </w:r>
    </w:p>
    <w:p>
      <w:pPr>
        <w:pStyle w:val="ListParagraph"/>
        <w:numPr>
          <w:ilvl w:val="0"/>
          <w:numId w:val="2"/>
        </w:numPr>
        <w:spacing w:after="40" w:before="40"/>
      </w:pPr>
      <w:r>
        <w:rPr>
          <w:rFonts w:ascii="Arial" w:cs="Arial" w:eastAsia="Arial" w:hAnsi="Arial"/>
          <w:sz w:val="22"/>
          <w:szCs w:val="22"/>
        </w:rPr>
        <w:t xml:space="preserve">Supporting 100+ GPU clusters in v0.1.</w:t>
      </w:r>
    </w:p>
    <w:p>
      <w:pPr>
        <w:pStyle w:val="ListParagraph"/>
        <w:numPr>
          <w:ilvl w:val="0"/>
          <w:numId w:val="2"/>
        </w:numPr>
        <w:spacing w:after="40" w:before="40"/>
      </w:pPr>
      <w:r>
        <w:rPr>
          <w:rFonts w:ascii="Arial" w:cs="Arial" w:eastAsia="Arial" w:hAnsi="Arial"/>
          <w:sz w:val="22"/>
          <w:szCs w:val="22"/>
        </w:rPr>
        <w:t xml:space="preserve">Generating automatic model fixes (diagnosis only in v0.1).</w:t>
      </w:r>
    </w:p>
    <w:p>
      <w:pPr>
        <w:pStyle w:val="ListParagraph"/>
        <w:numPr>
          <w:ilvl w:val="0"/>
          <w:numId w:val="2"/>
        </w:numPr>
        <w:spacing w:after="40" w:before="40"/>
      </w:pPr>
      <w:r>
        <w:rPr>
          <w:rFonts w:ascii="Arial" w:cs="Arial" w:eastAsia="Arial" w:hAnsi="Arial"/>
          <w:sz w:val="22"/>
          <w:szCs w:val="22"/>
        </w:rPr>
        <w:t xml:space="preserve">Supporting non-PyTorch backends in v0.1 (Apple MLX, JAX, etc.).</w:t>
      </w:r>
    </w:p>
    <w:p>
      <w:pPr>
        <w:pStyle w:val="ListParagraph"/>
        <w:numPr>
          <w:ilvl w:val="0"/>
          <w:numId w:val="2"/>
        </w:numPr>
        <w:spacing w:after="40" w:before="40"/>
      </w:pPr>
      <w:r>
        <w:rPr>
          <w:rFonts w:ascii="Arial" w:cs="Arial" w:eastAsia="Arial" w:hAnsi="Arial"/>
          <w:sz w:val="22"/>
          <w:szCs w:val="22"/>
        </w:rPr>
        <w:t xml:space="preserve">Competing with model-clinic on static weight analysis — they do that well.</w:t>
      </w:r>
    </w:p>
    <w:p>
      <w:pPr>
        <w:spacing w:after="0" w:before="200"/>
      </w:pPr>
      <w:r>
        <w:t xml:space="preserve"/>
      </w:r>
    </w:p>
    <w:p>
      <w:pPr>
        <w:pStyle w:val="Heading1"/>
        <w:pBdr>
          <w:bottom w:val="single" w:color="2980B9" w:sz="8" w:space="4"/>
        </w:pBdr>
        <w:spacing w:after="160" w:before="360"/>
      </w:pPr>
      <w:r>
        <w:rPr>
          <w:rFonts w:ascii="Arial" w:cs="Arial" w:eastAsia="Arial" w:hAnsi="Arial"/>
          <w:b/>
          <w:bCs/>
          <w:color w:val="1A3C5E"/>
          <w:sz w:val="32"/>
          <w:szCs w:val="32"/>
        </w:rPr>
        <w:t xml:space="preserve">5. Scope</w:t>
      </w:r>
    </w:p>
    <w:p>
      <w:pPr>
        <w:pStyle w:val="Heading2"/>
        <w:spacing w:after="100" w:before="240"/>
      </w:pPr>
      <w:r>
        <w:rPr>
          <w:rFonts w:ascii="Arial" w:cs="Arial" w:eastAsia="Arial" w:hAnsi="Arial"/>
          <w:b/>
          <w:bCs/>
          <w:color w:val="2980B9"/>
          <w:sz w:val="26"/>
          <w:szCs w:val="26"/>
        </w:rPr>
        <w:t xml:space="preserve">5.1 Version Scope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40"/>
        <w:gridCol w:w="5760"/>
        <w:gridCol w:w="2160"/>
      </w:tblGrid>
      <w:tr>
        <w:trPr>
          <w:tblHeader/>
        </w:trPr>
        <w:tc>
          <w:tcPr>
            <w:tcW w:type="dxa" w:w="144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Version</w:t>
            </w:r>
          </w:p>
        </w:tc>
        <w:tc>
          <w:tcPr>
            <w:tcW w:type="dxa" w:w="576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Scope</w:t>
            </w:r>
          </w:p>
        </w:tc>
        <w:tc>
          <w:tcPr>
            <w:tcW w:type="dxa" w:w="216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Target</w:t>
            </w:r>
          </w:p>
        </w:tc>
      </w:tr>
      <w:tr>
        <w:tc>
          <w:tcPr>
            <w:tcW w:type="dxa" w:w="144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v0.1</w:t>
            </w:r>
          </w:p>
        </w:tc>
        <w:tc>
          <w:tcPr>
            <w:tcW w:type="dxa" w:w="576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Single GPU, Mixtral + OLMoE, 4 core diagnostics, CLI report</w:t>
            </w:r>
          </w:p>
        </w:tc>
        <w:tc>
          <w:tcPr>
            <w:tcW w:type="dxa" w:w="216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3 weeks</w:t>
            </w:r>
          </w:p>
        </w:tc>
      </w:tr>
      <w:tr>
        <w:tc>
          <w:tcPr>
            <w:tcW w:type="dxa" w:w="144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v0.2</w:t>
            </w:r>
          </w:p>
        </w:tc>
        <w:tc>
          <w:tcPr>
            <w:tcW w:type="dxa" w:w="576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DeepSeek-MoE, WandB/TensorBoard integration, training-time hooks</w:t>
            </w:r>
          </w:p>
        </w:tc>
        <w:tc>
          <w:tcPr>
            <w:tcW w:type="dxa" w:w="216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3 weeks post v0.1</w:t>
            </w:r>
          </w:p>
        </w:tc>
      </w:tr>
      <w:tr>
        <w:tc>
          <w:tcPr>
            <w:tcW w:type="dxa" w:w="144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v0.3</w:t>
            </w:r>
          </w:p>
        </w:tc>
        <w:tc>
          <w:tcPr>
            <w:tcW w:type="dxa" w:w="576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Community multi-GPU (DDP/FSDP), expert specialization analysis</w:t>
            </w:r>
          </w:p>
        </w:tc>
        <w:tc>
          <w:tcPr>
            <w:tcW w:type="dxa" w:w="216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Community-driven</w:t>
            </w:r>
          </w:p>
        </w:tc>
      </w:tr>
      <w:tr>
        <w:tc>
          <w:tcPr>
            <w:tcW w:type="dxa" w:w="144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v1.0</w:t>
            </w:r>
          </w:p>
        </w:tc>
        <w:tc>
          <w:tcPr>
            <w:tcW w:type="dxa" w:w="576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Stable API, full HF MoE coverage, recommendations engine</w:t>
            </w:r>
          </w:p>
        </w:tc>
        <w:tc>
          <w:tcPr>
            <w:tcW w:type="dxa" w:w="216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Post community adoption</w:t>
            </w:r>
          </w:p>
        </w:tc>
      </w:tr>
    </w:tbl>
    <w:p>
      <w:pPr>
        <w:spacing w:after="0" w:before="120"/>
      </w:pPr>
      <w:r>
        <w:t xml:space="preserve"/>
      </w:r>
    </w:p>
    <w:p>
      <w:pPr>
        <w:pStyle w:val="Heading2"/>
        <w:spacing w:after="100" w:before="240"/>
      </w:pPr>
      <w:r>
        <w:rPr>
          <w:rFonts w:ascii="Arial" w:cs="Arial" w:eastAsia="Arial" w:hAnsi="Arial"/>
          <w:b/>
          <w:bCs/>
          <w:color w:val="2980B9"/>
          <w:sz w:val="26"/>
          <w:szCs w:val="26"/>
        </w:rPr>
        <w:t xml:space="preserve">5.2 Hardware Scope</w:t>
      </w:r>
    </w:p>
    <w:p>
      <w:pPr>
        <w:pStyle w:val="Heading3"/>
        <w:spacing w:after="80" w:before="180"/>
      </w:pPr>
      <w:r>
        <w:rPr>
          <w:rFonts w:ascii="Arial" w:cs="Arial" w:eastAsia="Arial" w:hAnsi="Arial"/>
          <w:b/>
          <w:bCs/>
          <w:color w:val="1A3C5E"/>
          <w:sz w:val="22"/>
          <w:szCs w:val="22"/>
        </w:rPr>
        <w:t xml:space="preserve">v0.1 Supported</w:t>
      </w:r>
    </w:p>
    <w:p>
      <w:pPr>
        <w:pStyle w:val="ListParagraph"/>
        <w:numPr>
          <w:ilvl w:val="0"/>
          <w:numId w:val="2"/>
        </w:numPr>
        <w:spacing w:after="40" w:before="40"/>
      </w:pPr>
      <w:r>
        <w:rPr>
          <w:rFonts w:ascii="Arial" w:cs="Arial" w:eastAsia="Arial" w:hAnsi="Arial"/>
          <w:sz w:val="22"/>
          <w:szCs w:val="22"/>
        </w:rPr>
        <w:t xml:space="preserve">CPU — fully supported (synthetic MoE, testing, development)</w:t>
      </w:r>
    </w:p>
    <w:p>
      <w:pPr>
        <w:pStyle w:val="ListParagraph"/>
        <w:numPr>
          <w:ilvl w:val="0"/>
          <w:numId w:val="2"/>
        </w:numPr>
        <w:spacing w:after="40" w:before="40"/>
      </w:pPr>
      <w:r>
        <w:rPr>
          <w:rFonts w:ascii="Arial" w:cs="Arial" w:eastAsia="Arial" w:hAnsi="Arial"/>
          <w:sz w:val="22"/>
          <w:szCs w:val="22"/>
        </w:rPr>
        <w:t xml:space="preserve">Single GPU (T4, A100, H100, consumer cards) — fully supported</w:t>
      </w:r>
    </w:p>
    <w:p>
      <w:pPr>
        <w:pStyle w:val="ListParagraph"/>
        <w:numPr>
          <w:ilvl w:val="0"/>
          <w:numId w:val="2"/>
        </w:numPr>
        <w:spacing w:after="40" w:before="40"/>
      </w:pPr>
      <w:r>
        <w:rPr>
          <w:rFonts w:ascii="Arial" w:cs="Arial" w:eastAsia="Arial" w:hAnsi="Arial"/>
          <w:sz w:val="22"/>
          <w:szCs w:val="22"/>
        </w:rPr>
        <w:t xml:space="preserve">Google Colab free tier (T4) — explicitly validated and documented</w:t>
      </w:r>
    </w:p>
    <w:p>
      <w:pPr>
        <w:pStyle w:val="ListParagraph"/>
        <w:numPr>
          <w:ilvl w:val="0"/>
          <w:numId w:val="2"/>
        </w:numPr>
        <w:spacing w:after="40" w:before="40"/>
      </w:pPr>
      <w:r>
        <w:rPr>
          <w:rFonts w:ascii="Arial" w:cs="Arial" w:eastAsia="Arial" w:hAnsi="Arial"/>
          <w:sz w:val="22"/>
          <w:szCs w:val="22"/>
        </w:rPr>
        <w:t xml:space="preserve">Kaggle free tier (2× T4) — single-GPU mode supported</w:t>
      </w:r>
    </w:p>
    <w:p>
      <w:pPr>
        <w:spacing w:after="0" w:before="60"/>
      </w:pPr>
      <w:r>
        <w:t xml:space="preserve"/>
      </w:r>
    </w:p>
    <w:p>
      <w:pPr>
        <w:pStyle w:val="Heading3"/>
        <w:spacing w:after="80" w:before="180"/>
      </w:pPr>
      <w:r>
        <w:rPr>
          <w:rFonts w:ascii="Arial" w:cs="Arial" w:eastAsia="Arial" w:hAnsi="Arial"/>
          <w:b/>
          <w:bCs/>
          <w:color w:val="1A3C5E"/>
          <w:sz w:val="22"/>
          <w:szCs w:val="22"/>
        </w:rPr>
        <w:t xml:space="preserve">v0.1 Not Supported (Documented Honestly)</w:t>
      </w:r>
    </w:p>
    <w:p>
      <w:pPr>
        <w:pStyle w:val="ListParagraph"/>
        <w:numPr>
          <w:ilvl w:val="0"/>
          <w:numId w:val="2"/>
        </w:numPr>
        <w:spacing w:after="40" w:before="40"/>
      </w:pPr>
      <w:r>
        <w:rPr>
          <w:rFonts w:ascii="Arial" w:cs="Arial" w:eastAsia="Arial" w:hAnsi="Arial"/>
          <w:sz w:val="22"/>
          <w:szCs w:val="22"/>
        </w:rPr>
        <w:t xml:space="preserve">Multi-GPU DDP / FSDP — community contribution welcome</w:t>
      </w:r>
    </w:p>
    <w:p>
      <w:pPr>
        <w:pStyle w:val="ListParagraph"/>
        <w:numPr>
          <w:ilvl w:val="0"/>
          <w:numId w:val="2"/>
        </w:numPr>
        <w:spacing w:after="40" w:before="40"/>
      </w:pPr>
      <w:r>
        <w:rPr>
          <w:rFonts w:ascii="Arial" w:cs="Arial" w:eastAsia="Arial" w:hAnsi="Arial"/>
          <w:sz w:val="22"/>
          <w:szCs w:val="22"/>
        </w:rPr>
        <w:t xml:space="preserve">TPUs — not in scope</w:t>
      </w:r>
    </w:p>
    <w:p>
      <w:pPr>
        <w:pStyle w:val="ListParagraph"/>
        <w:numPr>
          <w:ilvl w:val="0"/>
          <w:numId w:val="2"/>
        </w:numPr>
        <w:spacing w:after="40" w:before="40"/>
      </w:pPr>
      <w:r>
        <w:rPr>
          <w:rFonts w:ascii="Arial" w:cs="Arial" w:eastAsia="Arial" w:hAnsi="Arial"/>
          <w:sz w:val="22"/>
          <w:szCs w:val="22"/>
        </w:rPr>
        <w:t xml:space="preserve">100+ GPU clusters — not in scope for v0.1</w:t>
      </w:r>
    </w:p>
    <w:p>
      <w:pPr>
        <w:pStyle w:val="ListParagraph"/>
        <w:numPr>
          <w:ilvl w:val="0"/>
          <w:numId w:val="2"/>
        </w:numPr>
        <w:spacing w:after="40" w:before="40"/>
      </w:pPr>
      <w:r>
        <w:rPr>
          <w:rFonts w:ascii="Arial" w:cs="Arial" w:eastAsia="Arial" w:hAnsi="Arial"/>
          <w:sz w:val="22"/>
          <w:szCs w:val="22"/>
        </w:rPr>
        <w:t xml:space="preserve">Apple Silicon / MLX — not the target; chuk-lazarus covers that space</w:t>
      </w:r>
    </w:p>
    <w:p>
      <w:pPr>
        <w:spacing w:after="0" w:before="120"/>
      </w:pPr>
      <w:r>
        <w:t xml:space="preserve"/>
      </w:r>
    </w:p>
    <w:p>
      <w:pPr>
        <w:pStyle w:val="Heading2"/>
        <w:spacing w:after="100" w:before="240"/>
      </w:pPr>
      <w:r>
        <w:rPr>
          <w:rFonts w:ascii="Arial" w:cs="Arial" w:eastAsia="Arial" w:hAnsi="Arial"/>
          <w:b/>
          <w:bCs/>
          <w:color w:val="2980B9"/>
          <w:sz w:val="26"/>
          <w:szCs w:val="26"/>
        </w:rPr>
        <w:t xml:space="preserve">5.3 Model Scope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1440"/>
        <w:gridCol w:w="1440"/>
        <w:gridCol w:w="4140"/>
      </w:tblGrid>
      <w:tr>
        <w:trPr>
          <w:tblHeader/>
        </w:trPr>
        <w:tc>
          <w:tcPr>
            <w:tcW w:type="dxa" w:w="234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Model</w:t>
            </w:r>
          </w:p>
        </w:tc>
        <w:tc>
          <w:tcPr>
            <w:tcW w:type="dxa" w:w="144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v0.1</w:t>
            </w:r>
          </w:p>
        </w:tc>
        <w:tc>
          <w:tcPr>
            <w:tcW w:type="dxa" w:w="144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v0.2</w:t>
            </w:r>
          </w:p>
        </w:tc>
        <w:tc>
          <w:tcPr>
            <w:tcW w:type="dxa" w:w="414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Notes</w:t>
            </w:r>
          </w:p>
        </w:tc>
      </w:tr>
      <w:tr>
        <w:tc>
          <w:tcPr>
            <w:tcW w:type="dxa" w:w="234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Mixtral 8×7B / 8×22B</w:t>
            </w:r>
          </w:p>
        </w:tc>
        <w:tc>
          <w:tcPr>
            <w:tcW w:type="dxa" w:w="144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 Primary</w:t>
            </w:r>
          </w:p>
        </w:tc>
        <w:tc>
          <w:tcPr>
            <w:tcW w:type="dxa" w:w="144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w:t>
            </w:r>
          </w:p>
        </w:tc>
        <w:tc>
          <w:tcPr>
            <w:tcW w:type="dxa" w:w="414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First-class support, all features</w:t>
            </w:r>
          </w:p>
        </w:tc>
      </w:tr>
      <w:tr>
        <w:tc>
          <w:tcPr>
            <w:tcW w:type="dxa" w:w="234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OLMoE-1B-7B</w:t>
            </w:r>
          </w:p>
        </w:tc>
        <w:tc>
          <w:tcPr>
            <w:tcW w:type="dxa" w:w="144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 Primary</w:t>
            </w:r>
          </w:p>
        </w:tc>
        <w:tc>
          <w:tcPr>
            <w:tcW w:type="dxa" w:w="144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w:t>
            </w:r>
          </w:p>
        </w:tc>
        <w:tc>
          <w:tcPr>
            <w:tcW w:type="dxa" w:w="414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Lightweight, free-tier testable</w:t>
            </w:r>
          </w:p>
        </w:tc>
      </w:tr>
      <w:tr>
        <w:tc>
          <w:tcPr>
            <w:tcW w:type="dxa" w:w="234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DeepSeek-MoE</w:t>
            </w:r>
          </w:p>
        </w:tc>
        <w:tc>
          <w:tcPr>
            <w:tcW w:type="dxa" w:w="144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w:t>
            </w:r>
          </w:p>
        </w:tc>
        <w:tc>
          <w:tcPr>
            <w:tcW w:type="dxa" w:w="144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w:t>
            </w:r>
          </w:p>
        </w:tc>
        <w:tc>
          <w:tcPr>
            <w:tcW w:type="dxa" w:w="414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Architecture differences need mapping</w:t>
            </w:r>
          </w:p>
        </w:tc>
      </w:tr>
      <w:tr>
        <w:tc>
          <w:tcPr>
            <w:tcW w:type="dxa" w:w="234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Qwen MoE</w:t>
            </w:r>
          </w:p>
        </w:tc>
        <w:tc>
          <w:tcPr>
            <w:tcW w:type="dxa" w:w="144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w:t>
            </w:r>
          </w:p>
        </w:tc>
        <w:tc>
          <w:tcPr>
            <w:tcW w:type="dxa" w:w="144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w:t>
            </w:r>
          </w:p>
        </w:tc>
        <w:tc>
          <w:tcPr>
            <w:tcW w:type="dxa" w:w="414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Community interest driven</w:t>
            </w:r>
          </w:p>
        </w:tc>
      </w:tr>
      <w:tr>
        <w:tc>
          <w:tcPr>
            <w:tcW w:type="dxa" w:w="234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Custom HF MoE</w:t>
            </w:r>
          </w:p>
        </w:tc>
        <w:tc>
          <w:tcPr>
            <w:tcW w:type="dxa" w:w="144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 Best-effort</w:t>
            </w:r>
          </w:p>
        </w:tc>
        <w:tc>
          <w:tcPr>
            <w:tcW w:type="dxa" w:w="144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w:t>
            </w:r>
          </w:p>
        </w:tc>
        <w:tc>
          <w:tcPr>
            <w:tcW w:type="dxa" w:w="414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Requires standard router pattern</w:t>
            </w:r>
          </w:p>
        </w:tc>
      </w:tr>
    </w:tbl>
    <w:p>
      <w:pPr>
        <w:spacing w:after="0" w:before="200"/>
      </w:pPr>
      <w:r>
        <w:t xml:space="preserve"/>
      </w:r>
    </w:p>
    <w:p>
      <w:pPr>
        <w:pStyle w:val="Heading1"/>
        <w:pBdr>
          <w:bottom w:val="single" w:color="2980B9" w:sz="8" w:space="4"/>
        </w:pBdr>
        <w:spacing w:after="160" w:before="360"/>
      </w:pPr>
      <w:r>
        <w:rPr>
          <w:rFonts w:ascii="Arial" w:cs="Arial" w:eastAsia="Arial" w:hAnsi="Arial"/>
          <w:b/>
          <w:bCs/>
          <w:color w:val="1A3C5E"/>
          <w:sz w:val="32"/>
          <w:szCs w:val="32"/>
        </w:rPr>
        <w:t xml:space="preserve">6. Architecture Overview</w:t>
      </w:r>
    </w:p>
    <w:p>
      <w:pPr>
        <w:spacing w:after="60" w:before="60"/>
      </w:pPr>
      <w:r>
        <w:rPr>
          <w:rFonts w:ascii="Arial" w:cs="Arial" w:eastAsia="Arial" w:hAnsi="Arial"/>
          <w:sz w:val="22"/>
          <w:szCs w:val="22"/>
        </w:rPr>
        <w:t xml:space="preserve">moewatch uses PyTorch forward hooks to intercept router outputs non-invasively. It never modifies model weights or training logic. The library is structured in four layers:</w:t>
      </w:r>
    </w:p>
    <w:p>
      <w:pPr>
        <w:spacing w:after="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4320"/>
        <w:gridCol w:w="3240"/>
      </w:tblGrid>
      <w:tr>
        <w:trPr>
          <w:tblHeader/>
        </w:trPr>
        <w:tc>
          <w:tcPr>
            <w:tcW w:type="dxa" w:w="180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Layer</w:t>
            </w:r>
          </w:p>
        </w:tc>
        <w:tc>
          <w:tcPr>
            <w:tcW w:type="dxa" w:w="432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Responsibility</w:t>
            </w:r>
          </w:p>
        </w:tc>
        <w:tc>
          <w:tcPr>
            <w:tcW w:type="dxa" w:w="324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Key Classes</w:t>
            </w:r>
          </w:p>
        </w:tc>
      </w:tr>
      <w:tr>
        <w:tc>
          <w:tcPr>
            <w:tcW w:type="dxa" w:w="180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Hook Engine</w:t>
            </w:r>
          </w:p>
        </w:tc>
        <w:tc>
          <w:tcPr>
            <w:tcW w:type="dxa" w:w="43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Attaches / detaches forward hooks on router modules</w:t>
            </w:r>
          </w:p>
        </w:tc>
        <w:tc>
          <w:tcPr>
            <w:tcW w:type="dxa" w:w="324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HookManager, RouterHook</w:t>
            </w:r>
          </w:p>
        </w:tc>
      </w:tr>
      <w:tr>
        <w:tc>
          <w:tcPr>
            <w:tcW w:type="dxa" w:w="180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Collector</w:t>
            </w:r>
          </w:p>
        </w:tc>
        <w:tc>
          <w:tcPr>
            <w:tcW w:type="dxa" w:w="432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Aggregates per-step routing statistics asynchronously</w:t>
            </w:r>
          </w:p>
        </w:tc>
        <w:tc>
          <w:tcPr>
            <w:tcW w:type="dxa" w:w="324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StatCollector, RingBuffer</w:t>
            </w:r>
          </w:p>
        </w:tc>
      </w:tr>
      <w:tr>
        <w:tc>
          <w:tcPr>
            <w:tcW w:type="dxa" w:w="180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Analyzer</w:t>
            </w:r>
          </w:p>
        </w:tc>
        <w:tc>
          <w:tcPr>
            <w:tcW w:type="dxa" w:w="43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Computes metrics: entropy, utilization, collapse score</w:t>
            </w:r>
          </w:p>
        </w:tc>
        <w:tc>
          <w:tcPr>
            <w:tcW w:type="dxa" w:w="324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EntropyAnalyzer, CollapseDetector</w:t>
            </w:r>
          </w:p>
        </w:tc>
      </w:tr>
      <w:tr>
        <w:tc>
          <w:tcPr>
            <w:tcW w:type="dxa" w:w="180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Reporter</w:t>
            </w:r>
          </w:p>
        </w:tc>
        <w:tc>
          <w:tcPr>
            <w:tcW w:type="dxa" w:w="432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Formats and outputs reports, warnings, suggestions</w:t>
            </w:r>
          </w:p>
        </w:tc>
        <w:tc>
          <w:tcPr>
            <w:tcW w:type="dxa" w:w="324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AuditReport, CLIReporter</w:t>
            </w:r>
          </w:p>
        </w:tc>
      </w:tr>
    </w:tbl>
    <w:p>
      <w:pPr>
        <w:spacing w:after="0" w:before="120"/>
      </w:pPr>
      <w:r>
        <w:t xml:space="preserve"/>
      </w:r>
    </w:p>
    <w:p>
      <w:pPr>
        <w:pStyle w:val="Heading2"/>
        <w:spacing w:after="100" w:before="240"/>
      </w:pPr>
      <w:r>
        <w:rPr>
          <w:rFonts w:ascii="Arial" w:cs="Arial" w:eastAsia="Arial" w:hAnsi="Arial"/>
          <w:b/>
          <w:bCs/>
          <w:color w:val="2980B9"/>
          <w:sz w:val="26"/>
          <w:szCs w:val="26"/>
        </w:rPr>
        <w:t xml:space="preserve">6.1 Core Design Principles</w:t>
      </w:r>
    </w:p>
    <w:p>
      <w:pPr>
        <w:pStyle w:val="ListParagraph"/>
        <w:numPr>
          <w:ilvl w:val="0"/>
          <w:numId w:val="2"/>
        </w:numPr>
        <w:spacing w:after="40" w:before="40"/>
      </w:pPr>
      <w:r>
        <w:rPr>
          <w:rFonts w:ascii="Arial" w:cs="Arial" w:eastAsia="Arial" w:hAnsi="Arial"/>
          <w:sz w:val="22"/>
          <w:szCs w:val="22"/>
        </w:rPr>
        <w:t xml:space="preserve">Non-invasive: zero modifications to model parameters or training loop.</w:t>
      </w:r>
    </w:p>
    <w:p>
      <w:pPr>
        <w:pStyle w:val="ListParagraph"/>
        <w:numPr>
          <w:ilvl w:val="0"/>
          <w:numId w:val="2"/>
        </w:numPr>
        <w:spacing w:after="40" w:before="40"/>
      </w:pPr>
      <w:r>
        <w:rPr>
          <w:rFonts w:ascii="Arial" w:cs="Arial" w:eastAsia="Arial" w:hAnsi="Arial"/>
          <w:sz w:val="22"/>
          <w:szCs w:val="22"/>
        </w:rPr>
        <w:t xml:space="preserve">Asynchronous collection: hooks write to a ring buffer; analysis runs off the critical path.</w:t>
      </w:r>
    </w:p>
    <w:p>
      <w:pPr>
        <w:pStyle w:val="ListParagraph"/>
        <w:numPr>
          <w:ilvl w:val="0"/>
          <w:numId w:val="2"/>
        </w:numPr>
        <w:spacing w:after="40" w:before="40"/>
      </w:pPr>
      <w:r>
        <w:rPr>
          <w:rFonts w:ascii="Arial" w:cs="Arial" w:eastAsia="Arial" w:hAnsi="Arial"/>
          <w:sz w:val="22"/>
          <w:szCs w:val="22"/>
        </w:rPr>
        <w:t xml:space="preserve">Sampling-based: configurable step interval to keep overhead under 2%.</w:t>
      </w:r>
    </w:p>
    <w:p>
      <w:pPr>
        <w:pStyle w:val="ListParagraph"/>
        <w:numPr>
          <w:ilvl w:val="0"/>
          <w:numId w:val="2"/>
        </w:numPr>
        <w:spacing w:after="40" w:before="40"/>
      </w:pPr>
      <w:r>
        <w:rPr>
          <w:rFonts w:ascii="Arial" w:cs="Arial" w:eastAsia="Arial" w:hAnsi="Arial"/>
          <w:sz w:val="22"/>
          <w:szCs w:val="22"/>
        </w:rPr>
        <w:t xml:space="preserve">Graceful degradation: if architecture is unrecognized, warn and no-op rather than crash.</w:t>
      </w:r>
    </w:p>
    <w:p>
      <w:pPr>
        <w:pStyle w:val="ListParagraph"/>
        <w:numPr>
          <w:ilvl w:val="0"/>
          <w:numId w:val="2"/>
        </w:numPr>
        <w:spacing w:after="40" w:before="40"/>
      </w:pPr>
      <w:r>
        <w:rPr>
          <w:rFonts w:ascii="Arial" w:cs="Arial" w:eastAsia="Arial" w:hAnsi="Arial"/>
          <w:sz w:val="22"/>
          <w:szCs w:val="22"/>
        </w:rPr>
        <w:t xml:space="preserve">Single source of truth: all metrics derive from raw routing logits, not post-hoc logs.</w:t>
      </w:r>
    </w:p>
    <w:p>
      <w:pPr>
        <w:spacing w:after="0" w:before="80"/>
      </w:pPr>
      <w:r>
        <w:t xml:space="preserve"/>
      </w:r>
    </w:p>
    <w:p>
      <w:pPr>
        <w:pStyle w:val="Heading2"/>
        <w:spacing w:after="100" w:before="240"/>
      </w:pPr>
      <w:r>
        <w:rPr>
          <w:rFonts w:ascii="Arial" w:cs="Arial" w:eastAsia="Arial" w:hAnsi="Arial"/>
          <w:b/>
          <w:bCs/>
          <w:color w:val="2980B9"/>
          <w:sz w:val="26"/>
          <w:szCs w:val="26"/>
        </w:rPr>
        <w:t xml:space="preserve">6.2 Zero-Overhead Guarantee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980B9" w:sz="1"/>
              <w:left w:val="single" w:color="2980B9" w:sz="1"/>
              <w:bottom w:val="single" w:color="2980B9" w:sz="1"/>
              <w:right w:val="single" w:color="2980B9" w:sz="1"/>
            </w:tcBorders>
            <w:shd w:fill="EAF2FB" w:val="clear"/>
            <w:tcMar>
              <w:top w:type="dxa" w:w="120"/>
              <w:left w:type="dxa" w:w="200"/>
              <w:bottom w:type="dxa" w:w="120"/>
              <w:right w:type="dxa" w:w="200"/>
            </w:tcMar>
          </w:tcPr>
          <w:p>
            <w:pPr>
              <w:jc w:val="center"/>
            </w:pPr>
            <w:r>
              <w:rPr>
                <w:rFonts w:ascii="Arial" w:cs="Arial" w:eastAsia="Arial" w:hAnsi="Arial"/>
                <w:b/>
                <w:bCs/>
                <w:color w:val="1A3C5E"/>
                <w:sz w:val="22"/>
                <w:szCs w:val="22"/>
              </w:rPr>
              <w:t xml:space="preserve">moewatch guarantees &lt;2% training throughput overhead in default configuration.
Achieved via: sampling every N steps (default N=10)  •  async CUDA reads  •  CPU-side statistics  •  fixed-memory ring buffer.</w:t>
            </w:r>
          </w:p>
        </w:tc>
      </w:tr>
    </w:tbl>
    <w:p>
      <w:pPr>
        <w:spacing w:after="0" w:before="200"/>
      </w:pPr>
      <w:r>
        <w:t xml:space="preserve"/>
      </w:r>
    </w:p>
    <w:p>
      <w:pPr>
        <w:pStyle w:val="Heading1"/>
        <w:pBdr>
          <w:bottom w:val="single" w:color="2980B9" w:sz="8" w:space="4"/>
        </w:pBdr>
        <w:spacing w:after="160" w:before="360"/>
      </w:pPr>
      <w:r>
        <w:rPr>
          <w:rFonts w:ascii="Arial" w:cs="Arial" w:eastAsia="Arial" w:hAnsi="Arial"/>
          <w:b/>
          <w:bCs/>
          <w:color w:val="1A3C5E"/>
          <w:sz w:val="32"/>
          <w:szCs w:val="32"/>
        </w:rPr>
        <w:t xml:space="preserve">7. Core Features</w:t>
      </w:r>
    </w:p>
    <w:p>
      <w:pPr>
        <w:pStyle w:val="Heading2"/>
        <w:spacing w:after="100" w:before="240"/>
      </w:pPr>
      <w:r>
        <w:rPr>
          <w:rFonts w:ascii="Arial" w:cs="Arial" w:eastAsia="Arial" w:hAnsi="Arial"/>
          <w:b/>
          <w:bCs/>
          <w:color w:val="2980B9"/>
          <w:sz w:val="26"/>
          <w:szCs w:val="26"/>
        </w:rPr>
        <w:t xml:space="preserve">Feature 1 — Dead Expert Detection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from moewatch import audit</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report = audit(model, dataloader)</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report.dead_experts()</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Output:</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 Expert 7   utilization: 0.01%  [DEAD]</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 Expert 12  utilization: 0.00%  [DEAD]</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 Expert 3   utilization: 12.4%  [OK]</w:t>
            </w:r>
          </w:p>
        </w:tc>
      </w:tr>
    </w:tbl>
    <w:p>
      <w:pPr>
        <w:spacing w:after="0" w:before="80"/>
      </w:pPr>
      <w:r>
        <w:t xml:space="preserve"/>
      </w:r>
    </w:p>
    <w:p>
      <w:pPr>
        <w:pStyle w:val="ListParagraph"/>
        <w:numPr>
          <w:ilvl w:val="0"/>
          <w:numId w:val="2"/>
        </w:numPr>
        <w:spacing w:after="40" w:before="40"/>
      </w:pPr>
      <w:r>
        <w:rPr>
          <w:rFonts w:ascii="Arial" w:cs="Arial" w:eastAsia="Arial" w:hAnsi="Arial"/>
          <w:sz w:val="22"/>
          <w:szCs w:val="22"/>
        </w:rPr>
        <w:t xml:space="preserve">Threshold: configurable, default 0.1% selection rate.</w:t>
      </w:r>
    </w:p>
    <w:p>
      <w:pPr>
        <w:pStyle w:val="ListParagraph"/>
        <w:numPr>
          <w:ilvl w:val="0"/>
          <w:numId w:val="2"/>
        </w:numPr>
        <w:spacing w:after="40" w:before="40"/>
      </w:pPr>
      <w:r>
        <w:rPr>
          <w:rFonts w:ascii="Arial" w:cs="Arial" w:eastAsia="Arial" w:hAnsi="Arial"/>
          <w:sz w:val="22"/>
          <w:szCs w:val="22"/>
        </w:rPr>
        <w:t xml:space="preserve">Window: rolling N-step window, not cumulative average.</w:t>
      </w:r>
    </w:p>
    <w:p>
      <w:pPr>
        <w:pStyle w:val="ListParagraph"/>
        <w:numPr>
          <w:ilvl w:val="0"/>
          <w:numId w:val="2"/>
        </w:numPr>
        <w:spacing w:after="40" w:before="40"/>
      </w:pPr>
      <w:r>
        <w:rPr>
          <w:rFonts w:ascii="Arial" w:cs="Arial" w:eastAsia="Arial" w:hAnsi="Arial"/>
          <w:sz w:val="22"/>
          <w:szCs w:val="22"/>
        </w:rPr>
        <w:t xml:space="preserve">Per-layer reporting: dead experts reported per MoE layer, not globally.</w:t>
      </w:r>
    </w:p>
    <w:p>
      <w:pPr>
        <w:pStyle w:val="ListParagraph"/>
        <w:numPr>
          <w:ilvl w:val="0"/>
          <w:numId w:val="2"/>
        </w:numPr>
        <w:spacing w:after="40" w:before="40"/>
      </w:pPr>
      <w:r>
        <w:rPr>
          <w:rFonts w:ascii="Arial" w:cs="Arial" w:eastAsia="Arial" w:hAnsi="Arial"/>
          <w:sz w:val="22"/>
          <w:szCs w:val="22"/>
        </w:rPr>
        <w:t xml:space="preserve">Cold vs dead: warns early for 'cold' experts that may recover; errors for confirmed dead.</w:t>
      </w:r>
    </w:p>
    <w:p>
      <w:pPr>
        <w:spacing w:after="0" w:before="120"/>
      </w:pPr>
      <w:r>
        <w:t xml:space="preserve"/>
      </w:r>
    </w:p>
    <w:p>
      <w:pPr>
        <w:pStyle w:val="Heading2"/>
        <w:spacing w:after="100" w:before="240"/>
      </w:pPr>
      <w:r>
        <w:rPr>
          <w:rFonts w:ascii="Arial" w:cs="Arial" w:eastAsia="Arial" w:hAnsi="Arial"/>
          <w:b/>
          <w:bCs/>
          <w:color w:val="2980B9"/>
          <w:sz w:val="26"/>
          <w:szCs w:val="26"/>
        </w:rPr>
        <w:t xml:space="preserve">Feature 2 — Routing Entropy Analysis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report.routing_entropy()</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Layer 0  entropy: 2.94  [HEALTHY]</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Layer 1  entropy: 1.82  [LOW]     ⚠</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Layer 3  entropy: 0.21  [CRITICAL] ❌</w:t>
            </w:r>
          </w:p>
        </w:tc>
      </w:tr>
    </w:tbl>
    <w:p>
      <w:pPr>
        <w:spacing w:after="0" w:before="80"/>
      </w:pPr>
      <w:r>
        <w:t xml:space="preserve"/>
      </w:r>
    </w:p>
    <w:p>
      <w:pPr>
        <w:spacing w:after="60" w:before="60"/>
      </w:pPr>
      <w:r>
        <w:rPr>
          <w:rFonts w:ascii="Arial" w:cs="Arial" w:eastAsia="Arial" w:hAnsi="Arial"/>
          <w:sz w:val="22"/>
          <w:szCs w:val="22"/>
        </w:rPr>
        <w:t xml:space="preserve">Routing entropy measures how evenly the router distributes tokens across experts. Low entropy means the router is concentrating on a few experts even if none are technically dead. This is the metric most absent from standard training setups.</w:t>
      </w:r>
    </w:p>
    <w:p>
      <w:pPr>
        <w:spacing w:after="0" w:before="60"/>
      </w:pPr>
      <w:r>
        <w:t xml:space="preserve"/>
      </w:r>
    </w:p>
    <w:p>
      <w:pPr>
        <w:pStyle w:val="ListParagraph"/>
        <w:numPr>
          <w:ilvl w:val="0"/>
          <w:numId w:val="2"/>
        </w:numPr>
        <w:spacing w:after="40" w:before="40"/>
      </w:pPr>
      <w:r>
        <w:rPr>
          <w:rFonts w:ascii="Arial" w:cs="Arial" w:eastAsia="Arial" w:hAnsi="Arial"/>
          <w:sz w:val="22"/>
          <w:szCs w:val="22"/>
        </w:rPr>
        <w:t xml:space="preserve">Metric: Shannon entropy of the expert selection distribution per layer.</w:t>
      </w:r>
    </w:p>
    <w:p>
      <w:pPr>
        <w:pStyle w:val="ListParagraph"/>
        <w:numPr>
          <w:ilvl w:val="0"/>
          <w:numId w:val="2"/>
        </w:numPr>
        <w:spacing w:after="40" w:before="40"/>
      </w:pPr>
      <w:r>
        <w:rPr>
          <w:rFonts w:ascii="Arial" w:cs="Arial" w:eastAsia="Arial" w:hAnsi="Arial"/>
          <w:sz w:val="22"/>
          <w:szCs w:val="22"/>
        </w:rPr>
        <w:t xml:space="preserve">Baselines: compares against theoretical maximum entropy (uniform distribution).</w:t>
      </w:r>
    </w:p>
    <w:p>
      <w:pPr>
        <w:pStyle w:val="ListParagraph"/>
        <w:numPr>
          <w:ilvl w:val="0"/>
          <w:numId w:val="2"/>
        </w:numPr>
        <w:spacing w:after="40" w:before="40"/>
      </w:pPr>
      <w:r>
        <w:rPr>
          <w:rFonts w:ascii="Arial" w:cs="Arial" w:eastAsia="Arial" w:hAnsi="Arial"/>
          <w:sz w:val="22"/>
          <w:szCs w:val="22"/>
        </w:rPr>
        <w:t xml:space="preserve">Trend tracking: plots entropy over training steps to detect gradual collapse.</w:t>
      </w:r>
    </w:p>
    <w:p>
      <w:pPr>
        <w:pStyle w:val="ListParagraph"/>
        <w:numPr>
          <w:ilvl w:val="0"/>
          <w:numId w:val="2"/>
        </w:numPr>
        <w:spacing w:after="40" w:before="40"/>
      </w:pPr>
      <w:r>
        <w:rPr>
          <w:rFonts w:ascii="Arial" w:cs="Arial" w:eastAsia="Arial" w:hAnsi="Arial"/>
          <w:sz w:val="22"/>
          <w:szCs w:val="22"/>
        </w:rPr>
        <w:t xml:space="preserve">Layer-wise: separate entropy scores per MoE layer, not a single global score.</w:t>
      </w:r>
    </w:p>
    <w:p>
      <w:pPr>
        <w:pStyle w:val="ListParagraph"/>
        <w:numPr>
          <w:ilvl w:val="0"/>
          <w:numId w:val="2"/>
        </w:numPr>
        <w:spacing w:after="40" w:before="40"/>
      </w:pPr>
      <w:r>
        <w:rPr>
          <w:rFonts w:ascii="Arial" w:cs="Arial" w:eastAsia="Arial" w:hAnsi="Arial"/>
          <w:sz w:val="22"/>
          <w:szCs w:val="22"/>
        </w:rPr>
        <w:t xml:space="preserve">Alerts: configurable thresholds for warning and critical levels.</w:t>
      </w:r>
    </w:p>
    <w:p>
      <w:pPr>
        <w:spacing w:after="0" w:before="120"/>
      </w:pPr>
      <w:r>
        <w:t xml:space="preserve"/>
      </w:r>
    </w:p>
    <w:p>
      <w:pPr>
        <w:pStyle w:val="Heading2"/>
        <w:spacing w:after="100" w:before="240"/>
      </w:pPr>
      <w:r>
        <w:rPr>
          <w:rFonts w:ascii="Arial" w:cs="Arial" w:eastAsia="Arial" w:hAnsi="Arial"/>
          <w:b/>
          <w:bCs/>
          <w:color w:val="2980B9"/>
          <w:sz w:val="26"/>
          <w:szCs w:val="26"/>
        </w:rPr>
        <w:t xml:space="preserve">Feature 3 — Expert Utilization Histogram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report.utilization()</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Expert  0  │████████████  12.3%</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Expert  1  │██████████████  14.1%</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Expert  7  │█  0.01%   ⚠ COLD</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Expert 12  │   0.00%   ❌ DEAD</w:t>
            </w:r>
          </w:p>
        </w:tc>
      </w:tr>
    </w:tbl>
    <w:p>
      <w:pPr>
        <w:spacing w:after="0" w:before="80"/>
      </w:pPr>
      <w:r>
        <w:t xml:space="preserve"/>
      </w:r>
    </w:p>
    <w:p>
      <w:pPr>
        <w:pStyle w:val="ListParagraph"/>
        <w:numPr>
          <w:ilvl w:val="0"/>
          <w:numId w:val="2"/>
        </w:numPr>
        <w:spacing w:after="40" w:before="40"/>
      </w:pPr>
      <w:r>
        <w:rPr>
          <w:rFonts w:ascii="Arial" w:cs="Arial" w:eastAsia="Arial" w:hAnsi="Arial"/>
          <w:sz w:val="22"/>
          <w:szCs w:val="22"/>
        </w:rPr>
        <w:t xml:space="preserve">Output: ASCII histogram in terminal; JSON-exportable data for pipelines.</w:t>
      </w:r>
    </w:p>
    <w:p>
      <w:pPr>
        <w:pStyle w:val="ListParagraph"/>
        <w:numPr>
          <w:ilvl w:val="0"/>
          <w:numId w:val="2"/>
        </w:numPr>
        <w:spacing w:after="40" w:before="40"/>
      </w:pPr>
      <w:r>
        <w:rPr>
          <w:rFonts w:ascii="Arial" w:cs="Arial" w:eastAsia="Arial" w:hAnsi="Arial"/>
          <w:sz w:val="22"/>
          <w:szCs w:val="22"/>
        </w:rPr>
        <w:t xml:space="preserve">Normalization: percentages relative to total tokens processed in window.</w:t>
      </w:r>
    </w:p>
    <w:p>
      <w:pPr>
        <w:pStyle w:val="ListParagraph"/>
        <w:numPr>
          <w:ilvl w:val="0"/>
          <w:numId w:val="2"/>
        </w:numPr>
        <w:spacing w:after="40" w:before="40"/>
      </w:pPr>
      <w:r>
        <w:rPr>
          <w:rFonts w:ascii="Arial" w:cs="Arial" w:eastAsia="Arial" w:hAnsi="Arial"/>
          <w:sz w:val="22"/>
          <w:szCs w:val="22"/>
        </w:rPr>
        <w:t xml:space="preserve">Color coding: green (healthy), amber (cold/low), red (dead/critical).</w:t>
      </w:r>
    </w:p>
    <w:p>
      <w:pPr>
        <w:pStyle w:val="ListParagraph"/>
        <w:numPr>
          <w:ilvl w:val="0"/>
          <w:numId w:val="2"/>
        </w:numPr>
        <w:spacing w:after="40" w:before="40"/>
      </w:pPr>
      <w:r>
        <w:rPr>
          <w:rFonts w:ascii="Arial" w:cs="Arial" w:eastAsia="Arial" w:hAnsi="Arial"/>
          <w:sz w:val="22"/>
          <w:szCs w:val="22"/>
        </w:rPr>
        <w:t xml:space="preserve">Comparison mode: side-by-side histograms across training checkpoints.</w:t>
      </w:r>
    </w:p>
    <w:p>
      <w:pPr>
        <w:spacing w:after="0" w:before="120"/>
      </w:pPr>
      <w:r>
        <w:t xml:space="preserve"/>
      </w:r>
    </w:p>
    <w:p>
      <w:pPr>
        <w:pStyle w:val="Heading2"/>
        <w:spacing w:after="100" w:before="240"/>
      </w:pPr>
      <w:r>
        <w:rPr>
          <w:rFonts w:ascii="Arial" w:cs="Arial" w:eastAsia="Arial" w:hAnsi="Arial"/>
          <w:b/>
          <w:bCs/>
          <w:color w:val="2980B9"/>
          <w:sz w:val="26"/>
          <w:szCs w:val="26"/>
        </w:rPr>
        <w:t xml:space="preserve">Feature 4 — Training-Time Live Alerts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from moewatch import MoEWatch</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watcher = MoEWatch(model)</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watcher.attach(trainer)   # works with HuggingFace Trainer</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[Step 1000] ✅ All experts active, entropy: 2.81</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[Step 2000] ⚠  Expert 11 cold  (util: 0.3%)</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[Step 3000] ❌  Expert 11 DEAD. Entropy drop 45%.</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[Step 3000] 💡 Suggestion: raise aux_loss_coef to 0.04</w:t>
            </w:r>
          </w:p>
        </w:tc>
      </w:tr>
    </w:tbl>
    <w:p>
      <w:pPr>
        <w:spacing w:after="0" w:before="80"/>
      </w:pPr>
      <w:r>
        <w:t xml:space="preserve"/>
      </w:r>
    </w:p>
    <w:p>
      <w:pPr>
        <w:pStyle w:val="ListParagraph"/>
        <w:numPr>
          <w:ilvl w:val="0"/>
          <w:numId w:val="2"/>
        </w:numPr>
        <w:spacing w:after="40" w:before="40"/>
      </w:pPr>
      <w:r>
        <w:rPr>
          <w:rFonts w:ascii="Arial" w:cs="Arial" w:eastAsia="Arial" w:hAnsi="Arial"/>
          <w:sz w:val="22"/>
          <w:szCs w:val="22"/>
        </w:rPr>
        <w:t xml:space="preserve">Trainer integration: HuggingFace Trainer callbacks (TrainerCallback interface).</w:t>
      </w:r>
    </w:p>
    <w:p>
      <w:pPr>
        <w:pStyle w:val="ListParagraph"/>
        <w:numPr>
          <w:ilvl w:val="0"/>
          <w:numId w:val="2"/>
        </w:numPr>
        <w:spacing w:after="40" w:before="40"/>
      </w:pPr>
      <w:r>
        <w:rPr>
          <w:rFonts w:ascii="Arial" w:cs="Arial" w:eastAsia="Arial" w:hAnsi="Arial"/>
          <w:sz w:val="22"/>
          <w:szCs w:val="22"/>
        </w:rPr>
        <w:t xml:space="preserve">Standalone mode: step-based hooks for custom training loops.</w:t>
      </w:r>
    </w:p>
    <w:p>
      <w:pPr>
        <w:pStyle w:val="ListParagraph"/>
        <w:numPr>
          <w:ilvl w:val="0"/>
          <w:numId w:val="2"/>
        </w:numPr>
        <w:spacing w:after="40" w:before="40"/>
      </w:pPr>
      <w:r>
        <w:rPr>
          <w:rFonts w:ascii="Arial" w:cs="Arial" w:eastAsia="Arial" w:hAnsi="Arial"/>
          <w:sz w:val="22"/>
          <w:szCs w:val="22"/>
        </w:rPr>
        <w:t xml:space="preserve">Alert levels: INFO (normal), WARN (degrading), ERROR (critical collapse).</w:t>
      </w:r>
    </w:p>
    <w:p>
      <w:pPr>
        <w:pStyle w:val="ListParagraph"/>
        <w:numPr>
          <w:ilvl w:val="0"/>
          <w:numId w:val="2"/>
        </w:numPr>
        <w:spacing w:after="40" w:before="40"/>
      </w:pPr>
      <w:r>
        <w:rPr>
          <w:rFonts w:ascii="Arial" w:cs="Arial" w:eastAsia="Arial" w:hAnsi="Arial"/>
          <w:sz w:val="22"/>
          <w:szCs w:val="22"/>
        </w:rPr>
        <w:t xml:space="preserve">Configurable frequency: default every 100 steps, configurable.</w:t>
      </w:r>
    </w:p>
    <w:p>
      <w:pPr>
        <w:pStyle w:val="ListParagraph"/>
        <w:numPr>
          <w:ilvl w:val="0"/>
          <w:numId w:val="2"/>
        </w:numPr>
        <w:spacing w:after="40" w:before="40"/>
      </w:pPr>
      <w:r>
        <w:rPr>
          <w:rFonts w:ascii="Arial" w:cs="Arial" w:eastAsia="Arial" w:hAnsi="Arial"/>
          <w:sz w:val="22"/>
          <w:szCs w:val="22"/>
        </w:rPr>
        <w:t xml:space="preserve">Silent mode: structured JSON output for integration with existing logging.</w:t>
      </w:r>
    </w:p>
    <w:p>
      <w:pPr>
        <w:spacing w:after="0" w:before="200"/>
      </w:pPr>
      <w:r>
        <w:t xml:space="preserve"/>
      </w:r>
    </w:p>
    <w:p>
      <w:pPr>
        <w:pStyle w:val="Heading1"/>
        <w:pBdr>
          <w:bottom w:val="single" w:color="2980B9" w:sz="8" w:space="4"/>
        </w:pBdr>
        <w:spacing w:after="160" w:before="360"/>
      </w:pPr>
      <w:r>
        <w:rPr>
          <w:rFonts w:ascii="Arial" w:cs="Arial" w:eastAsia="Arial" w:hAnsi="Arial"/>
          <w:b/>
          <w:bCs/>
          <w:color w:val="1A3C5E"/>
          <w:sz w:val="32"/>
          <w:szCs w:val="32"/>
        </w:rPr>
        <w:t xml:space="preserve">8. Diagnostic API Reference</w:t>
      </w:r>
    </w:p>
    <w:p>
      <w:pPr>
        <w:pStyle w:val="Heading2"/>
        <w:spacing w:after="100" w:before="240"/>
      </w:pPr>
      <w:r>
        <w:rPr>
          <w:rFonts w:ascii="Arial" w:cs="Arial" w:eastAsia="Arial" w:hAnsi="Arial"/>
          <w:b/>
          <w:bCs/>
          <w:color w:val="2980B9"/>
          <w:sz w:val="26"/>
          <w:szCs w:val="26"/>
        </w:rPr>
        <w:t xml:space="preserve">8.1 audit() — Primary API</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from moewatch import audit</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report = audit(</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model,           # any HuggingFace MoE model</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dataloader,      # optional: sample batches</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steps=50,        # how many batches to sample</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report.summary()          # full human-readable report</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report.dead_experts()     # list of dead/cold experts</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report.routing_entropy()  # per-layer entropy scores</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report.utilization()      # per-expert token %</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report.recommendations()  # fix suggestions (v0.2)</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report.to_json()          # machine-readable export</w:t>
            </w:r>
          </w:p>
        </w:tc>
      </w:tr>
    </w:tbl>
    <w:p>
      <w:pPr>
        <w:spacing w:after="0" w:before="120"/>
      </w:pPr>
      <w:r>
        <w:t xml:space="preserve"/>
      </w:r>
    </w:p>
    <w:p>
      <w:pPr>
        <w:pStyle w:val="Heading2"/>
        <w:spacing w:after="100" w:before="240"/>
      </w:pPr>
      <w:r>
        <w:rPr>
          <w:rFonts w:ascii="Arial" w:cs="Arial" w:eastAsia="Arial" w:hAnsi="Arial"/>
          <w:b/>
          <w:bCs/>
          <w:color w:val="2980B9"/>
          <w:sz w:val="26"/>
          <w:szCs w:val="26"/>
        </w:rPr>
        <w:t xml:space="preserve">8.2 MoEWatch — Training-Time Monitor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from moewatch import MoEWatch, WatchConfig</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config = WatchConfig(</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dead_threshold=0.001,   # 0.1% default</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entropy_warn=0.6,       # 60% of max</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entropy_critical=0.4,   # 40% of max</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window_steps=500,       # rolling window</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sample_every=10,        # overhead control</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log_every=100,          # alert frequency</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output='console',       # or 'json'</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 </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watcher = MoEWatch(model, config=config)</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watcher.attach(trainer)</w:t>
            </w:r>
          </w:p>
        </w:tc>
      </w:tr>
      <w:tr>
        <w:tc>
          <w:tcPr>
            <w:tcW w:type="dxa" w:w="9360"/>
            <w:tcBorders>
              <w:top w:val="none" w:color="FFFFFF" w:sz="0"/>
              <w:left w:val="none" w:color="FFFFFF" w:sz="0"/>
              <w:bottom w:val="none" w:color="FFFFFF" w:sz="0"/>
              <w:right w:val="none" w:color="FFFFFF" w:sz="0"/>
            </w:tcBorders>
            <w:shd w:fill="F0F3F4" w:val="clear"/>
            <w:tcMar>
              <w:top w:type="dxa" w:w="40"/>
              <w:left w:type="dxa" w:w="200"/>
              <w:bottom w:type="dxa" w:w="0"/>
              <w:right w:type="dxa" w:w="200"/>
            </w:tcMar>
          </w:tcPr>
          <w:p>
            <w:pPr>
              <w:spacing w:after="0" w:before="0"/>
            </w:pPr>
            <w:r>
              <w:rPr>
                <w:rFonts w:ascii="Courier New" w:cs="Courier New" w:eastAsia="Courier New" w:hAnsi="Courier New"/>
                <w:color w:val="1A3C5E"/>
                <w:sz w:val="18"/>
                <w:szCs w:val="18"/>
              </w:rPr>
              <w:t xml:space="preserve">watcher.detach()           # clean removal when done</w:t>
            </w:r>
          </w:p>
        </w:tc>
      </w:tr>
    </w:tbl>
    <w:p>
      <w:pPr>
        <w:spacing w:after="0" w:before="120"/>
      </w:pPr>
      <w:r>
        <w:t xml:space="preserve"/>
      </w:r>
    </w:p>
    <w:p>
      <w:pPr>
        <w:pStyle w:val="Heading2"/>
        <w:spacing w:after="100" w:before="240"/>
      </w:pPr>
      <w:r>
        <w:rPr>
          <w:rFonts w:ascii="Arial" w:cs="Arial" w:eastAsia="Arial" w:hAnsi="Arial"/>
          <w:b/>
          <w:bCs/>
          <w:color w:val="2980B9"/>
          <w:sz w:val="26"/>
          <w:szCs w:val="26"/>
        </w:rPr>
        <w:t xml:space="preserve">8.3 Auto-Detection of Router Layers</w:t>
      </w:r>
    </w:p>
    <w:p>
      <w:pPr>
        <w:spacing w:after="60" w:before="60"/>
      </w:pPr>
      <w:r>
        <w:rPr>
          <w:rFonts w:ascii="Arial" w:cs="Arial" w:eastAsia="Arial" w:hAnsi="Arial"/>
          <w:sz w:val="22"/>
          <w:szCs w:val="22"/>
        </w:rPr>
        <w:t xml:space="preserve">A key engineering challenge: different MoE architectures structure their router modules differently. moewatch implements a two-pass auto-detection strategy:</w:t>
      </w:r>
    </w:p>
    <w:p>
      <w:pPr>
        <w:spacing w:after="0" w:before="60"/>
      </w:pPr>
      <w:r>
        <w:t xml:space="preserve"/>
      </w:r>
    </w:p>
    <w:p>
      <w:pPr>
        <w:pStyle w:val="ListParagraph"/>
        <w:numPr>
          <w:ilvl w:val="0"/>
          <w:numId w:val="2"/>
        </w:numPr>
        <w:spacing w:after="40" w:before="40"/>
      </w:pPr>
      <w:r>
        <w:rPr>
          <w:rFonts w:ascii="Arial" w:cs="Arial" w:eastAsia="Arial" w:hAnsi="Arial"/>
          <w:sz w:val="22"/>
          <w:szCs w:val="22"/>
        </w:rPr>
        <w:t xml:space="preserve">Named module scan: walks model.named_modules() for known patterns (MixtralSparseMoeBlock, OlmoeMoE, etc.)</w:t>
      </w:r>
    </w:p>
    <w:p>
      <w:pPr>
        <w:pStyle w:val="ListParagraph"/>
        <w:numPr>
          <w:ilvl w:val="0"/>
          <w:numId w:val="2"/>
        </w:numPr>
        <w:spacing w:after="40" w:before="40"/>
      </w:pPr>
      <w:r>
        <w:rPr>
          <w:rFonts w:ascii="Arial" w:cs="Arial" w:eastAsia="Arial" w:hAnsi="Arial"/>
          <w:sz w:val="22"/>
          <w:szCs w:val="22"/>
        </w:rPr>
        <w:t xml:space="preserve">Heuristic fallback: identifies modules with 'router', 'gate', or 'sparse' in class name.</w:t>
      </w:r>
    </w:p>
    <w:p>
      <w:pPr>
        <w:pStyle w:val="ListParagraph"/>
        <w:numPr>
          <w:ilvl w:val="0"/>
          <w:numId w:val="2"/>
        </w:numPr>
        <w:spacing w:after="40" w:before="40"/>
      </w:pPr>
      <w:r>
        <w:rPr>
          <w:rFonts w:ascii="Arial" w:cs="Arial" w:eastAsia="Arial" w:hAnsi="Arial"/>
          <w:sz w:val="22"/>
          <w:szCs w:val="22"/>
        </w:rPr>
        <w:t xml:space="preserve">Manual override: user can specify router_modules=['model.layers.0.block_sparse_moe'] explicitly.</w:t>
      </w:r>
    </w:p>
    <w:p>
      <w:pPr>
        <w:pStyle w:val="ListParagraph"/>
        <w:numPr>
          <w:ilvl w:val="0"/>
          <w:numId w:val="2"/>
        </w:numPr>
        <w:spacing w:after="40" w:before="40"/>
      </w:pPr>
      <w:r>
        <w:rPr>
          <w:rFonts w:ascii="Arial" w:cs="Arial" w:eastAsia="Arial" w:hAnsi="Arial"/>
          <w:sz w:val="22"/>
          <w:szCs w:val="22"/>
        </w:rPr>
        <w:t xml:space="preserve">Graceful failure: if nothing detected, emits a clear warning and returns a no-op watcher rather than crashing.</w:t>
      </w:r>
    </w:p>
    <w:p>
      <w:pPr>
        <w:spacing w:after="0" w:before="200"/>
      </w:pPr>
      <w:r>
        <w:t xml:space="preserve"/>
      </w:r>
    </w:p>
    <w:p>
      <w:pPr>
        <w:pStyle w:val="Heading1"/>
        <w:pBdr>
          <w:bottom w:val="single" w:color="2980B9" w:sz="8" w:space="4"/>
        </w:pBdr>
        <w:spacing w:after="160" w:before="360"/>
      </w:pPr>
      <w:r>
        <w:rPr>
          <w:rFonts w:ascii="Arial" w:cs="Arial" w:eastAsia="Arial" w:hAnsi="Arial"/>
          <w:b/>
          <w:bCs/>
          <w:color w:val="1A3C5E"/>
          <w:sz w:val="32"/>
          <w:szCs w:val="32"/>
        </w:rPr>
        <w:t xml:space="preserve">9. Metrics Reference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2520"/>
        <w:gridCol w:w="2160"/>
        <w:gridCol w:w="2520"/>
      </w:tblGrid>
      <w:tr>
        <w:trPr>
          <w:tblHeader/>
        </w:trPr>
        <w:tc>
          <w:tcPr>
            <w:tcW w:type="dxa" w:w="216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Metric</w:t>
            </w:r>
          </w:p>
        </w:tc>
        <w:tc>
          <w:tcPr>
            <w:tcW w:type="dxa" w:w="252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Formula</w:t>
            </w:r>
          </w:p>
        </w:tc>
        <w:tc>
          <w:tcPr>
            <w:tcW w:type="dxa" w:w="216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Healthy Range</w:t>
            </w:r>
          </w:p>
        </w:tc>
        <w:tc>
          <w:tcPr>
            <w:tcW w:type="dxa" w:w="252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Alert Threshold</w:t>
            </w:r>
          </w:p>
        </w:tc>
      </w:tr>
      <w:tr>
        <w:tc>
          <w:tcPr>
            <w:tcW w:type="dxa" w:w="216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Expert Utilization</w:t>
            </w:r>
          </w:p>
        </w:tc>
        <w:tc>
          <w:tcPr>
            <w:tcW w:type="dxa" w:w="25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tokens_to_expert_i / total_tokens</w:t>
            </w:r>
          </w:p>
        </w:tc>
        <w:tc>
          <w:tcPr>
            <w:tcW w:type="dxa" w:w="216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&gt; 1% per expert</w:t>
            </w:r>
          </w:p>
        </w:tc>
        <w:tc>
          <w:tcPr>
            <w:tcW w:type="dxa" w:w="25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&lt; 0.1% = dead</w:t>
            </w:r>
          </w:p>
        </w:tc>
      </w:tr>
      <w:tr>
        <w:tc>
          <w:tcPr>
            <w:tcW w:type="dxa" w:w="216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Routing Entropy</w:t>
            </w:r>
          </w:p>
        </w:tc>
        <w:tc>
          <w:tcPr>
            <w:tcW w:type="dxa" w:w="252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H = -Σ p_i × log(p_i)</w:t>
            </w:r>
          </w:p>
        </w:tc>
        <w:tc>
          <w:tcPr>
            <w:tcW w:type="dxa" w:w="216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&gt; 80% of max entropy</w:t>
            </w:r>
          </w:p>
        </w:tc>
        <w:tc>
          <w:tcPr>
            <w:tcW w:type="dxa" w:w="252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&lt; 50% = critical</w:t>
            </w:r>
          </w:p>
        </w:tc>
      </w:tr>
      <w:tr>
        <w:tc>
          <w:tcPr>
            <w:tcW w:type="dxa" w:w="216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Load Imbalance Score</w:t>
            </w:r>
          </w:p>
        </w:tc>
        <w:tc>
          <w:tcPr>
            <w:tcW w:type="dxa" w:w="25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max_util / mean_util</w:t>
            </w:r>
          </w:p>
        </w:tc>
        <w:tc>
          <w:tcPr>
            <w:tcW w:type="dxa" w:w="216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&lt; 3×</w:t>
            </w:r>
          </w:p>
        </w:tc>
        <w:tc>
          <w:tcPr>
            <w:tcW w:type="dxa" w:w="25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&gt; 5× = alert</w:t>
            </w:r>
          </w:p>
        </w:tc>
      </w:tr>
      <w:tr>
        <w:tc>
          <w:tcPr>
            <w:tcW w:type="dxa" w:w="216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Entropy Trend</w:t>
            </w:r>
          </w:p>
        </w:tc>
        <w:tc>
          <w:tcPr>
            <w:tcW w:type="dxa" w:w="252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ΔH over last 500 steps</w:t>
            </w:r>
          </w:p>
        </w:tc>
        <w:tc>
          <w:tcPr>
            <w:tcW w:type="dxa" w:w="216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Stable or increasing</w:t>
            </w:r>
          </w:p>
        </w:tc>
        <w:tc>
          <w:tcPr>
            <w:tcW w:type="dxa" w:w="252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Drop &gt; 20% = warn</w:t>
            </w:r>
          </w:p>
        </w:tc>
      </w:tr>
      <w:tr>
        <w:tc>
          <w:tcPr>
            <w:tcW w:type="dxa" w:w="216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Cold Expert Duration</w:t>
            </w:r>
          </w:p>
        </w:tc>
        <w:tc>
          <w:tcPr>
            <w:tcW w:type="dxa" w:w="25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Steps since last selection</w:t>
            </w:r>
          </w:p>
        </w:tc>
        <w:tc>
          <w:tcPr>
            <w:tcW w:type="dxa" w:w="216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&lt; 200 steps cold</w:t>
            </w:r>
          </w:p>
        </w:tc>
        <w:tc>
          <w:tcPr>
            <w:tcW w:type="dxa" w:w="25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&gt; 500 steps = dead</w:t>
            </w:r>
          </w:p>
        </w:tc>
      </w:tr>
    </w:tbl>
    <w:p>
      <w:pPr>
        <w:spacing w:after="0" w:before="80"/>
      </w:pPr>
      <w:r>
        <w:t xml:space="preserve"/>
      </w:r>
    </w:p>
    <w:p>
      <w:pPr>
        <w:spacing w:after="40" w:before="40"/>
      </w:pPr>
      <w:r>
        <w:rPr>
          <w:rFonts w:ascii="Arial" w:cs="Arial" w:eastAsia="Arial" w:hAnsi="Arial"/>
          <w:i/>
          <w:iCs/>
          <w:color w:val="555555"/>
          <w:sz w:val="20"/>
          <w:szCs w:val="20"/>
        </w:rPr>
        <w:t xml:space="preserve">All thresholds are configurable via WatchConfig. Defaults are derived from empirical observations in the MoE training literature: Switch Transformer, Mixtral, and DeepSeek-MoE papers.</w:t>
      </w:r>
    </w:p>
    <w:p>
      <w:pPr>
        <w:spacing w:after="0" w:before="200"/>
      </w:pPr>
      <w:r>
        <w:t xml:space="preserve"/>
      </w:r>
    </w:p>
    <w:p>
      <w:pPr>
        <w:pStyle w:val="Heading1"/>
        <w:pBdr>
          <w:bottom w:val="single" w:color="2980B9" w:sz="8" w:space="4"/>
        </w:pBdr>
        <w:spacing w:after="160" w:before="360"/>
      </w:pPr>
      <w:r>
        <w:rPr>
          <w:rFonts w:ascii="Arial" w:cs="Arial" w:eastAsia="Arial" w:hAnsi="Arial"/>
          <w:b/>
          <w:bCs/>
          <w:color w:val="1A3C5E"/>
          <w:sz w:val="32"/>
          <w:szCs w:val="32"/>
        </w:rPr>
        <w:t xml:space="preserve">10. Areas Covered</w:t>
      </w:r>
    </w:p>
    <w:p>
      <w:pPr>
        <w:pStyle w:val="Heading2"/>
        <w:spacing w:after="100" w:before="240"/>
      </w:pPr>
      <w:r>
        <w:rPr>
          <w:rFonts w:ascii="Arial" w:cs="Arial" w:eastAsia="Arial" w:hAnsi="Arial"/>
          <w:b/>
          <w:bCs/>
          <w:color w:val="2980B9"/>
          <w:sz w:val="26"/>
          <w:szCs w:val="26"/>
        </w:rPr>
        <w:t xml:space="preserve">10.1 MoE Training Diagnostics</w:t>
      </w:r>
    </w:p>
    <w:p>
      <w:pPr>
        <w:pStyle w:val="ListParagraph"/>
        <w:numPr>
          <w:ilvl w:val="0"/>
          <w:numId w:val="2"/>
        </w:numPr>
        <w:spacing w:after="40" w:before="40"/>
      </w:pPr>
      <w:r>
        <w:rPr>
          <w:rFonts w:ascii="Arial" w:cs="Arial" w:eastAsia="Arial" w:hAnsi="Arial"/>
          <w:sz w:val="22"/>
          <w:szCs w:val="22"/>
        </w:rPr>
        <w:t xml:space="preserve">Expert collapse detection (dead and cold experts).</w:t>
      </w:r>
    </w:p>
    <w:p>
      <w:pPr>
        <w:pStyle w:val="ListParagraph"/>
        <w:numPr>
          <w:ilvl w:val="0"/>
          <w:numId w:val="2"/>
        </w:numPr>
        <w:spacing w:after="40" w:before="40"/>
      </w:pPr>
      <w:r>
        <w:rPr>
          <w:rFonts w:ascii="Arial" w:cs="Arial" w:eastAsia="Arial" w:hAnsi="Arial"/>
          <w:sz w:val="22"/>
          <w:szCs w:val="22"/>
        </w:rPr>
        <w:t xml:space="preserve">Router entropy tracking over training time.</w:t>
      </w:r>
    </w:p>
    <w:p>
      <w:pPr>
        <w:pStyle w:val="ListParagraph"/>
        <w:numPr>
          <w:ilvl w:val="0"/>
          <w:numId w:val="2"/>
        </w:numPr>
        <w:spacing w:after="40" w:before="40"/>
      </w:pPr>
      <w:r>
        <w:rPr>
          <w:rFonts w:ascii="Arial" w:cs="Arial" w:eastAsia="Arial" w:hAnsi="Arial"/>
          <w:sz w:val="22"/>
          <w:szCs w:val="22"/>
        </w:rPr>
        <w:t xml:space="preserve">Load balance quality measurement.</w:t>
      </w:r>
    </w:p>
    <w:p>
      <w:pPr>
        <w:pStyle w:val="ListParagraph"/>
        <w:numPr>
          <w:ilvl w:val="0"/>
          <w:numId w:val="2"/>
        </w:numPr>
        <w:spacing w:after="40" w:before="40"/>
      </w:pPr>
      <w:r>
        <w:rPr>
          <w:rFonts w:ascii="Arial" w:cs="Arial" w:eastAsia="Arial" w:hAnsi="Arial"/>
          <w:sz w:val="22"/>
          <w:szCs w:val="22"/>
        </w:rPr>
        <w:t xml:space="preserve">Training instability early warning.</w:t>
      </w:r>
    </w:p>
    <w:p>
      <w:pPr>
        <w:pStyle w:val="ListParagraph"/>
        <w:numPr>
          <w:ilvl w:val="0"/>
          <w:numId w:val="2"/>
        </w:numPr>
        <w:spacing w:after="40" w:before="40"/>
      </w:pPr>
      <w:r>
        <w:rPr>
          <w:rFonts w:ascii="Arial" w:cs="Arial" w:eastAsia="Arial" w:hAnsi="Arial"/>
          <w:sz w:val="22"/>
          <w:szCs w:val="22"/>
        </w:rPr>
        <w:t xml:space="preserve">Auxiliary loss effectiveness assessment.</w:t>
      </w:r>
    </w:p>
    <w:p>
      <w:pPr>
        <w:spacing w:after="0" w:before="80"/>
      </w:pPr>
      <w:r>
        <w:t xml:space="preserve"/>
      </w:r>
    </w:p>
    <w:p>
      <w:pPr>
        <w:pStyle w:val="Heading2"/>
        <w:spacing w:after="100" w:before="240"/>
      </w:pPr>
      <w:r>
        <w:rPr>
          <w:rFonts w:ascii="Arial" w:cs="Arial" w:eastAsia="Arial" w:hAnsi="Arial"/>
          <w:b/>
          <w:bCs/>
          <w:color w:val="2980B9"/>
          <w:sz w:val="26"/>
          <w:szCs w:val="26"/>
        </w:rPr>
        <w:t xml:space="preserve">10.2 Model Compatibility Layer</w:t>
      </w:r>
    </w:p>
    <w:p>
      <w:pPr>
        <w:pStyle w:val="ListParagraph"/>
        <w:numPr>
          <w:ilvl w:val="0"/>
          <w:numId w:val="2"/>
        </w:numPr>
        <w:spacing w:after="40" w:before="40"/>
      </w:pPr>
      <w:r>
        <w:rPr>
          <w:rFonts w:ascii="Arial" w:cs="Arial" w:eastAsia="Arial" w:hAnsi="Arial"/>
          <w:sz w:val="22"/>
          <w:szCs w:val="22"/>
        </w:rPr>
        <w:t xml:space="preserve">HuggingFace Transformers MoE model auto-detection.</w:t>
      </w:r>
    </w:p>
    <w:p>
      <w:pPr>
        <w:pStyle w:val="ListParagraph"/>
        <w:numPr>
          <w:ilvl w:val="0"/>
          <w:numId w:val="2"/>
        </w:numPr>
        <w:spacing w:after="40" w:before="40"/>
      </w:pPr>
      <w:r>
        <w:rPr>
          <w:rFonts w:ascii="Arial" w:cs="Arial" w:eastAsia="Arial" w:hAnsi="Arial"/>
          <w:sz w:val="22"/>
          <w:szCs w:val="22"/>
        </w:rPr>
        <w:t xml:space="preserve">Router module identification across architectures.</w:t>
      </w:r>
    </w:p>
    <w:p>
      <w:pPr>
        <w:pStyle w:val="ListParagraph"/>
        <w:numPr>
          <w:ilvl w:val="0"/>
          <w:numId w:val="2"/>
        </w:numPr>
        <w:spacing w:after="40" w:before="40"/>
      </w:pPr>
      <w:r>
        <w:rPr>
          <w:rFonts w:ascii="Arial" w:cs="Arial" w:eastAsia="Arial" w:hAnsi="Arial"/>
          <w:sz w:val="22"/>
          <w:szCs w:val="22"/>
        </w:rPr>
        <w:t xml:space="preserve">Custom model support via manual configuration.</w:t>
      </w:r>
    </w:p>
    <w:p>
      <w:pPr>
        <w:pStyle w:val="ListParagraph"/>
        <w:numPr>
          <w:ilvl w:val="0"/>
          <w:numId w:val="2"/>
        </w:numPr>
        <w:spacing w:after="40" w:before="40"/>
      </w:pPr>
      <w:r>
        <w:rPr>
          <w:rFonts w:ascii="Arial" w:cs="Arial" w:eastAsia="Arial" w:hAnsi="Arial"/>
          <w:sz w:val="22"/>
          <w:szCs w:val="22"/>
        </w:rPr>
        <w:t xml:space="preserve">Hook attachment and detachment lifecycle management.</w:t>
      </w:r>
    </w:p>
    <w:p>
      <w:pPr>
        <w:spacing w:after="0" w:before="80"/>
      </w:pPr>
      <w:r>
        <w:t xml:space="preserve"/>
      </w:r>
    </w:p>
    <w:p>
      <w:pPr>
        <w:pStyle w:val="Heading2"/>
        <w:spacing w:after="100" w:before="240"/>
      </w:pPr>
      <w:r>
        <w:rPr>
          <w:rFonts w:ascii="Arial" w:cs="Arial" w:eastAsia="Arial" w:hAnsi="Arial"/>
          <w:b/>
          <w:bCs/>
          <w:color w:val="2980B9"/>
          <w:sz w:val="26"/>
          <w:szCs w:val="26"/>
        </w:rPr>
        <w:t xml:space="preserve">10.3 Reporting and Output</w:t>
      </w:r>
    </w:p>
    <w:p>
      <w:pPr>
        <w:pStyle w:val="ListParagraph"/>
        <w:numPr>
          <w:ilvl w:val="0"/>
          <w:numId w:val="2"/>
        </w:numPr>
        <w:spacing w:after="40" w:before="40"/>
      </w:pPr>
      <w:r>
        <w:rPr>
          <w:rFonts w:ascii="Arial" w:cs="Arial" w:eastAsia="Arial" w:hAnsi="Arial"/>
          <w:sz w:val="22"/>
          <w:szCs w:val="22"/>
        </w:rPr>
        <w:t xml:space="preserve">Terminal-friendly colored ASCII reports.</w:t>
      </w:r>
    </w:p>
    <w:p>
      <w:pPr>
        <w:pStyle w:val="ListParagraph"/>
        <w:numPr>
          <w:ilvl w:val="0"/>
          <w:numId w:val="2"/>
        </w:numPr>
        <w:spacing w:after="40" w:before="40"/>
      </w:pPr>
      <w:r>
        <w:rPr>
          <w:rFonts w:ascii="Arial" w:cs="Arial" w:eastAsia="Arial" w:hAnsi="Arial"/>
          <w:sz w:val="22"/>
          <w:szCs w:val="22"/>
        </w:rPr>
        <w:t xml:space="preserve">JSON export for integration with existing tooling.</w:t>
      </w:r>
    </w:p>
    <w:p>
      <w:pPr>
        <w:pStyle w:val="ListParagraph"/>
        <w:numPr>
          <w:ilvl w:val="0"/>
          <w:numId w:val="2"/>
        </w:numPr>
        <w:spacing w:after="40" w:before="40"/>
      </w:pPr>
      <w:r>
        <w:rPr>
          <w:rFonts w:ascii="Arial" w:cs="Arial" w:eastAsia="Arial" w:hAnsi="Arial"/>
          <w:sz w:val="22"/>
          <w:szCs w:val="22"/>
        </w:rPr>
        <w:t xml:space="preserve">Per-layer and per-expert granularity.</w:t>
      </w:r>
    </w:p>
    <w:p>
      <w:pPr>
        <w:pStyle w:val="ListParagraph"/>
        <w:numPr>
          <w:ilvl w:val="0"/>
          <w:numId w:val="2"/>
        </w:numPr>
        <w:spacing w:after="40" w:before="40"/>
      </w:pPr>
      <w:r>
        <w:rPr>
          <w:rFonts w:ascii="Arial" w:cs="Arial" w:eastAsia="Arial" w:hAnsi="Arial"/>
          <w:sz w:val="22"/>
          <w:szCs w:val="22"/>
        </w:rPr>
        <w:t xml:space="preserve">Historical trend data with configurable retention window.</w:t>
      </w:r>
    </w:p>
    <w:p>
      <w:pPr>
        <w:spacing w:after="0" w:before="80"/>
      </w:pPr>
      <w:r>
        <w:t xml:space="preserve"/>
      </w:r>
    </w:p>
    <w:p>
      <w:pPr>
        <w:pStyle w:val="Heading2"/>
        <w:spacing w:after="100" w:before="240"/>
      </w:pPr>
      <w:r>
        <w:rPr>
          <w:rFonts w:ascii="Arial" w:cs="Arial" w:eastAsia="Arial" w:hAnsi="Arial"/>
          <w:b/>
          <w:bCs/>
          <w:color w:val="2980B9"/>
          <w:sz w:val="26"/>
          <w:szCs w:val="26"/>
        </w:rPr>
        <w:t xml:space="preserve">10.4 Developer Experience</w:t>
      </w:r>
    </w:p>
    <w:p>
      <w:pPr>
        <w:pStyle w:val="ListParagraph"/>
        <w:numPr>
          <w:ilvl w:val="0"/>
          <w:numId w:val="2"/>
        </w:numPr>
        <w:spacing w:after="40" w:before="40"/>
      </w:pPr>
      <w:r>
        <w:rPr>
          <w:rFonts w:ascii="Arial" w:cs="Arial" w:eastAsia="Arial" w:hAnsi="Arial"/>
          <w:sz w:val="22"/>
          <w:szCs w:val="22"/>
        </w:rPr>
        <w:t xml:space="preserve">Single-line API: audit(model) returns full report.</w:t>
      </w:r>
    </w:p>
    <w:p>
      <w:pPr>
        <w:pStyle w:val="ListParagraph"/>
        <w:numPr>
          <w:ilvl w:val="0"/>
          <w:numId w:val="2"/>
        </w:numPr>
        <w:spacing w:after="40" w:before="40"/>
      </w:pPr>
      <w:r>
        <w:rPr>
          <w:rFonts w:ascii="Arial" w:cs="Arial" w:eastAsia="Arial" w:hAnsi="Arial"/>
          <w:sz w:val="22"/>
          <w:szCs w:val="22"/>
        </w:rPr>
        <w:t xml:space="preserve">Zero configuration required for standard HuggingFace models.</w:t>
      </w:r>
    </w:p>
    <w:p>
      <w:pPr>
        <w:pStyle w:val="ListParagraph"/>
        <w:numPr>
          <w:ilvl w:val="0"/>
          <w:numId w:val="2"/>
        </w:numPr>
        <w:spacing w:after="40" w:before="40"/>
      </w:pPr>
      <w:r>
        <w:rPr>
          <w:rFonts w:ascii="Arial" w:cs="Arial" w:eastAsia="Arial" w:hAnsi="Arial"/>
          <w:sz w:val="22"/>
          <w:szCs w:val="22"/>
        </w:rPr>
        <w:t xml:space="preserve">Clean error messages when architecture unrecognized.</w:t>
      </w:r>
    </w:p>
    <w:p>
      <w:pPr>
        <w:pStyle w:val="ListParagraph"/>
        <w:numPr>
          <w:ilvl w:val="0"/>
          <w:numId w:val="2"/>
        </w:numPr>
        <w:spacing w:after="40" w:before="40"/>
      </w:pPr>
      <w:r>
        <w:rPr>
          <w:rFonts w:ascii="Arial" w:cs="Arial" w:eastAsia="Arial" w:hAnsi="Arial"/>
          <w:sz w:val="22"/>
          <w:szCs w:val="22"/>
        </w:rPr>
        <w:t xml:space="preserve">Colab and Kaggle free tier explicitly documented and tested.</w:t>
      </w:r>
    </w:p>
    <w:p>
      <w:pPr>
        <w:spacing w:after="0" w:before="80"/>
      </w:pPr>
      <w:r>
        <w:t xml:space="preserve"/>
      </w:r>
    </w:p>
    <w:p>
      <w:pPr>
        <w:pStyle w:val="Heading2"/>
        <w:spacing w:after="100" w:before="240"/>
      </w:pPr>
      <w:r>
        <w:rPr>
          <w:rFonts w:ascii="Arial" w:cs="Arial" w:eastAsia="Arial" w:hAnsi="Arial"/>
          <w:b/>
          <w:bCs/>
          <w:color w:val="2980B9"/>
          <w:sz w:val="26"/>
          <w:szCs w:val="26"/>
        </w:rPr>
        <w:t xml:space="preserve">10.5 Areas Intentionally NOT Covered in v0.1</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040"/>
        <w:gridCol w:w="4320"/>
      </w:tblGrid>
      <w:tr>
        <w:trPr>
          <w:tblHeader/>
        </w:trPr>
        <w:tc>
          <w:tcPr>
            <w:tcW w:type="dxa" w:w="504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Out of Scope</w:t>
            </w:r>
          </w:p>
        </w:tc>
        <w:tc>
          <w:tcPr>
            <w:tcW w:type="dxa" w:w="432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Reason / Target Version</w:t>
            </w:r>
          </w:p>
        </w:tc>
      </w:tr>
      <w:tr>
        <w:tc>
          <w:tcPr>
            <w:tcW w:type="dxa" w:w="504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Expert specialization analysis (what each expert learned)</w:t>
            </w:r>
          </w:p>
        </w:tc>
        <w:tc>
          <w:tcPr>
            <w:tcW w:type="dxa" w:w="43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v0.2</w:t>
            </w:r>
          </w:p>
        </w:tc>
      </w:tr>
      <w:tr>
        <w:tc>
          <w:tcPr>
            <w:tcW w:type="dxa" w:w="504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Automatic model patching or weight modification</w:t>
            </w:r>
          </w:p>
        </w:tc>
        <w:tc>
          <w:tcPr>
            <w:tcW w:type="dxa" w:w="432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Never planned</w:t>
            </w:r>
          </w:p>
        </w:tc>
      </w:tr>
      <w:tr>
        <w:tc>
          <w:tcPr>
            <w:tcW w:type="dxa" w:w="504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Multi-GPU distributed aggregation (DDP / FSDP)</w:t>
            </w:r>
          </w:p>
        </w:tc>
        <w:tc>
          <w:tcPr>
            <w:tcW w:type="dxa" w:w="43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v0.3, community contribution</w:t>
            </w:r>
          </w:p>
        </w:tc>
      </w:tr>
      <w:tr>
        <w:tc>
          <w:tcPr>
            <w:tcW w:type="dxa" w:w="504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TensorBoard / WandB integration</w:t>
            </w:r>
          </w:p>
        </w:tc>
        <w:tc>
          <w:tcPr>
            <w:tcW w:type="dxa" w:w="432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v0.2 based on user demand</w:t>
            </w:r>
          </w:p>
        </w:tc>
      </w:tr>
      <w:tr>
        <w:tc>
          <w:tcPr>
            <w:tcW w:type="dxa" w:w="504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Router architecture recommendations</w:t>
            </w:r>
          </w:p>
        </w:tc>
        <w:tc>
          <w:tcPr>
            <w:tcW w:type="dxa" w:w="43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v1.0</w:t>
            </w:r>
          </w:p>
        </w:tc>
      </w:tr>
      <w:tr>
        <w:tc>
          <w:tcPr>
            <w:tcW w:type="dxa" w:w="504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Static weight analysis of saved checkpoints</w:t>
            </w:r>
          </w:p>
        </w:tc>
        <w:tc>
          <w:tcPr>
            <w:tcW w:type="dxa" w:w="432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model-clinic already does this well</w:t>
            </w:r>
          </w:p>
        </w:tc>
      </w:tr>
    </w:tbl>
    <w:p>
      <w:pPr>
        <w:spacing w:after="0" w:before="200"/>
      </w:pPr>
      <w:r>
        <w:t xml:space="preserve"/>
      </w:r>
    </w:p>
    <w:p>
      <w:pPr>
        <w:pStyle w:val="Heading1"/>
        <w:pBdr>
          <w:bottom w:val="single" w:color="2980B9" w:sz="8" w:space="4"/>
        </w:pBdr>
        <w:spacing w:after="160" w:before="360"/>
      </w:pPr>
      <w:r>
        <w:rPr>
          <w:rFonts w:ascii="Arial" w:cs="Arial" w:eastAsia="Arial" w:hAnsi="Arial"/>
          <w:b/>
          <w:bCs/>
          <w:color w:val="1A3C5E"/>
          <w:sz w:val="32"/>
          <w:szCs w:val="32"/>
        </w:rPr>
        <w:t xml:space="preserve">11. Known Limitations</w:t>
      </w:r>
    </w:p>
    <w:p>
      <w:pPr>
        <w:pStyle w:val="Heading2"/>
        <w:spacing w:after="100" w:before="240"/>
      </w:pPr>
      <w:r>
        <w:rPr>
          <w:rFonts w:ascii="Arial" w:cs="Arial" w:eastAsia="Arial" w:hAnsi="Arial"/>
          <w:b/>
          <w:bCs/>
          <w:color w:val="2980B9"/>
          <w:sz w:val="26"/>
          <w:szCs w:val="26"/>
        </w:rPr>
        <w:t xml:space="preserve">11.1 v0.1 Limitations (Honest)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520"/>
        <w:gridCol w:w="2520"/>
        <w:gridCol w:w="4320"/>
      </w:tblGrid>
      <w:tr>
        <w:trPr>
          <w:tblHeader/>
        </w:trPr>
        <w:tc>
          <w:tcPr>
            <w:tcW w:type="dxa" w:w="252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Limitation</w:t>
            </w:r>
          </w:p>
        </w:tc>
        <w:tc>
          <w:tcPr>
            <w:tcW w:type="dxa" w:w="252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Impact</w:t>
            </w:r>
          </w:p>
        </w:tc>
        <w:tc>
          <w:tcPr>
            <w:tcW w:type="dxa" w:w="432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Mitigation / Roadmap</w:t>
            </w:r>
          </w:p>
        </w:tc>
      </w:tr>
      <w:tr>
        <w:tc>
          <w:tcPr>
            <w:tcW w:type="dxa" w:w="25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Single GPU only</w:t>
            </w:r>
          </w:p>
        </w:tc>
        <w:tc>
          <w:tcPr>
            <w:tcW w:type="dxa" w:w="25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No distributed training support</w:t>
            </w:r>
          </w:p>
        </w:tc>
        <w:tc>
          <w:tcPr>
            <w:tcW w:type="dxa" w:w="43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v0.3 community contribution surface</w:t>
            </w:r>
          </w:p>
        </w:tc>
      </w:tr>
      <w:tr>
        <w:tc>
          <w:tcPr>
            <w:tcW w:type="dxa" w:w="252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Heuristic router detection</w:t>
            </w:r>
          </w:p>
        </w:tc>
        <w:tc>
          <w:tcPr>
            <w:tcW w:type="dxa" w:w="252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May miss custom MoE architectures</w:t>
            </w:r>
          </w:p>
        </w:tc>
        <w:tc>
          <w:tcPr>
            <w:tcW w:type="dxa" w:w="432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Manual override config provided</w:t>
            </w:r>
          </w:p>
        </w:tc>
      </w:tr>
      <w:tr>
        <w:tc>
          <w:tcPr>
            <w:tcW w:type="dxa" w:w="25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No weight-level analysis</w:t>
            </w:r>
          </w:p>
        </w:tc>
        <w:tc>
          <w:tcPr>
            <w:tcW w:type="dxa" w:w="25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Cannot diagnose checkpoint quality statically</w:t>
            </w:r>
          </w:p>
        </w:tc>
        <w:tc>
          <w:tcPr>
            <w:tcW w:type="dxa" w:w="43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model-clinic recommended for that use case</w:t>
            </w:r>
          </w:p>
        </w:tc>
      </w:tr>
      <w:tr>
        <w:tc>
          <w:tcPr>
            <w:tcW w:type="dxa" w:w="252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No WandB / TensorBoard integration</w:t>
            </w:r>
          </w:p>
        </w:tc>
        <w:tc>
          <w:tcPr>
            <w:tcW w:type="dxa" w:w="252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Requires separate logging setup</w:t>
            </w:r>
          </w:p>
        </w:tc>
        <w:tc>
          <w:tcPr>
            <w:tcW w:type="dxa" w:w="432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v0.2 based on demand</w:t>
            </w:r>
          </w:p>
        </w:tc>
      </w:tr>
      <w:tr>
        <w:tc>
          <w:tcPr>
            <w:tcW w:type="dxa" w:w="25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Python 3.8+ required</w:t>
            </w:r>
          </w:p>
        </w:tc>
        <w:tc>
          <w:tcPr>
            <w:tcW w:type="dxa" w:w="25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Older environments not supported</w:t>
            </w:r>
          </w:p>
        </w:tc>
        <w:tc>
          <w:tcPr>
            <w:tcW w:type="dxa" w:w="43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Documented clearly</w:t>
            </w:r>
          </w:p>
        </w:tc>
      </w:tr>
      <w:tr>
        <w:tc>
          <w:tcPr>
            <w:tcW w:type="dxa" w:w="252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No automatic fix application</w:t>
            </w:r>
          </w:p>
        </w:tc>
        <w:tc>
          <w:tcPr>
            <w:tcW w:type="dxa" w:w="252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Diagnosis only; fixes are manual</w:t>
            </w:r>
          </w:p>
        </w:tc>
        <w:tc>
          <w:tcPr>
            <w:tcW w:type="dxa" w:w="432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Suggestions engine in v0.2</w:t>
            </w:r>
          </w:p>
        </w:tc>
      </w:tr>
      <w:tr>
        <w:tc>
          <w:tcPr>
            <w:tcW w:type="dxa" w:w="25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Router pattern coverage</w:t>
            </w:r>
          </w:p>
        </w:tc>
        <w:tc>
          <w:tcPr>
            <w:tcW w:type="dxa" w:w="25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DeepSeek-MoE not in v0.1</w:t>
            </w:r>
          </w:p>
        </w:tc>
        <w:tc>
          <w:tcPr>
            <w:tcW w:type="dxa" w:w="43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v0.2 explicit target</w:t>
            </w:r>
          </w:p>
        </w:tc>
      </w:tr>
    </w:tbl>
    <w:p>
      <w:pPr>
        <w:spacing w:after="0" w:before="120"/>
      </w:pPr>
      <w:r>
        <w:t xml:space="preserve"/>
      </w:r>
    </w:p>
    <w:p>
      <w:pPr>
        <w:pStyle w:val="Heading2"/>
        <w:spacing w:after="100" w:before="240"/>
      </w:pPr>
      <w:r>
        <w:rPr>
          <w:rFonts w:ascii="Arial" w:cs="Arial" w:eastAsia="Arial" w:hAnsi="Arial"/>
          <w:b/>
          <w:bCs/>
          <w:color w:val="2980B9"/>
          <w:sz w:val="26"/>
          <w:szCs w:val="26"/>
        </w:rPr>
        <w:t xml:space="preserve">11.2 Architectural Decisions with Trade-offs</w:t>
      </w:r>
    </w:p>
    <w:p>
      <w:pPr>
        <w:pStyle w:val="ListParagraph"/>
        <w:numPr>
          <w:ilvl w:val="0"/>
          <w:numId w:val="2"/>
        </w:numPr>
        <w:spacing w:after="40" w:before="40"/>
      </w:pPr>
      <w:r>
        <w:rPr>
          <w:rFonts w:ascii="Arial" w:cs="Arial" w:eastAsia="Arial" w:hAnsi="Arial"/>
          <w:sz w:val="22"/>
          <w:szCs w:val="22"/>
        </w:rPr>
        <w:t xml:space="preserve">Ring buffer design caps memory footprint but loses older step data if buffer is too small.</w:t>
      </w:r>
    </w:p>
    <w:p>
      <w:pPr>
        <w:pStyle w:val="ListParagraph"/>
        <w:numPr>
          <w:ilvl w:val="0"/>
          <w:numId w:val="2"/>
        </w:numPr>
        <w:spacing w:after="40" w:before="40"/>
      </w:pPr>
      <w:r>
        <w:rPr>
          <w:rFonts w:ascii="Arial" w:cs="Arial" w:eastAsia="Arial" w:hAnsi="Arial"/>
          <w:sz w:val="22"/>
          <w:szCs w:val="22"/>
        </w:rPr>
        <w:t xml:space="preserve">Sampling every N steps misses intra-interval collapses — acceptable at default N=10.</w:t>
      </w:r>
    </w:p>
    <w:p>
      <w:pPr>
        <w:pStyle w:val="ListParagraph"/>
        <w:numPr>
          <w:ilvl w:val="0"/>
          <w:numId w:val="2"/>
        </w:numPr>
        <w:spacing w:after="40" w:before="40"/>
      </w:pPr>
      <w:r>
        <w:rPr>
          <w:rFonts w:ascii="Arial" w:cs="Arial" w:eastAsia="Arial" w:hAnsi="Arial"/>
          <w:sz w:val="22"/>
          <w:szCs w:val="22"/>
        </w:rPr>
        <w:t xml:space="preserve">CPU-side statistics computation avoids GPU overhead but adds host-device transfer latency.</w:t>
      </w:r>
    </w:p>
    <w:p>
      <w:pPr>
        <w:pStyle w:val="ListParagraph"/>
        <w:numPr>
          <w:ilvl w:val="0"/>
          <w:numId w:val="2"/>
        </w:numPr>
        <w:spacing w:after="40" w:before="40"/>
      </w:pPr>
      <w:r>
        <w:rPr>
          <w:rFonts w:ascii="Arial" w:cs="Arial" w:eastAsia="Arial" w:hAnsi="Arial"/>
          <w:sz w:val="22"/>
          <w:szCs w:val="22"/>
        </w:rPr>
        <w:t xml:space="preserve">Hook-based approach is model-agnostic but requires router output to be accessible as a tensor.</w:t>
      </w:r>
    </w:p>
    <w:p>
      <w:pPr>
        <w:spacing w:after="0" w:before="200"/>
      </w:pPr>
      <w:r>
        <w:t xml:space="preserve"/>
      </w:r>
    </w:p>
    <w:p>
      <w:pPr>
        <w:pStyle w:val="Heading1"/>
        <w:pBdr>
          <w:bottom w:val="single" w:color="2980B9" w:sz="8" w:space="4"/>
        </w:pBdr>
        <w:spacing w:after="160" w:before="360"/>
      </w:pPr>
      <w:r>
        <w:rPr>
          <w:rFonts w:ascii="Arial" w:cs="Arial" w:eastAsia="Arial" w:hAnsi="Arial"/>
          <w:b/>
          <w:bCs/>
          <w:color w:val="1A3C5E"/>
          <w:sz w:val="32"/>
          <w:szCs w:val="32"/>
        </w:rPr>
        <w:t xml:space="preserve">12. Functions &amp; Classes Reference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80"/>
        <w:gridCol w:w="2160"/>
        <w:gridCol w:w="4320"/>
      </w:tblGrid>
      <w:tr>
        <w:trPr>
          <w:tblHeader/>
        </w:trPr>
        <w:tc>
          <w:tcPr>
            <w:tcW w:type="dxa" w:w="288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Function / Class</w:t>
            </w:r>
          </w:p>
        </w:tc>
        <w:tc>
          <w:tcPr>
            <w:tcW w:type="dxa" w:w="216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Module</w:t>
            </w:r>
          </w:p>
        </w:tc>
        <w:tc>
          <w:tcPr>
            <w:tcW w:type="dxa" w:w="432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Description</w:t>
            </w:r>
          </w:p>
        </w:tc>
      </w:tr>
      <w:tr>
        <w:tc>
          <w:tcPr>
            <w:tcW w:type="dxa" w:w="288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audit(model, dataloader, steps)</w:t>
            </w:r>
          </w:p>
        </w:tc>
        <w:tc>
          <w:tcPr>
            <w:tcW w:type="dxa" w:w="216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moewatch</w:t>
            </w:r>
          </w:p>
        </w:tc>
        <w:tc>
          <w:tcPr>
            <w:tcW w:type="dxa" w:w="43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Run full diagnostic pass. Returns AuditReport.</w:t>
            </w:r>
          </w:p>
        </w:tc>
      </w:tr>
      <w:tr>
        <w:tc>
          <w:tcPr>
            <w:tcW w:type="dxa" w:w="288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MoEWatch(model, config)</w:t>
            </w:r>
          </w:p>
        </w:tc>
        <w:tc>
          <w:tcPr>
            <w:tcW w:type="dxa" w:w="216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moewatch</w:t>
            </w:r>
          </w:p>
        </w:tc>
        <w:tc>
          <w:tcPr>
            <w:tcW w:type="dxa" w:w="432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Training-time monitor. Attach to HF Trainer.</w:t>
            </w:r>
          </w:p>
        </w:tc>
      </w:tr>
      <w:tr>
        <w:tc>
          <w:tcPr>
            <w:tcW w:type="dxa" w:w="288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WatchConfig(**kwargs)</w:t>
            </w:r>
          </w:p>
        </w:tc>
        <w:tc>
          <w:tcPr>
            <w:tcW w:type="dxa" w:w="216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moewatch.config</w:t>
            </w:r>
          </w:p>
        </w:tc>
        <w:tc>
          <w:tcPr>
            <w:tcW w:type="dxa" w:w="43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Configuration dataclass for all thresholds.</w:t>
            </w:r>
          </w:p>
        </w:tc>
      </w:tr>
      <w:tr>
        <w:tc>
          <w:tcPr>
            <w:tcW w:type="dxa" w:w="288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HookManager</w:t>
            </w:r>
          </w:p>
        </w:tc>
        <w:tc>
          <w:tcPr>
            <w:tcW w:type="dxa" w:w="216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moewatch.hooks</w:t>
            </w:r>
          </w:p>
        </w:tc>
        <w:tc>
          <w:tcPr>
            <w:tcW w:type="dxa" w:w="432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Manages attach/detach lifecycle for all router hooks.</w:t>
            </w:r>
          </w:p>
        </w:tc>
      </w:tr>
      <w:tr>
        <w:tc>
          <w:tcPr>
            <w:tcW w:type="dxa" w:w="288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RouterHook</w:t>
            </w:r>
          </w:p>
        </w:tc>
        <w:tc>
          <w:tcPr>
            <w:tcW w:type="dxa" w:w="216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moewatch.hooks</w:t>
            </w:r>
          </w:p>
        </w:tc>
        <w:tc>
          <w:tcPr>
            <w:tcW w:type="dxa" w:w="43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Forward hook capturing routing logits per step.</w:t>
            </w:r>
          </w:p>
        </w:tc>
      </w:tr>
      <w:tr>
        <w:tc>
          <w:tcPr>
            <w:tcW w:type="dxa" w:w="288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StatCollector</w:t>
            </w:r>
          </w:p>
        </w:tc>
        <w:tc>
          <w:tcPr>
            <w:tcW w:type="dxa" w:w="216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moewatch.collector</w:t>
            </w:r>
          </w:p>
        </w:tc>
        <w:tc>
          <w:tcPr>
            <w:tcW w:type="dxa" w:w="432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Asynchronous aggregation of routing statistics.</w:t>
            </w:r>
          </w:p>
        </w:tc>
      </w:tr>
      <w:tr>
        <w:tc>
          <w:tcPr>
            <w:tcW w:type="dxa" w:w="288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RingBuffer</w:t>
            </w:r>
          </w:p>
        </w:tc>
        <w:tc>
          <w:tcPr>
            <w:tcW w:type="dxa" w:w="216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moewatch.collector</w:t>
            </w:r>
          </w:p>
        </w:tc>
        <w:tc>
          <w:tcPr>
            <w:tcW w:type="dxa" w:w="43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Fixed-memory circular buffer for step data.</w:t>
            </w:r>
          </w:p>
        </w:tc>
      </w:tr>
      <w:tr>
        <w:tc>
          <w:tcPr>
            <w:tcW w:type="dxa" w:w="288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EntropyAnalyzer</w:t>
            </w:r>
          </w:p>
        </w:tc>
        <w:tc>
          <w:tcPr>
            <w:tcW w:type="dxa" w:w="216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moewatch.analyzer</w:t>
            </w:r>
          </w:p>
        </w:tc>
        <w:tc>
          <w:tcPr>
            <w:tcW w:type="dxa" w:w="432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Computes Shannon entropy per layer per step.</w:t>
            </w:r>
          </w:p>
        </w:tc>
      </w:tr>
      <w:tr>
        <w:tc>
          <w:tcPr>
            <w:tcW w:type="dxa" w:w="288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CollapseDetector</w:t>
            </w:r>
          </w:p>
        </w:tc>
        <w:tc>
          <w:tcPr>
            <w:tcW w:type="dxa" w:w="216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moewatch.analyzer</w:t>
            </w:r>
          </w:p>
        </w:tc>
        <w:tc>
          <w:tcPr>
            <w:tcW w:type="dxa" w:w="43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Dead/cold expert identification logic.</w:t>
            </w:r>
          </w:p>
        </w:tc>
      </w:tr>
      <w:tr>
        <w:tc>
          <w:tcPr>
            <w:tcW w:type="dxa" w:w="288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AuditReport</w:t>
            </w:r>
          </w:p>
        </w:tc>
        <w:tc>
          <w:tcPr>
            <w:tcW w:type="dxa" w:w="216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moewatch.report</w:t>
            </w:r>
          </w:p>
        </w:tc>
        <w:tc>
          <w:tcPr>
            <w:tcW w:type="dxa" w:w="432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Structured report object with all diagnostic methods.</w:t>
            </w:r>
          </w:p>
        </w:tc>
      </w:tr>
      <w:tr>
        <w:tc>
          <w:tcPr>
            <w:tcW w:type="dxa" w:w="288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CLIReporter</w:t>
            </w:r>
          </w:p>
        </w:tc>
        <w:tc>
          <w:tcPr>
            <w:tcW w:type="dxa" w:w="216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moewatch.report</w:t>
            </w:r>
          </w:p>
        </w:tc>
        <w:tc>
          <w:tcPr>
            <w:tcW w:type="dxa" w:w="43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Terminal ASCII formatter for human-readable output.</w:t>
            </w:r>
          </w:p>
        </w:tc>
      </w:tr>
      <w:tr>
        <w:tc>
          <w:tcPr>
            <w:tcW w:type="dxa" w:w="288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report.summary()</w:t>
            </w:r>
          </w:p>
        </w:tc>
        <w:tc>
          <w:tcPr>
            <w:tcW w:type="dxa" w:w="216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AuditReport</w:t>
            </w:r>
          </w:p>
        </w:tc>
        <w:tc>
          <w:tcPr>
            <w:tcW w:type="dxa" w:w="432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Full human-readable diagnostic summary.</w:t>
            </w:r>
          </w:p>
        </w:tc>
      </w:tr>
      <w:tr>
        <w:tc>
          <w:tcPr>
            <w:tcW w:type="dxa" w:w="288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report.dead_experts()</w:t>
            </w:r>
          </w:p>
        </w:tc>
        <w:tc>
          <w:tcPr>
            <w:tcW w:type="dxa" w:w="216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AuditReport</w:t>
            </w:r>
          </w:p>
        </w:tc>
        <w:tc>
          <w:tcPr>
            <w:tcW w:type="dxa" w:w="43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Returns list of dead and cold experts per layer.</w:t>
            </w:r>
          </w:p>
        </w:tc>
      </w:tr>
      <w:tr>
        <w:tc>
          <w:tcPr>
            <w:tcW w:type="dxa" w:w="288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report.routing_entropy()</w:t>
            </w:r>
          </w:p>
        </w:tc>
        <w:tc>
          <w:tcPr>
            <w:tcW w:type="dxa" w:w="216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AuditReport</w:t>
            </w:r>
          </w:p>
        </w:tc>
        <w:tc>
          <w:tcPr>
            <w:tcW w:type="dxa" w:w="432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Per-layer entropy scores and trend.</w:t>
            </w:r>
          </w:p>
        </w:tc>
      </w:tr>
      <w:tr>
        <w:tc>
          <w:tcPr>
            <w:tcW w:type="dxa" w:w="288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report.utilization()</w:t>
            </w:r>
          </w:p>
        </w:tc>
        <w:tc>
          <w:tcPr>
            <w:tcW w:type="dxa" w:w="216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AuditReport</w:t>
            </w:r>
          </w:p>
        </w:tc>
        <w:tc>
          <w:tcPr>
            <w:tcW w:type="dxa" w:w="43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Per-expert token distribution histogram.</w:t>
            </w:r>
          </w:p>
        </w:tc>
      </w:tr>
      <w:tr>
        <w:tc>
          <w:tcPr>
            <w:tcW w:type="dxa" w:w="288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report.recommendations()</w:t>
            </w:r>
          </w:p>
        </w:tc>
        <w:tc>
          <w:tcPr>
            <w:tcW w:type="dxa" w:w="216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AuditReport</w:t>
            </w:r>
          </w:p>
        </w:tc>
        <w:tc>
          <w:tcPr>
            <w:tcW w:type="dxa" w:w="432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Actionable fix suggestions (v0.2).</w:t>
            </w:r>
          </w:p>
        </w:tc>
      </w:tr>
      <w:tr>
        <w:tc>
          <w:tcPr>
            <w:tcW w:type="dxa" w:w="288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report.to_json()</w:t>
            </w:r>
          </w:p>
        </w:tc>
        <w:tc>
          <w:tcPr>
            <w:tcW w:type="dxa" w:w="216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AuditReport</w:t>
            </w:r>
          </w:p>
        </w:tc>
        <w:tc>
          <w:tcPr>
            <w:tcW w:type="dxa" w:w="43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Machine-readable JSON export.</w:t>
            </w:r>
          </w:p>
        </w:tc>
      </w:tr>
    </w:tbl>
    <w:p>
      <w:pPr>
        <w:spacing w:after="0" w:before="200"/>
      </w:pPr>
      <w:r>
        <w:t xml:space="preserve"/>
      </w:r>
    </w:p>
    <w:p>
      <w:pPr>
        <w:pStyle w:val="Heading1"/>
        <w:pBdr>
          <w:bottom w:val="single" w:color="2980B9" w:sz="8" w:space="4"/>
        </w:pBdr>
        <w:spacing w:after="160" w:before="360"/>
      </w:pPr>
      <w:r>
        <w:rPr>
          <w:rFonts w:ascii="Arial" w:cs="Arial" w:eastAsia="Arial" w:hAnsi="Arial"/>
          <w:b/>
          <w:bCs/>
          <w:color w:val="1A3C5E"/>
          <w:sz w:val="32"/>
          <w:szCs w:val="32"/>
        </w:rPr>
        <w:t xml:space="preserve">13. Competitive Positioning (Post-Research)</w:t>
      </w:r>
    </w:p>
    <w:p>
      <w:pPr>
        <w:spacing w:after="60" w:before="60"/>
      </w:pPr>
      <w:r>
        <w:rPr>
          <w:rFonts w:ascii="Arial" w:cs="Arial" w:eastAsia="Arial" w:hAnsi="Arial"/>
          <w:sz w:val="22"/>
          <w:szCs w:val="22"/>
        </w:rPr>
        <w:t xml:space="preserve">The following table reflects the complete honest landscape after researching all five named tools directly:</w:t>
      </w:r>
    </w:p>
    <w:p>
      <w:pPr>
        <w:spacing w:after="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3600"/>
        <w:gridCol w:w="3600"/>
      </w:tblGrid>
      <w:tr>
        <w:trPr>
          <w:tblHeader/>
        </w:trPr>
        <w:tc>
          <w:tcPr>
            <w:tcW w:type="dxa" w:w="216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Tool</w:t>
            </w:r>
          </w:p>
        </w:tc>
        <w:tc>
          <w:tcPr>
            <w:tcW w:type="dxa" w:w="360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c>
          <w:tcPr>
            <w:tcW w:type="dxa" w:w="360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What moewatch Adds</w:t>
            </w:r>
          </w:p>
        </w:tc>
      </w:tr>
      <w:tr>
        <w:tc>
          <w:tcPr>
            <w:tcW w:type="dxa" w:w="216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LibMoE (TMLR 2024)</w:t>
            </w:r>
          </w:p>
        </w:tc>
        <w:tc>
          <w:tcPr>
            <w:tcW w:type="dxa" w:w="360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Full MoE research framework with routing diagnostics and regime-level analysis</w:t>
            </w:r>
          </w:p>
        </w:tc>
        <w:tc>
          <w:tcPr>
            <w:tcW w:type="dxa" w:w="360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moewatch: no framework adoption required</w:t>
            </w:r>
          </w:p>
        </w:tc>
      </w:tr>
      <w:tr>
        <w:tc>
          <w:tcPr>
            <w:tcW w:type="dxa" w:w="216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model-clinic (v0.4.2)</w:t>
            </w:r>
          </w:p>
        </w:tc>
        <w:tc>
          <w:tcPr>
            <w:tcW w:type="dxa" w:w="360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Static weight analysis, 20+ conditions including moe_router_collapse detection</w:t>
            </w:r>
          </w:p>
        </w:tc>
        <w:tc>
          <w:tcPr>
            <w:tcW w:type="dxa" w:w="360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moewatch: live forward pass diagnostics, not checkpoint inspection</w:t>
            </w:r>
          </w:p>
        </w:tc>
      </w:tr>
      <w:tr>
        <w:tc>
          <w:tcPr>
            <w:tcW w:type="dxa" w:w="216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chuk-lazarus (MLX)</w:t>
            </w:r>
          </w:p>
        </w:tc>
        <w:tc>
          <w:tcPr>
            <w:tcW w:type="dxa" w:w="360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MoEHooks with get_expert_utilization() and get_router_entropy() — Apple Silicon only</w:t>
            </w:r>
          </w:p>
        </w:tc>
        <w:tc>
          <w:tcPr>
            <w:tcW w:type="dxa" w:w="360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moewatch: identical goal, Linux/CUDA/PyTorch-native</w:t>
            </w:r>
          </w:p>
        </w:tc>
      </w:tr>
      <w:tr>
        <w:tc>
          <w:tcPr>
            <w:tcW w:type="dxa" w:w="216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MLXLMProbe (MLX)</w:t>
            </w:r>
          </w:p>
        </w:tc>
        <w:tc>
          <w:tcPr>
            <w:tcW w:type="dxa" w:w="360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Router diagnostics on Apple Silicon, GPT-OSS only, macOS 15+ required</w:t>
            </w:r>
          </w:p>
        </w:tc>
        <w:tc>
          <w:tcPr>
            <w:tcW w:type="dxa" w:w="360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moewatch: same diagnostics for every HF MoE on any Linux/GPU</w:t>
            </w:r>
          </w:p>
        </w:tc>
      </w:tr>
      <w:tr>
        <w:tc>
          <w:tcPr>
            <w:tcW w:type="dxa" w:w="216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WandB / TensorBoard</w:t>
            </w:r>
          </w:p>
        </w:tc>
        <w:tc>
          <w:tcPr>
            <w:tcW w:type="dxa" w:w="360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General training metric logging, no MoE-specific diagnostics</w:t>
            </w:r>
          </w:p>
        </w:tc>
        <w:tc>
          <w:tcPr>
            <w:tcW w:type="dxa" w:w="360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moewatch: MoE-specific layer on top, complementary</w:t>
            </w:r>
          </w:p>
        </w:tc>
      </w:tr>
      <w:tr>
        <w:tc>
          <w:tcPr>
            <w:tcW w:type="dxa" w:w="216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Custom scripts</w:t>
            </w:r>
          </w:p>
        </w:tc>
        <w:tc>
          <w:tcPr>
            <w:tcW w:type="dxa" w:w="360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Researcher one-off analysis code, not reusable, rediscovered per project</w:t>
            </w:r>
          </w:p>
        </w:tc>
        <w:tc>
          <w:tcPr>
            <w:tcW w:type="dxa" w:w="360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moewatch: reusable, maintained, pip-installable</w:t>
            </w:r>
          </w:p>
        </w:tc>
      </w:tr>
    </w:tbl>
    <w:p>
      <w:pPr>
        <w:spacing w:after="0" w:before="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980B9" w:sz="1"/>
              <w:left w:val="single" w:color="2980B9" w:sz="1"/>
              <w:bottom w:val="single" w:color="2980B9" w:sz="1"/>
              <w:right w:val="single" w:color="2980B9" w:sz="1"/>
            </w:tcBorders>
            <w:shd w:fill="EAF2FB" w:val="clear"/>
            <w:tcMar>
              <w:top w:type="dxa" w:w="120"/>
              <w:left w:type="dxa" w:w="200"/>
              <w:bottom w:type="dxa" w:w="120"/>
              <w:right w:type="dxa" w:w="200"/>
            </w:tcMar>
          </w:tcPr>
          <w:p>
            <w:pPr>
              <w:jc w:val="center"/>
            </w:pPr>
            <w:r>
              <w:rPr>
                <w:rFonts w:ascii="Arial" w:cs="Arial" w:eastAsia="Arial" w:hAnsi="Arial"/>
                <w:b/>
                <w:bCs/>
                <w:color w:val="1A3C5E"/>
                <w:sz w:val="22"/>
                <w:szCs w:val="22"/>
              </w:rPr>
              <w:t xml:space="preserve">Single-sentence positioning:
moewatch is the only tool that lets you audit any existing HuggingFace MoE model with one pip install and one line of code — on any Linux/GPU environment, with live training-time diagnostics.</w:t>
            </w:r>
          </w:p>
        </w:tc>
      </w:tr>
    </w:tbl>
    <w:p>
      <w:pPr>
        <w:spacing w:after="0" w:before="200"/>
      </w:pPr>
      <w:r>
        <w:t xml:space="preserve"/>
      </w:r>
    </w:p>
    <w:p>
      <w:pPr>
        <w:pStyle w:val="Heading1"/>
        <w:pBdr>
          <w:bottom w:val="single" w:color="2980B9" w:sz="8" w:space="4"/>
        </w:pBdr>
        <w:spacing w:after="160" w:before="360"/>
      </w:pPr>
      <w:r>
        <w:rPr>
          <w:rFonts w:ascii="Arial" w:cs="Arial" w:eastAsia="Arial" w:hAnsi="Arial"/>
          <w:b/>
          <w:bCs/>
          <w:color w:val="1A3C5E"/>
          <w:sz w:val="32"/>
          <w:szCs w:val="32"/>
        </w:rPr>
        <w:t xml:space="preserve">14. Development Roadmap</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80"/>
        <w:gridCol w:w="1080"/>
        <w:gridCol w:w="4320"/>
        <w:gridCol w:w="2280"/>
      </w:tblGrid>
      <w:tr>
        <w:trPr>
          <w:tblHeader/>
        </w:trPr>
        <w:tc>
          <w:tcPr>
            <w:tcW w:type="dxa" w:w="168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Phase</w:t>
            </w:r>
          </w:p>
        </w:tc>
        <w:tc>
          <w:tcPr>
            <w:tcW w:type="dxa" w:w="108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Duration</w:t>
            </w:r>
          </w:p>
        </w:tc>
        <w:tc>
          <w:tcPr>
            <w:tcW w:type="dxa" w:w="432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Deliverable</w:t>
            </w:r>
          </w:p>
        </w:tc>
        <w:tc>
          <w:tcPr>
            <w:tcW w:type="dxa" w:w="228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Validation Env</w:t>
            </w:r>
          </w:p>
        </w:tc>
      </w:tr>
      <w:tr>
        <w:tc>
          <w:tcPr>
            <w:tcW w:type="dxa" w:w="168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Phase 1: Core</w:t>
            </w:r>
          </w:p>
        </w:tc>
        <w:tc>
          <w:tcPr>
            <w:tcW w:type="dxa" w:w="108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Week 1</w:t>
            </w:r>
          </w:p>
        </w:tc>
        <w:tc>
          <w:tcPr>
            <w:tcW w:type="dxa" w:w="43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Hook engine + StatCollector on synthetic MoE</w:t>
            </w:r>
          </w:p>
        </w:tc>
        <w:tc>
          <w:tcPr>
            <w:tcW w:type="dxa" w:w="228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Laptop CPU</w:t>
            </w:r>
          </w:p>
        </w:tc>
      </w:tr>
      <w:tr>
        <w:tc>
          <w:tcPr>
            <w:tcW w:type="dxa" w:w="168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Phase 2: Metrics</w:t>
            </w:r>
          </w:p>
        </w:tc>
        <w:tc>
          <w:tcPr>
            <w:tcW w:type="dxa" w:w="108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Week 2</w:t>
            </w:r>
          </w:p>
        </w:tc>
        <w:tc>
          <w:tcPr>
            <w:tcW w:type="dxa" w:w="432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Entropy + utilization + dead expert detection</w:t>
            </w:r>
          </w:p>
        </w:tc>
        <w:tc>
          <w:tcPr>
            <w:tcW w:type="dxa" w:w="228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Laptop CPU</w:t>
            </w:r>
          </w:p>
        </w:tc>
      </w:tr>
      <w:tr>
        <w:tc>
          <w:tcPr>
            <w:tcW w:type="dxa" w:w="168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Phase 3: Real Model</w:t>
            </w:r>
          </w:p>
        </w:tc>
        <w:tc>
          <w:tcPr>
            <w:tcW w:type="dxa" w:w="108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Week 3</w:t>
            </w:r>
          </w:p>
        </w:tc>
        <w:tc>
          <w:tcPr>
            <w:tcW w:type="dxa" w:w="43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Attach to OLMoE-1B on Colab T4, fix edge cases</w:t>
            </w:r>
          </w:p>
        </w:tc>
        <w:tc>
          <w:tcPr>
            <w:tcW w:type="dxa" w:w="228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Kaggle / Colab</w:t>
            </w:r>
          </w:p>
        </w:tc>
      </w:tr>
      <w:tr>
        <w:tc>
          <w:tcPr>
            <w:tcW w:type="dxa" w:w="168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Phase 4: Polish</w:t>
            </w:r>
          </w:p>
        </w:tc>
        <w:tc>
          <w:tcPr>
            <w:tcW w:type="dxa" w:w="108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Week 4</w:t>
            </w:r>
          </w:p>
        </w:tc>
        <w:tc>
          <w:tcPr>
            <w:tcW w:type="dxa" w:w="432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Clean API, README, Colab demo notebook, PyPI publish</w:t>
            </w:r>
          </w:p>
        </w:tc>
        <w:tc>
          <w:tcPr>
            <w:tcW w:type="dxa" w:w="228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Colab free tier</w:t>
            </w:r>
          </w:p>
        </w:tc>
      </w:tr>
      <w:tr>
        <w:tc>
          <w:tcPr>
            <w:tcW w:type="dxa" w:w="168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Phase 5: Mixtral</w:t>
            </w:r>
          </w:p>
        </w:tc>
        <w:tc>
          <w:tcPr>
            <w:tcW w:type="dxa" w:w="108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Week 5</w:t>
            </w:r>
          </w:p>
        </w:tc>
        <w:tc>
          <w:tcPr>
            <w:tcW w:type="dxa" w:w="432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Extend auto-detection to Mixtral 8x7B</w:t>
            </w:r>
          </w:p>
        </w:tc>
        <w:tc>
          <w:tcPr>
            <w:tcW w:type="dxa" w:w="228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Kaggle T4</w:t>
            </w:r>
          </w:p>
        </w:tc>
      </w:tr>
      <w:tr>
        <w:tc>
          <w:tcPr>
            <w:tcW w:type="dxa" w:w="168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Phase 6: Community</w:t>
            </w:r>
          </w:p>
        </w:tc>
        <w:tc>
          <w:tcPr>
            <w:tcW w:type="dxa" w:w="108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Ongoing</w:t>
            </w:r>
          </w:p>
        </w:tc>
        <w:tc>
          <w:tcPr>
            <w:tcW w:type="dxa" w:w="432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DeepSeek support, WandB, multi-GPU via PRs</w:t>
            </w:r>
          </w:p>
        </w:tc>
        <w:tc>
          <w:tcPr>
            <w:tcW w:type="dxa" w:w="228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User hardware</w:t>
            </w:r>
          </w:p>
        </w:tc>
      </w:tr>
    </w:tbl>
    <w:p>
      <w:pPr>
        <w:spacing w:after="0" w:before="120"/>
      </w:pPr>
      <w:r>
        <w:t xml:space="preserve"/>
      </w:r>
    </w:p>
    <w:p>
      <w:pPr>
        <w:pStyle w:val="Heading2"/>
        <w:spacing w:after="100" w:before="240"/>
      </w:pPr>
      <w:r>
        <w:rPr>
          <w:rFonts w:ascii="Arial" w:cs="Arial" w:eastAsia="Arial" w:hAnsi="Arial"/>
          <w:b/>
          <w:bCs/>
          <w:color w:val="2980B9"/>
          <w:sz w:val="26"/>
          <w:szCs w:val="26"/>
        </w:rPr>
        <w:t xml:space="preserve">14.1 v0.1 Ship Criteria (Non-Negotiable)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980B9" w:sz="1"/>
              <w:left w:val="single" w:color="2980B9" w:sz="1"/>
              <w:bottom w:val="single" w:color="2980B9" w:sz="1"/>
              <w:right w:val="single" w:color="2980B9" w:sz="1"/>
            </w:tcBorders>
            <w:shd w:fill="EAF2FB" w:val="clear"/>
            <w:tcMar>
              <w:top w:type="dxa" w:w="120"/>
              <w:left w:type="dxa" w:w="200"/>
              <w:bottom w:type="dxa" w:w="120"/>
              <w:right w:type="dxa" w:w="200"/>
            </w:tcMar>
          </w:tcPr>
          <w:p>
            <w:pPr>
              <w:jc w:val="center"/>
            </w:pPr>
            <w:r>
              <w:rPr>
                <w:rFonts w:ascii="Arial" w:cs="Arial" w:eastAsia="Arial" w:hAnsi="Arial"/>
                <w:b/>
                <w:bCs/>
                <w:color w:val="1A3C5E"/>
                <w:sz w:val="22"/>
                <w:szCs w:val="22"/>
              </w:rPr>
              <w:t xml:space="preserve">pip install moewatch works in a fresh Colab environment  •  audit(model) works on OLMoE-1B-7B without configuration  •  Dead expert detection produces correct output on a synthetic collapsed model  •  README is honest about single-GPU scope and acknowledges model-clinic  •  One public Colab demo notebook with real output</w:t>
            </w:r>
          </w:p>
        </w:tc>
      </w:tr>
    </w:tbl>
    <w:p>
      <w:pPr>
        <w:spacing w:after="0" w:before="200"/>
      </w:pPr>
      <w:r>
        <w:t xml:space="preserve"/>
      </w:r>
    </w:p>
    <w:p>
      <w:pPr>
        <w:pStyle w:val="Heading1"/>
        <w:pBdr>
          <w:bottom w:val="single" w:color="2980B9" w:sz="8" w:space="4"/>
        </w:pBdr>
        <w:spacing w:after="160" w:before="360"/>
      </w:pPr>
      <w:r>
        <w:rPr>
          <w:rFonts w:ascii="Arial" w:cs="Arial" w:eastAsia="Arial" w:hAnsi="Arial"/>
          <w:b/>
          <w:bCs/>
          <w:color w:val="1A3C5E"/>
          <w:sz w:val="32"/>
          <w:szCs w:val="32"/>
        </w:rPr>
        <w:t xml:space="preserve">15. Solution Summary</w:t>
      </w:r>
    </w:p>
    <w:p>
      <w:pPr>
        <w:spacing w:after="60" w:before="60"/>
      </w:pPr>
      <w:r>
        <w:rPr>
          <w:rFonts w:ascii="Arial" w:cs="Arial" w:eastAsia="Arial" w:hAnsi="Arial"/>
          <w:sz w:val="22"/>
          <w:szCs w:val="22"/>
        </w:rPr>
        <w:t xml:space="preserve">moewatch solves a confirmed, unoccupied gap in the MoE training tooling ecosystem. The solution is precisely scoped, honestly positioned, and designed to be composable with — not competitive with — the tools that already exist.</w:t>
      </w:r>
    </w:p>
    <w:p>
      <w:pPr>
        <w:spacing w:after="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960"/>
        <w:gridCol w:w="5400"/>
      </w:tblGrid>
      <w:tr>
        <w:trPr>
          <w:tblHeader/>
        </w:trPr>
        <w:tc>
          <w:tcPr>
            <w:tcW w:type="dxa" w:w="396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Problem</w:t>
            </w:r>
          </w:p>
        </w:tc>
        <w:tc>
          <w:tcPr>
            <w:tcW w:type="dxa" w:w="5400"/>
            <w:tcBorders>
              <w:top w:val="single" w:color="AEC6CF" w:sz="1"/>
              <w:left w:val="single" w:color="AEC6CF" w:sz="1"/>
              <w:bottom w:val="single" w:color="AEC6CF" w:sz="1"/>
              <w:right w:val="single" w:color="AEC6CF" w:sz="1"/>
            </w:tcBorders>
            <w:shd w:fill="1A3C5E" w:val="clear"/>
            <w:tcMar>
              <w:top w:type="dxa" w:w="80"/>
              <w:left w:type="dxa" w:w="120"/>
              <w:bottom w:type="dxa" w:w="80"/>
              <w:right w:type="dxa" w:w="120"/>
            </w:tcMar>
          </w:tcPr>
          <w:p>
            <w:r>
              <w:rPr>
                <w:rFonts w:ascii="Arial" w:cs="Arial" w:eastAsia="Arial" w:hAnsi="Arial"/>
                <w:b/>
                <w:bCs/>
                <w:color w:val="FFFFFF"/>
                <w:sz w:val="20"/>
                <w:szCs w:val="20"/>
              </w:rPr>
              <w:t xml:space="preserve">Solution</w:t>
            </w:r>
          </w:p>
        </w:tc>
      </w:tr>
      <w:tr>
        <w:tc>
          <w:tcPr>
            <w:tcW w:type="dxa" w:w="396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Expert collapse discovered after full training run</w:t>
            </w:r>
          </w:p>
        </w:tc>
        <w:tc>
          <w:tcPr>
            <w:tcW w:type="dxa" w:w="540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Live dead expert detection during training, every 100 steps</w:t>
            </w:r>
          </w:p>
        </w:tc>
      </w:tr>
      <w:tr>
        <w:tc>
          <w:tcPr>
            <w:tcW w:type="dxa" w:w="396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Routing entropy not surfaced by standard logging</w:t>
            </w:r>
          </w:p>
        </w:tc>
        <w:tc>
          <w:tcPr>
            <w:tcW w:type="dxa" w:w="540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Shannon entropy per layer, per step, with trend alerts</w:t>
            </w:r>
          </w:p>
        </w:tc>
      </w:tr>
      <w:tr>
        <w:tc>
          <w:tcPr>
            <w:tcW w:type="dxa" w:w="396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No pip-installable tool for existing HF MoE models</w:t>
            </w:r>
          </w:p>
        </w:tc>
        <w:tc>
          <w:tcPr>
            <w:tcW w:type="dxa" w:w="540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pip install moewatch + one line to attach</w:t>
            </w:r>
          </w:p>
        </w:tc>
      </w:tr>
      <w:tr>
        <w:tc>
          <w:tcPr>
            <w:tcW w:type="dxa" w:w="396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Static-only tools (model-clinic) miss live dynamics</w:t>
            </w:r>
          </w:p>
        </w:tc>
        <w:tc>
          <w:tcPr>
            <w:tcW w:type="dxa" w:w="540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Forward-pass hooks, not checkpoint weight inspection</w:t>
            </w:r>
          </w:p>
        </w:tc>
      </w:tr>
      <w:tr>
        <w:tc>
          <w:tcPr>
            <w:tcW w:type="dxa" w:w="396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MLX tools exist but exclude Linux/CUDA researchers</w:t>
            </w:r>
          </w:p>
        </w:tc>
        <w:tc>
          <w:tcPr>
            <w:tcW w:type="dxa" w:w="5400"/>
            <w:tcBorders>
              <w:top w:val="single" w:color="AEC6CF" w:sz="1"/>
              <w:left w:val="single" w:color="AEC6CF" w:sz="1"/>
              <w:bottom w:val="single" w:color="AEC6CF" w:sz="1"/>
              <w:right w:val="single" w:color="AEC6CF" w:sz="1"/>
            </w:tcBorders>
            <w:shd w:fill="FFFFFF" w:val="clear"/>
            <w:tcMar>
              <w:top w:type="dxa" w:w="80"/>
              <w:left w:type="dxa" w:w="120"/>
              <w:bottom w:type="dxa" w:w="80"/>
              <w:right w:type="dxa" w:w="120"/>
            </w:tcMar>
          </w:tcPr>
          <w:p>
            <w:r>
              <w:rPr>
                <w:rFonts w:ascii="Arial" w:cs="Arial" w:eastAsia="Arial" w:hAnsi="Arial"/>
                <w:sz w:val="20"/>
                <w:szCs w:val="20"/>
              </w:rPr>
              <w:t xml:space="preserve">PyTorch-native, Linux-first, Colab-validated</w:t>
            </w:r>
          </w:p>
        </w:tc>
      </w:tr>
      <w:tr>
        <w:tc>
          <w:tcPr>
            <w:tcW w:type="dxa" w:w="396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Researchers write one-off analysis scripts per project</w:t>
            </w:r>
          </w:p>
        </w:tc>
        <w:tc>
          <w:tcPr>
            <w:tcW w:type="dxa" w:w="5400"/>
            <w:tcBorders>
              <w:top w:val="single" w:color="AEC6CF" w:sz="1"/>
              <w:left w:val="single" w:color="AEC6CF" w:sz="1"/>
              <w:bottom w:val="single" w:color="AEC6CF" w:sz="1"/>
              <w:right w:val="single" w:color="AEC6CF" w:sz="1"/>
            </w:tcBorders>
            <w:shd w:fill="F4F6F9" w:val="clear"/>
            <w:tcMar>
              <w:top w:type="dxa" w:w="80"/>
              <w:left w:type="dxa" w:w="120"/>
              <w:bottom w:type="dxa" w:w="80"/>
              <w:right w:type="dxa" w:w="120"/>
            </w:tcMar>
          </w:tcPr>
          <w:p>
            <w:r>
              <w:rPr>
                <w:rFonts w:ascii="Arial" w:cs="Arial" w:eastAsia="Arial" w:hAnsi="Arial"/>
                <w:sz w:val="20"/>
                <w:szCs w:val="20"/>
              </w:rPr>
              <w:t xml:space="preserve">Maintained, reusable library with community surface</w:t>
            </w:r>
          </w:p>
        </w:tc>
      </w:tr>
    </w:tbl>
    <w:p>
      <w:pPr>
        <w:spacing w:after="0" w:before="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A3C5E" w:val="clear"/>
            <w:tcMar>
              <w:top w:type="dxa" w:w="300"/>
              <w:left w:type="dxa" w:w="400"/>
              <w:bottom w:type="dxa" w:w="300"/>
              <w:right w:type="dxa" w:w="400"/>
            </w:tcMar>
          </w:tcPr>
          <w:p>
            <w:pPr>
              <w:jc w:val="center"/>
            </w:pPr>
            <w:r>
              <w:rPr>
                <w:rFonts w:ascii="Arial" w:cs="Arial" w:eastAsia="Arial" w:hAnsi="Arial"/>
                <w:b/>
                <w:bCs/>
                <w:color w:val="FFFFFF"/>
                <w:sz w:val="48"/>
                <w:szCs w:val="48"/>
              </w:rPr>
              <w:t xml:space="preserve">moewatch</w:t>
            </w:r>
          </w:p>
          <w:p>
            <w:pPr>
              <w:spacing w:after="0" w:before="120"/>
              <w:jc w:val="center"/>
            </w:pPr>
            <w:r>
              <w:rPr>
                <w:rFonts w:ascii="Arial" w:cs="Arial" w:eastAsia="Arial" w:hAnsi="Arial"/>
                <w:i/>
                <w:iCs/>
                <w:color w:val="AEC6CF"/>
                <w:sz w:val="24"/>
                <w:szCs w:val="24"/>
              </w:rPr>
              <w:t xml:space="preserve">Built for the researcher who doesn’t have 10 GPUs
but still needs to know if their MoE is collapsing.</w:t>
            </w:r>
          </w:p>
        </w:tc>
      </w:tr>
    </w:tbl>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Arial" w:cs="Arial" w:eastAsia="Arial" w:hAnsi="Arial"/>
      <w:b/>
      <w:bCs/>
      <w:color w:val="1A3C5E"/>
      <w:sz w:val="32"/>
      <w:szCs w:val="32"/>
    </w:rPr>
  </w:style>
  <w:style w:type="paragraph" w:styleId="Heading2">
    <w:name w:val="Heading 2"/>
    <w:basedOn w:val="Normal"/>
    <w:next w:val="Normal"/>
    <w:qFormat/>
    <w:pPr>
      <w:spacing w:after="100" w:before="240"/>
      <w:outlineLvl w:val="1"/>
    </w:pPr>
    <w:rPr>
      <w:rFonts w:ascii="Arial" w:cs="Arial" w:eastAsia="Arial" w:hAnsi="Arial"/>
      <w:b/>
      <w:bCs/>
      <w:color w:val="2980B9"/>
      <w:sz w:val="26"/>
      <w:szCs w:val="26"/>
    </w:rPr>
  </w:style>
  <w:style w:type="paragraph" w:styleId="Heading3">
    <w:name w:val="Heading 3"/>
    <w:basedOn w:val="Normal"/>
    <w:next w:val="Normal"/>
    <w:qFormat/>
    <w:pPr>
      <w:spacing w:after="80" w:before="180"/>
      <w:outlineLvl w:val="2"/>
    </w:pPr>
    <w:rPr>
      <w:rFonts w:ascii="Arial" w:cs="Arial" w:eastAsia="Arial" w:hAnsi="Arial"/>
      <w:b/>
      <w:bCs/>
      <w:color w:val="1A3C5E"/>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2026-06-01T08:24:12.806Z</dcterms:created>
  <dcterms:modified xsi:type="dcterms:W3CDTF">2026-06-01T08:24:12.806Z</dcterms:modified>
</cp:coreProperties>
</file>

<file path=docProps/custom.xml><?xml version="1.0" encoding="utf-8"?>
<Properties xmlns="http://schemas.openxmlformats.org/officeDocument/2006/custom-properties" xmlns:vt="http://schemas.openxmlformats.org/officeDocument/2006/docPropsVTypes"/>
</file>