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4.pdf" ContentType="application/pdf"/>
  <Override PartName="/word/media/rId12.pdf" ContentType="application/pdf"/>
  <Override PartName="/word/media/rId27.pdf" ContentType="application/pdf"/>
  <Override PartName="/word/media/rId17.pdf" ContentType="application/pdf"/>
  <Override PartName="/word/media/rId24.pdf" ContentType="application/pdf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rPr>
          <w:b/>
          <w:bCs/>
        </w:rPr>
        <w:t xml:space="preserve">One Codebook for Every Architecture:</w:t>
      </w:r>
      <w:r>
        <w:br/>
      </w:r>
      <w:r>
        <w:rPr>
          <w:b/>
          <w:bCs/>
        </w:rPr>
        <w:t xml:space="preserve">Asymmetric NormalFloat for Calibration-Free KV-Cache Quantization</w:t>
      </w:r>
    </w:p>
    <w:p>
      <w:pPr>
        <w:pStyle w:val="Author"/>
      </w:pPr>
      <w:r>
        <w:t xml:space="preserve">Andrew H. Bond</w:t>
      </w:r>
    </w:p>
    <w:p>
      <w:pPr>
        <w:pStyle w:val="Date"/>
      </w:pPr>
      <w:r>
        <w:t xml:space="preserve">2026-07-15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Quantizing the key–value (KV) cache is the standard route to long-context LLM inference,</w:t>
      </w:r>
      <w:r>
        <w:t xml:space="preserve"> </w:t>
      </w:r>
      <w:r>
        <w:t xml:space="preserve">and the data-free NormalFloat-4 (NF4) codebook is a popular calibration-free choice. We show</w:t>
      </w:r>
      <w:r>
        <w:t xml:space="preserve"> </w:t>
      </w:r>
      <w:r>
        <w:t xml:space="preserve">that</w:t>
      </w:r>
      <w:r>
        <w:t xml:space="preserve"> </w:t>
      </w:r>
      <w:r>
        <w:rPr>
          <w:b/>
          <w:bCs/>
        </w:rPr>
        <w:t xml:space="preserve">NF4 silently and catastrophically fails on an entire class of models</w:t>
      </w:r>
      <w:r>
        <w:t xml:space="preserve">—those</w:t>
      </w:r>
      <w:r>
        <w:t xml:space="preserve"> </w:t>
      </w:r>
      <w:r>
        <w:t xml:space="preserve">with high-ratio grouped-query attention (GQA)—while appearing excellent on the Llama-family</w:t>
      </w:r>
      <w:r>
        <w:t xml:space="preserve"> </w:t>
      </w:r>
      <w:r>
        <w:t xml:space="preserve">multi-head-attention (MHA) models that dominate published benchmarks. On Qwen2.5-7B (7:1 GQA),</w:t>
      </w:r>
      <w:r>
        <w:t xml:space="preserve"> </w:t>
      </w:r>
      <w:r>
        <w:t xml:space="preserve">4-bit NF4 KV-cache quantization collapses LongBench-qasper from</w:t>
      </w:r>
      <w:r>
        <w:t xml:space="preserve"> </w:t>
      </w:r>
      <w:r>
        <w:rPr>
          <w:b/>
          <w:bCs/>
        </w:rPr>
        <w:t xml:space="preserve">43.8 (fp16) to 4.7</w:t>
      </w:r>
      <w:r>
        <w:t xml:space="preserve"> </w:t>
      </w:r>
      <w:r>
        <w:t xml:space="preserve">and</w:t>
      </w:r>
      <w:r>
        <w:t xml:space="preserve"> </w:t>
      </w:r>
      <w:r>
        <w:t xml:space="preserve">WikiText-2 perplexity from</w:t>
      </w:r>
      <w:r>
        <w:t xml:space="preserve"> </w:t>
      </w:r>
      <w:r>
        <w:rPr>
          <w:b/>
          <w:bCs/>
        </w:rPr>
        <w:t xml:space="preserve">7.46 to 74.7</w:t>
      </w:r>
      <w:r>
        <w:t xml:space="preserve">—degenerate repetition—whereas the same</w:t>
      </w:r>
      <w:r>
        <w:t xml:space="preserve"> </w:t>
      </w:r>
      <w:r>
        <w:t xml:space="preserve">recipe is near-lossless on Llama-2-7B/13B and Mistral-7B. We trace the failure to NF4’s</w:t>
      </w:r>
      <w:r>
        <w:t xml:space="preserve"> </w:t>
      </w:r>
      <w:r>
        <w:rPr>
          <w:i/>
          <w:iCs/>
        </w:rPr>
        <w:t xml:space="preserve">zero-centred, abs-max</w:t>
      </w:r>
      <w:r>
        <w:t xml:space="preserve"> </w:t>
      </w:r>
      <w:r>
        <w:t xml:space="preserve">scaling: KV keys carry a large per-channel DC offset, so a</w:t>
      </w:r>
      <w:r>
        <w:t xml:space="preserve"> </w:t>
      </w:r>
      <w:r>
        <w:t xml:space="preserve">symmetric codebook wastes half of its codes on the empty side, and high-GQA models—which</w:t>
      </w:r>
      <w:r>
        <w:t xml:space="preserve"> </w:t>
      </w:r>
      <w:r>
        <w:t xml:space="preserve">route each KV-head error into many query heads—cannot absorb the resulting error. The fix is</w:t>
      </w:r>
      <w:r>
        <w:t xml:space="preserve"> </w:t>
      </w:r>
      <w:r>
        <w:t xml:space="preserve">a single per-channel zero-point:</w:t>
      </w:r>
      <w:r>
        <w:t xml:space="preserve"> </w:t>
      </w:r>
      <w:r>
        <w:rPr>
          <w:b/>
          <w:bCs/>
        </w:rPr>
        <w:t xml:space="preserve">asymmetric NF4 (asym-NF4)</w:t>
      </w:r>
      <w:r>
        <w:t xml:space="preserve"> </w:t>
      </w:r>
      <w:r>
        <w:t xml:space="preserve">centres the codebook on the</w:t>
      </w:r>
      <w:r>
        <w:t xml:space="preserve"> </w:t>
      </w:r>
      <w:r>
        <w:t xml:space="preserve">data before applying the NF grid. asym-NF4 is one calibration-free codebook that is near-fp16</w:t>
      </w:r>
      <w:r>
        <w:t xml:space="preserve"> </w:t>
      </w:r>
      <w:r>
        <w:t xml:space="preserve">on</w:t>
      </w:r>
      <w:r>
        <w:t xml:space="preserve"> </w:t>
      </w:r>
      <w:r>
        <w:rPr>
          <w:i/>
          <w:iCs/>
        </w:rPr>
        <w:t xml:space="preserve">every</w:t>
      </w:r>
      <w:r>
        <w:t xml:space="preserve"> </w:t>
      </w:r>
      <w:r>
        <w:t xml:space="preserve">architecture we test—it ties symmetric NF4 where NF4 already works and</w:t>
      </w:r>
      <w:r>
        <w:t xml:space="preserve"> </w:t>
      </w:r>
      <w:r>
        <w:t xml:space="preserve">recovers the Qwen collapse to</w:t>
      </w:r>
      <w:r>
        <w:t xml:space="preserve"> </w:t>
      </w:r>
      <w:r>
        <w:rPr>
          <w:b/>
          <w:bCs/>
        </w:rPr>
        <w:t xml:space="preserve">41.9 qasper / 7.50 ppl</w:t>
      </w:r>
      <w:r>
        <w:t xml:space="preserve">—at no extra bit cost. We release</w:t>
      </w:r>
      <w:r>
        <w:t xml:space="preserve"> </w:t>
      </w:r>
      <w:r>
        <w:t xml:space="preserve">the method, a reproducible cross-model harness, and a practitioner’s decision guide.</w:t>
      </w:r>
    </w:p>
    <w:bookmarkStart w:id="10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The KV cache dominates the memory footprint of long-context inference, and 4-bit quantization</w:t>
      </w:r>
      <w:r>
        <w:t xml:space="preserve"> </w:t>
      </w:r>
      <w:r>
        <w:t xml:space="preserve">of keys and values is now standard practice. Calibration-free codebooks are attractive because</w:t>
      </w:r>
      <w:r>
        <w:t xml:space="preserve"> </w:t>
      </w:r>
      <w:r>
        <w:t xml:space="preserve">they require no data pass: the 4-bit NormalFloat (NF4) grid, popularised by QLoRA, allocates</w:t>
      </w:r>
      <w:r>
        <w:t xml:space="preserve"> </w:t>
      </w:r>
      <w:r>
        <w:t xml:space="preserve">levels by a unit Gaussian and is a common default for KV keys. Most KV-quantization studies</w:t>
      </w:r>
      <w:r>
        <w:t xml:space="preserve"> </w:t>
      </w:r>
      <w:r>
        <w:t xml:space="preserve">benchmark on the Llama family. We show that this hides a</w:t>
      </w:r>
      <w:r>
        <w:t xml:space="preserve"> </w:t>
      </w:r>
      <w:r>
        <w:rPr>
          <w:i/>
          <w:iCs/>
        </w:rPr>
        <w:t xml:space="preserve">silent, catastrophic</w:t>
      </w:r>
      <w:r>
        <w:t xml:space="preserve"> </w:t>
      </w:r>
      <w:r>
        <w:t xml:space="preserve">failure.</w:t>
      </w:r>
    </w:p>
    <w:bookmarkStart w:id="9" w:name="contributions."/>
    <w:p>
      <w:pPr>
        <w:pStyle w:val="Heading4"/>
      </w:pPr>
      <w:r>
        <w:t xml:space="preserve">Contributions.</w:t>
      </w:r>
    </w:p>
    <w:p>
      <w:pPr>
        <w:numPr>
          <w:ilvl w:val="0"/>
          <w:numId w:val="1001"/>
        </w:numPr>
      </w:pPr>
      <w:r>
        <w:t xml:space="preserve">A silent, catastrophic failure mode of NF4 KV quantization on high-GQA models</w:t>
      </w:r>
      <w:r>
        <w:t xml:space="preserve"> </w:t>
      </w:r>
      <w:r>
        <w:t xml:space="preserve">(Qwen2.5), invisible on the Llama-family models typically benchmarked</w:t>
      </w:r>
      <w:r>
        <w:t xml:space="preserve"> </w:t>
      </w:r>
      <w:r>
        <w:t xml:space="preserve">(Fig. </w:t>
      </w:r>
      <w:hyperlink w:anchor="fig:crossover">
        <w:r>
          <w:rPr>
            <w:rStyle w:val="Hyperlink"/>
          </w:rPr>
          <w:t xml:space="preserve">1</w:t>
        </w:r>
      </w:hyperlink>
      <w:r>
        <w:t xml:space="preserve">, Fig. </w:t>
      </w:r>
      <w:hyperlink w:anchor="fig:ppl">
        <w:r>
          <w:rPr>
            <w:rStyle w:val="Hyperlink"/>
          </w:rPr>
          <w:t xml:space="preserve">2</w:t>
        </w:r>
      </w:hyperlink>
      <w:r>
        <w:t xml:space="preserve">).</w:t>
      </w:r>
    </w:p>
    <w:p>
      <w:pPr>
        <w:numPr>
          <w:ilvl w:val="0"/>
          <w:numId w:val="1001"/>
        </w:numPr>
      </w:pPr>
      <w:r>
        <w:t xml:space="preserve">A measured mechanism: NF4 costs</w:t>
      </w:r>
      <w:r>
        <w:t xml:space="preserve"> </w:t>
      </w:r>
      <m:oMath>
        <m:r>
          <m:rPr>
            <m:sty m:val="p"/>
          </m:rPr>
          <m:t>∼</m:t>
        </m:r>
        <m:r>
          <m:t>4</m:t>
        </m:r>
        <m:r>
          <m:rPr>
            <m:sty m:val="p"/>
          </m:rPr>
          <m:t>×</m:t>
        </m:r>
      </m:oMath>
      <w:r>
        <w:t xml:space="preserve"> </w:t>
      </w:r>
      <w:r>
        <w:t xml:space="preserve">the relative reconstruction error of</w:t>
      </w:r>
      <w:r>
        <w:t xml:space="preserve"> </w:t>
      </w:r>
      <w:r>
        <w:t xml:space="preserve">asymmetric uniform on DC-offset KV keys, and high-GQA error amplification turns that</w:t>
      </w:r>
      <w:r>
        <w:t xml:space="preserve"> </w:t>
      </w:r>
      <w:r>
        <w:t xml:space="preserve">error into collapse. Bit-depth is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the axis—3-bit</w:t>
      </w:r>
      <w:r>
        <w:t xml:space="preserve"> </w:t>
      </w:r>
      <w:r>
        <w:rPr>
          <w:i/>
          <w:iCs/>
        </w:rPr>
        <w:t xml:space="preserve">uniform</w:t>
      </w:r>
      <w:r>
        <w:t xml:space="preserve"> </w:t>
      </w:r>
      <w:r>
        <w:t xml:space="preserve">beats</w:t>
      </w:r>
      <w:r>
        <w:t xml:space="preserve"> </w:t>
      </w:r>
      <w:r>
        <w:t xml:space="preserve">4-bit NF4 on Qwen (Fig. </w:t>
      </w:r>
      <w:hyperlink w:anchor="fig:rescue">
        <w:r>
          <w:rPr>
            <w:rStyle w:val="Hyperlink"/>
          </w:rPr>
          <w:t xml:space="preserve">[fig:rescue]</w:t>
        </w:r>
      </w:hyperlink>
      <w:r>
        <w:t xml:space="preserve">, Fig. </w:t>
      </w:r>
      <w:hyperlink w:anchor="fig:mechanism">
        <w:r>
          <w:rPr>
            <w:rStyle w:val="Hyperlink"/>
          </w:rPr>
          <w:t xml:space="preserve">3</w:t>
        </w:r>
      </w:hyperlink>
      <w:r>
        <w:t xml:space="preserve">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asym-NF4</w:t>
      </w:r>
      <w:r>
        <w:t xml:space="preserve">: a one-line per-channel zero-point that unifies the codebook</w:t>
      </w:r>
      <w:r>
        <w:t xml:space="preserve"> </w:t>
      </w:r>
      <w:r>
        <w:t xml:space="preserve">choice—best-or-tied on every architecture, calibration-free, no extra bits</w:t>
      </w:r>
      <w:r>
        <w:t xml:space="preserve"> </w:t>
      </w:r>
      <w:r>
        <w:t xml:space="preserve">(Fig. </w:t>
      </w:r>
      <w:hyperlink w:anchor="fig:asymnf4">
        <w:r>
          <w:rPr>
            <w:rStyle w:val="Hyperlink"/>
          </w:rPr>
          <w:t xml:space="preserve">4</w:t>
        </w:r>
      </w:hyperlink>
      <w:r>
        <w:t xml:space="preserve">).</w:t>
      </w:r>
    </w:p>
    <w:p>
      <w:pPr>
        <w:numPr>
          <w:ilvl w:val="0"/>
          <w:numId w:val="1001"/>
        </w:numPr>
      </w:pPr>
      <w:r>
        <w:t xml:space="preserve">A reproducible single harness, a cross-model matrix, and a practitioner decision guide.</w:t>
      </w:r>
    </w:p>
    <w:bookmarkEnd w:id="9"/>
    <w:bookmarkEnd w:id="10"/>
    <w:bookmarkStart w:id="11" w:name="background-and-setup"/>
    <w:p>
      <w:pPr>
        <w:pStyle w:val="Heading1"/>
      </w:pPr>
      <w:r>
        <w:t xml:space="preserve">Background and setup</w:t>
      </w:r>
    </w:p>
    <w:p>
      <w:pPr>
        <w:pStyle w:val="FirstParagraph"/>
      </w:pPr>
      <w:r>
        <w:t xml:space="preserve">We quantize keys per channel and values per token, with optional dense-and-sparse fp16</w:t>
      </w:r>
      <w:r>
        <w:t xml:space="preserve"> </w:t>
      </w:r>
      <w:r>
        <w:t xml:space="preserve">outliers (top 2% magnitude per channel) and an attention sink, in a deployable prefill-once</w:t>
      </w:r>
      <w:r>
        <w:t xml:space="preserve"> </w:t>
      </w:r>
      <w:r>
        <w:t xml:space="preserve">cache that runs at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fp16 speed. We compare four calibration-free key codebooks at 4 bits:</w:t>
      </w:r>
      <w:r>
        <w:t xml:space="preserve"> </w:t>
      </w:r>
      <w:r>
        <w:t xml:space="preserve">fp16 (reference), symmetric NF4 (abs-max scaling about zero), asymmetric uniform (per-group</w:t>
      </w:r>
      <w:r>
        <w:t xml:space="preserve"> </w:t>
      </w:r>
      <w:r>
        <w:t xml:space="preserve">min/max), and our asym-NF4. Models span the GQA spectrum: Llama-2-7B/13B (MHA, 1:1), Mistral-7B</w:t>
      </w:r>
      <w:r>
        <w:t xml:space="preserve"> </w:t>
      </w:r>
      <w:r>
        <w:t xml:space="preserve">(GQA 4:1), Qwen2.5-7B (GQA 7:1). We evaluate on the LongBench English subset and WikiText-2</w:t>
      </w:r>
      <w:r>
        <w:t xml:space="preserve"> </w:t>
      </w:r>
      <w:r>
        <w:t xml:space="preserve">perplexity. All scores are produced by a single harness and are only compared intra-harness.</w:t>
      </w:r>
    </w:p>
    <w:bookmarkEnd w:id="11"/>
    <w:bookmarkStart w:id="22" w:name="sec:headline"/>
    <w:p>
      <w:pPr>
        <w:pStyle w:val="Heading1"/>
      </w:pPr>
      <w:r>
        <w:t xml:space="preserve">NF4 fails on high-GQA models</w:t>
      </w:r>
    </w:p>
    <w:p>
      <w:pPr>
        <w:pStyle w:val="FirstParagraph"/>
      </w:pPr>
      <w:r>
        <w:t xml:space="preserve">Figure </w:t>
      </w:r>
      <w:hyperlink w:anchor="fig:crossover">
        <w:r>
          <w:rPr>
            <w:rStyle w:val="Hyperlink"/>
          </w:rPr>
          <w:t xml:space="preserve">1</w:t>
        </w:r>
      </w:hyperlink>
      <w:r>
        <w:t xml:space="preserve"> </w:t>
      </w:r>
      <w:r>
        <w:t xml:space="preserve">and Table </w:t>
      </w:r>
      <w:hyperlink w:anchor="tab:qasper">
        <w:r>
          <w:rPr>
            <w:rStyle w:val="Hyperlink"/>
          </w:rPr>
          <w:t xml:space="preserve">1</w:t>
        </w:r>
      </w:hyperlink>
      <w:r>
        <w:t xml:space="preserve"> </w:t>
      </w:r>
      <w:r>
        <w:t xml:space="preserve">give the headline. NF4 is the best naive</w:t>
      </w:r>
      <w:r>
        <w:t xml:space="preserve"> </w:t>
      </w:r>
      <w:r>
        <w:t xml:space="preserve">codebook on Llama-2-7B/13B and Mistral, but on Qwen2.5-7B it</w:t>
      </w:r>
      <w:r>
        <w:t xml:space="preserve"> </w:t>
      </w:r>
      <w:r>
        <w:rPr>
          <w:b/>
          <w:bCs/>
        </w:rPr>
        <w:t xml:space="preserve">collapses</w:t>
      </w:r>
      <w:r>
        <w:t xml:space="preserve"> </w:t>
      </w:r>
      <w:r>
        <w:t xml:space="preserve">from 43.8</w:t>
      </w:r>
      <w:r>
        <w:t xml:space="preserve"> </w:t>
      </w:r>
      <w:r>
        <w:t xml:space="preserve">(fp16) to 4.7—near-random, degenerate repetition. Asymmetric uniform never collapses but</w:t>
      </w:r>
      <w:r>
        <w:t xml:space="preserve"> </w:t>
      </w:r>
      <w:r>
        <w:t xml:space="preserve">sacrifices 5–9 qasper points on the MHA models. asym-NF4 is best-or-tied everywhere.</w:t>
      </w:r>
      <w:r>
        <w:t xml:space="preserve"> </w:t>
      </w:r>
      <w:r>
        <w:t xml:space="preserve">Perplexity tells the identical story (Fig. </w:t>
      </w:r>
      <w:hyperlink w:anchor="fig:ppl">
        <w:r>
          <w:rPr>
            <w:rStyle w:val="Hyperlink"/>
          </w:rPr>
          <w:t xml:space="preserve">2</w:t>
        </w:r>
      </w:hyperlink>
      <w:r>
        <w:t xml:space="preserve">, Table </w:t>
      </w:r>
      <w:hyperlink w:anchor="tab:ppl">
        <w:r>
          <w:rPr>
            <w:rStyle w:val="Hyperlink"/>
          </w:rPr>
          <w:t xml:space="preserve">2</w:t>
        </w:r>
      </w:hyperlink>
      <w:r>
        <w:t xml:space="preserve">): on Qwen,</w:t>
      </w:r>
      <w:r>
        <w:t xml:space="preserve"> </w:t>
      </w:r>
      <w:r>
        <w:t xml:space="preserve">symmetric NF4 perplexity explodes</w:t>
      </w:r>
      <w:r>
        <w:t xml:space="preserve"> </w:t>
      </w:r>
      <m:oMath>
        <m:r>
          <m:t>10</m:t>
        </m:r>
        <m:r>
          <m:rPr>
            <m:sty m:val="p"/>
          </m:rPr>
          <m:t>×</m:t>
        </m:r>
      </m:oMath>
      <w:r>
        <w:t xml:space="preserve"> </w:t>
      </w:r>
      <w:r>
        <w:t xml:space="preserve">(7.46</w:t>
      </w:r>
      <m:oMath>
        <m:r>
          <m:rPr>
            <m:sty m:val="p"/>
          </m:rPr>
          <m:t>→</m:t>
        </m:r>
      </m:oMath>
      <w:r>
        <w:t xml:space="preserve">74.7) while asym-NF4 holds at 7.50.</w:t>
      </w:r>
    </w:p>
    <w:bookmarkStart w:id="15" w:name="fig:crossover"/>
    <w:p>
      <w:pPr>
        <w:pStyle w:val="CaptionedFigure"/>
      </w:pPr>
      <w:r>
        <w:drawing>
          <wp:inline>
            <wp:extent cx="5334000" cy="2836718"/>
            <wp:effectExtent b="0" l="0" r="0" t="0"/>
            <wp:docPr descr="" title="" id="13" name="Picture"/>
            <a:graphic>
              <a:graphicData uri="http://schemas.openxmlformats.org/drawingml/2006/picture">
                <pic:pic>
                  <pic:nvPicPr>
                    <pic:cNvPr descr="fig_crossover.pdf" id="14" name="Picture"/>
                    <pic:cNvPicPr>
                      <a:picLocks noChangeArrowheads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8367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4-bit KV quantization on the LongBench qasper task. NF4 (red) is competitive on the</w:t>
      </w:r>
      <w:r>
        <w:t xml:space="preserve"> </w:t>
      </w:r>
      <w:r>
        <w:t xml:space="preserve">MHA / low-GQA models but</w:t>
      </w:r>
      <w:r>
        <w:t xml:space="preserve"> </w:t>
      </w:r>
      <w:r>
        <w:rPr>
          <w:b/>
          <w:bCs/>
        </w:rPr>
        <w:t xml:space="preserve">collapses</w:t>
      </w:r>
      <w:r>
        <w:t xml:space="preserve"> </w:t>
      </w:r>
      <w:r>
        <w:t xml:space="preserve">on Qwen2.5-7B (7:1 GQA). asym-NF4 (blue) is</w:t>
      </w:r>
      <w:r>
        <w:t xml:space="preserve"> </w:t>
      </w:r>
      <w:r>
        <w:t xml:space="preserve">near-fp16 on every architecture.</w:t>
      </w:r>
    </w:p>
    <w:bookmarkEnd w:id="15"/>
    <w:bookmarkStart w:id="16" w:name="tab:qasper"/>
    <w:p>
      <w:pPr>
        <w:pStyle w:val="TableCaption"/>
      </w:pPr>
      <w:r>
        <w:t xml:space="preserve">LongBench qasper (</w:t>
      </w:r>
      <m:oMath>
        <m:r>
          <m:rPr>
            <m:sty m:val="p"/>
          </m:rPr>
          <m:t>↑</m:t>
        </m:r>
      </m:oMath>
      <w:r>
        <w:t xml:space="preserve">), 4-bit keys, identical outliers/sink.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LongBench qasper (\uparrow), 4-bit keys, identical outliers/sink.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attn (Q:KV)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fp16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NF4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uniform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asym-NF4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Llama-2-7B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MHA 1:1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22.06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20.82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15.58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20.81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Llama-2-13B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MHA 1:1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17.06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16.86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10.52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17.34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Mistral-7B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GQA 4:1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29.43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29.96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21.06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28.74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Qwen2.5-7B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GQA 7:1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43.77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4.69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33.81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41.91</w:t>
            </w:r>
          </w:p>
        </w:tc>
      </w:tr>
    </w:tbl>
    <w:bookmarkEnd w:id="16"/>
    <w:bookmarkStart w:id="20" w:name="fig:ppl"/>
    <w:p>
      <w:pPr>
        <w:pStyle w:val="CaptionedFigure"/>
      </w:pPr>
      <w:r>
        <w:drawing>
          <wp:inline>
            <wp:extent cx="3840480" cy="2482397"/>
            <wp:effectExtent b="0" l="0" r="0" t="0"/>
            <wp:docPr descr="" title="" id="18" name="Picture"/>
            <a:graphic>
              <a:graphicData uri="http://schemas.openxmlformats.org/drawingml/2006/picture">
                <pic:pic>
                  <pic:nvPicPr>
                    <pic:cNvPr descr="fig_perplexity.pdf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48239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WikiText-2 perplexity (</w:t>
      </w:r>
      <m:oMath>
        <m:r>
          <m:rPr>
            <m:sty m:val="p"/>
          </m:rPr>
          <m:t>↓</m:t>
        </m:r>
      </m:oMath>
      <w:r>
        <w:t xml:space="preserve">, log scale). Symmetric NF4 explodes</w:t>
      </w:r>
      <w:r>
        <w:t xml:space="preserve"> </w:t>
      </w:r>
      <m:oMath>
        <m:r>
          <m:t>10</m:t>
        </m:r>
        <m:r>
          <m:rPr>
            <m:sty m:val="p"/>
          </m:rPr>
          <m:t>×</m:t>
        </m:r>
      </m:oMath>
      <w:r>
        <w:t xml:space="preserve"> </w:t>
      </w:r>
      <w:r>
        <w:t xml:space="preserve">on</w:t>
      </w:r>
      <w:r>
        <w:t xml:space="preserve"> </w:t>
      </w:r>
      <w:r>
        <w:t xml:space="preserve">Qwen2.5-7B; asym-NF4 sits on fp16 everywhere.</w:t>
      </w:r>
    </w:p>
    <w:bookmarkEnd w:id="20"/>
    <w:bookmarkStart w:id="21" w:name="tab:ppl"/>
    <w:p>
      <w:pPr>
        <w:pStyle w:val="TableCaption"/>
      </w:pPr>
      <w:r>
        <w:t xml:space="preserve">WikiText-2 perplexity (</w:t>
      </w:r>
      <m:oMath>
        <m:r>
          <m:rPr>
            <m:sty m:val="p"/>
          </m:rPr>
          <m:t>↓</m:t>
        </m:r>
      </m:oMath>
      <w:r>
        <w:t xml:space="preserve">), same recipe.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WikiText-2 perplexity (\downarrow), same recipe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fp16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NF4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asym-NF4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Llama-2-7B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6.94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7.18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6.97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Llama-2-13B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6.11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6.30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6.13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Mistral-7B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5.94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6.00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5.96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Qwen2.5-7B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7.46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74.66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7.50</w:t>
            </w:r>
          </w:p>
        </w:tc>
      </w:tr>
    </w:tbl>
    <w:bookmarkEnd w:id="21"/>
    <w:bookmarkEnd w:id="22"/>
    <w:bookmarkStart w:id="33" w:name="anatomy-of-the-collapse"/>
    <w:p>
      <w:pPr>
        <w:pStyle w:val="Heading1"/>
      </w:pPr>
      <w:r>
        <w:t xml:space="preserve">Anatomy of the collapse</w:t>
      </w:r>
    </w:p>
    <w:bookmarkStart w:id="23" w:name="Xbe3166d57af8337b7e81064a680d0be5c6d7e28"/>
    <w:p>
      <w:pPr>
        <w:pStyle w:val="Heading4"/>
      </w:pPr>
      <w:r>
        <w:t xml:space="preserve">It is the codebook shape, not the bit-depth.</w:t>
      </w:r>
    </w:p>
    <w:p>
      <w:pPr>
        <w:pStyle w:val="FirstParagraph"/>
      </w:pPr>
      <w:r>
        <w:t xml:space="preserve">Figure </w:t>
      </w:r>
      <w:hyperlink w:anchor="fig:rescue">
        <w:r>
          <w:rPr>
            <w:rStyle w:val="Hyperlink"/>
          </w:rPr>
          <w:t xml:space="preserve">[fig:rescue]</w:t>
        </w:r>
      </w:hyperlink>
      <w:r>
        <w:t xml:space="preserve"> </w:t>
      </w:r>
      <w:r>
        <w:t xml:space="preserve">isolates the cause on Qwen. Holding the model fixed, 4-bit NF4 scores</w:t>
      </w:r>
      <w:r>
        <w:t xml:space="preserve"> </w:t>
      </w:r>
      <w:r>
        <w:t xml:space="preserve">4.7; 4-bit</w:t>
      </w:r>
      <w:r>
        <w:t xml:space="preserve"> </w:t>
      </w:r>
      <w:r>
        <w:rPr>
          <w:i/>
          <w:iCs/>
        </w:rPr>
        <w:t xml:space="preserve">uniform</w:t>
      </w:r>
      <w:r>
        <w:t xml:space="preserve"> </w:t>
      </w:r>
      <w:r>
        <w:t xml:space="preserve">scores 33.8; and</w:t>
      </w:r>
      <w:r>
        <w:t xml:space="preserve"> </w:t>
      </w:r>
      <w:r>
        <w:rPr>
          <w:i/>
          <w:iCs/>
        </w:rPr>
        <w:t xml:space="preserve">3-bit</w:t>
      </w:r>
      <w:r>
        <w:t xml:space="preserve"> </w:t>
      </w:r>
      <w:r>
        <w:t xml:space="preserve">uniform scores 34.9—lower precision,</w:t>
      </w:r>
      <w:r>
        <w:t xml:space="preserve"> </w:t>
      </w:r>
      <m:oMath>
        <m:r>
          <m:t>7</m:t>
        </m:r>
        <m:r>
          <m:rPr>
            <m:sty m:val="p"/>
          </m:rPr>
          <m:t>×</m:t>
        </m:r>
      </m:oMath>
      <w:r>
        <w:t xml:space="preserve"> </w:t>
      </w:r>
      <w:r>
        <w:t xml:space="preserve">better. Adding 10% fp16 outliers, shortening the context, or raising values to 8-bit</w:t>
      </w:r>
      <w:r>
        <w:t xml:space="preserve"> </w:t>
      </w:r>
      <w:r>
        <w:t xml:space="preserve">all leave NF4 collapsed. Only changing the codebook helps.</w:t>
      </w:r>
    </w:p>
    <w:bookmarkEnd w:id="23"/>
    <w:bookmarkStart w:id="31" w:name="mechanism."/>
    <w:p>
      <w:pPr>
        <w:pStyle w:val="Heading4"/>
      </w:pPr>
      <w:r>
        <w:t xml:space="preserve">Mechanism.</w:t>
      </w:r>
    </w:p>
    <w:p>
      <w:pPr>
        <w:pStyle w:val="FirstParagraph"/>
      </w:pPr>
      <w:r>
        <w:t xml:space="preserve">On real pre-RoPE keys, NF4 incurs</w:t>
      </w:r>
      <w:r>
        <w:t xml:space="preserve"> </w:t>
      </w:r>
      <m:oMath>
        <m:r>
          <m:rPr>
            <m:sty m:val="p"/>
          </m:rPr>
          <m:t>∼</m:t>
        </m:r>
        <m:r>
          <m:t>3</m:t>
        </m:r>
      </m:oMath>
      <w:r>
        <w:t xml:space="preserve">–</w:t>
      </w:r>
      <m:oMath>
        <m:r>
          <m:t>5</m:t>
        </m:r>
        <m:r>
          <m:rPr>
            <m:sty m:val="p"/>
          </m:rPr>
          <m:t>×</m:t>
        </m:r>
      </m:oMath>
      <w:r>
        <w:t xml:space="preserve"> </w:t>
      </w:r>
      <w:r>
        <w:t xml:space="preserve">the relative reconstruction</w:t>
      </w:r>
      <w:r>
        <w:t xml:space="preserve"> </w:t>
      </w:r>
      <w:r>
        <w:t xml:space="preserve">error (whole-key Frobenius) of asymmetric uniform—on</w:t>
      </w:r>
      <w:r>
        <w:t xml:space="preserve"> </w:t>
      </w:r>
      <w:r>
        <w:rPr>
          <w:i/>
          <w:iCs/>
        </w:rPr>
        <w:t xml:space="preserve">both</w:t>
      </w:r>
      <w:r>
        <w:t xml:space="preserve"> </w:t>
      </w:r>
      <w:r>
        <w:t xml:space="preserve">Qwen and Llama</w:t>
      </w:r>
      <w:r>
        <w:t xml:space="preserve"> </w:t>
      </w:r>
      <w:r>
        <w:t xml:space="preserve">(Fig. </w:t>
      </w:r>
      <w:hyperlink w:anchor="fig:mechanism">
        <w:r>
          <w:rPr>
            <w:rStyle w:val="Hyperlink"/>
          </w:rPr>
          <w:t xml:space="preserve">3</w:t>
        </w:r>
      </w:hyperlink>
      <w:r>
        <w:t xml:space="preserve">)—because</w:t>
      </w:r>
      <w:r>
        <w:t xml:space="preserve"> </w:t>
      </w:r>
      <w:r>
        <w:t xml:space="preserve">KV keys carry a per-group DC offset (range/abs-max</w:t>
      </w:r>
      <w:r>
        <w:t xml:space="preserve"> </w:t>
      </w:r>
      <m:oMath>
        <m:r>
          <m:rPr>
            <m:sty m:val="p"/>
          </m:rPr>
          <m:t>≈</m:t>
        </m:r>
        <m:r>
          <m:t>0.9</m:t>
        </m:r>
      </m:oMath>
      <w:r>
        <w:t xml:space="preserve">) and NF4’s zero-centred grid</w:t>
      </w:r>
      <w:r>
        <w:t xml:space="preserve"> </w:t>
      </w:r>
      <w:r>
        <w:t xml:space="preserve">spends about half of its codes on the empty side (Fig. </w:t>
      </w:r>
      <w:hyperlink w:anchor="fig:asymnf4">
        <w:r>
          <w:rPr>
            <w:rStyle w:val="Hyperlink"/>
          </w:rPr>
          <w:t xml:space="preserve">4</w:t>
        </w:r>
      </w:hyperlink>
      <w:r>
        <w:t xml:space="preserve">). Crucially, NF4’s key</w:t>
      </w:r>
      <w:r>
        <w:t xml:space="preserve"> </w:t>
      </w:r>
      <w:r>
        <w:t xml:space="preserve">error is</w:t>
      </w:r>
      <w:r>
        <w:t xml:space="preserve"> </w:t>
      </w:r>
      <w:r>
        <w:rPr>
          <w:i/>
          <w:iCs/>
        </w:rPr>
        <w:t xml:space="preserve">equal</w:t>
      </w:r>
      <w:r>
        <w:t xml:space="preserve"> </w:t>
      </w:r>
      <w:r>
        <w:t xml:space="preserve">across the two models, so representation alone does not explain the</w:t>
      </w:r>
      <w:r>
        <w:t xml:space="preserve"> </w:t>
      </w:r>
      <w:r>
        <w:t xml:space="preserve">collapse. The differentiator is</w:t>
      </w:r>
      <w:r>
        <w:t xml:space="preserve"> </w:t>
      </w:r>
      <w:r>
        <w:rPr>
          <w:b/>
          <w:bCs/>
        </w:rPr>
        <w:t xml:space="preserve">error tolerance</w:t>
      </w:r>
      <w:r>
        <w:t xml:space="preserve">: Qwen’s 7:1 GQA routes each KV-head</w:t>
      </w:r>
      <w:r>
        <w:t xml:space="preserve"> </w:t>
      </w:r>
      <w:r>
        <w:t xml:space="preserve">error into seven query heads, whereas Llama-2-7B (1:1 MHA) routes it into one. Qwen collapses</w:t>
      </w:r>
      <w:r>
        <w:t xml:space="preserve"> </w:t>
      </w:r>
      <w:r>
        <w:t xml:space="preserve">above a key-relerr threshold between 0.04 (uniform-3b) and 0.08 (NF4-4b); Llama’s threshold</w:t>
      </w:r>
      <w:r>
        <w:t xml:space="preserve"> </w:t>
      </w:r>
      <w:r>
        <w:t xml:space="preserve">exceeds 0.08.</w:t>
      </w:r>
    </w:p>
    <w:bookmarkStart w:id="30" w:name="fig:mechanism"/>
    <w:tbl>
      <w:tblPr>
        <w:tblStyle w:val="FigureTable"/>
        <w:tblW w:type="auto" w:w="0"/>
        <w:jc w:val="center"/>
        <w:tblLook w:firstRow="0" w:lastRow="0" w:firstColumn="0" w:lastColumn="0"/>
      </w:tblPr>
      <w:tblGrid>
        <w:gridCol w:w="3960"/>
        <w:gridCol w:w="3960"/>
      </w:tblGrid>
      <w:tr>
        <w:tc>
          <w:tcPr/>
          <w:p>
            <w:pPr>
              <w:pStyle w:val="Compact"/>
              <w:jc w:val="center"/>
            </w:pPr>
            <w:r>
              <w:drawing>
                <wp:inline>
                  <wp:extent cx="2667000" cy="1865312"/>
                  <wp:effectExtent b="0" l="0" r="0" t="0"/>
                  <wp:docPr descr="" title="" id="25" name="Picture"/>
                  <a:graphic>
                    <a:graphicData uri="http://schemas.openxmlformats.org/drawingml/2006/picture">
                      <pic:pic>
                        <pic:nvPicPr>
                          <pic:cNvPr descr="fig_rescue.pdf" id="26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65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center"/>
            </w:pPr>
            <w:r>
              <w:drawing>
                <wp:inline>
                  <wp:extent cx="2667000" cy="1796631"/>
                  <wp:effectExtent b="0" l="0" r="0" t="0"/>
                  <wp:docPr descr="" title="" id="28" name="Picture"/>
                  <a:graphic>
                    <a:graphicData uri="http://schemas.openxmlformats.org/drawingml/2006/picture">
                      <pic:pic>
                        <pic:nvPicPr>
                          <pic:cNvPr descr="fig_mechanism.pdf" id="29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96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ImageCaption"/>
      </w:pPr>
      <w:r>
        <w:t xml:space="preserve">NF4’s reconstruction error is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equal on Qwen and Llama; the collapse is error</w:t>
      </w:r>
      <w:r>
        <w:t xml:space="preserve"> </w:t>
      </w:r>
      <w:r>
        <w:rPr>
          <w:i/>
          <w:iCs/>
        </w:rPr>
        <w:t xml:space="preserve">tolerance</w:t>
      </w:r>
      <w:r>
        <w:t xml:space="preserve">, not representation.</w:t>
      </w:r>
    </w:p>
    <w:bookmarkEnd w:id="30"/>
    <w:bookmarkEnd w:id="31"/>
    <w:bookmarkStart w:id="32" w:name="Xaae8a5a7e2aa6b51d9efa84739b06197e42c688"/>
    <w:p>
      <w:pPr>
        <w:pStyle w:val="Heading4"/>
      </w:pPr>
      <w:r>
        <w:t xml:space="preserve">Where the offset lives: the DC component is RoPE-frequency-structured.</w:t>
      </w:r>
    </w:p>
    <w:p>
      <w:pPr>
        <w:pStyle w:val="FirstParagraph"/>
      </w:pPr>
      <w:r>
        <w:t xml:space="preserve">The per-channel offset that asym-NF4’s zero-point absorbs is not an arbitrary</w:t>
      </w:r>
      <w:r>
        <w:t xml:space="preserve"> </w:t>
      </w:r>
      <w:r>
        <w:t xml:space="preserve">per-channel statistic—it is concentrated in the</w:t>
      </w:r>
      <w:r>
        <w:t xml:space="preserve"> </w:t>
      </w:r>
      <w:r>
        <w:rPr>
          <w:i/>
          <w:iCs/>
        </w:rPr>
        <w:t xml:space="preserve">slow rotary channels</w:t>
      </w:r>
      <w:r>
        <w:t xml:space="preserve">.</w:t>
      </w:r>
      <w:r>
        <w:t xml:space="preserve"> </w:t>
      </w:r>
      <w:r>
        <w:t xml:space="preserve">Measuring post-RoPE keys over WikiText-2 windows (512 tokens, 8 passages,</w:t>
      </w:r>
      <w:r>
        <w:t xml:space="preserve"> </w:t>
      </w:r>
      <w:r>
        <w:t xml:space="preserve">all layers and KV heads;</w:t>
      </w:r>
      <w:r>
        <w:t xml:space="preserve"> </w:t>
      </w:r>
      <w:r>
        <w:rPr>
          <w:rStyle w:val="VerbatimChar"/>
        </w:rPr>
        <w:t xml:space="preserve">benchmarks/rope_offset_frequency.py</w:t>
      </w:r>
      <w:r>
        <w:t xml:space="preserve">), the</w:t>
      </w:r>
      <w:r>
        <w:t xml:space="preserve"> </w:t>
      </w:r>
      <w:r>
        <w:t xml:space="preserve">per-channel mean magnitude</w:t>
      </w:r>
      <w:r>
        <w:t xml:space="preserve"> </w:t>
      </w:r>
      <m:oMath>
        <m:r>
          <m:rPr>
            <m:sty m:val="p"/>
          </m:rPr>
          <m:t>|</m:t>
        </m:r>
        <m:sSub>
          <m:e>
            <m:r>
              <m:t>μ</m:t>
            </m:r>
          </m:e>
          <m:sub>
            <m:r>
              <m:t>c</m:t>
            </m:r>
          </m:sub>
        </m:sSub>
        <m:r>
          <m:rPr>
            <m:sty m:val="p"/>
          </m:rPr>
          <m:t>|</m:t>
        </m:r>
      </m:oMath>
      <w:r>
        <w:t xml:space="preserve"> </w:t>
      </w:r>
      <w:r>
        <w:t xml:space="preserve">correlates strongly with the channel’s</w:t>
      </w:r>
      <w:r>
        <w:t xml:space="preserve"> </w:t>
      </w:r>
      <w:r>
        <w:t xml:space="preserve">rotary wavelength</w:t>
      </w:r>
      <w:r>
        <w:t xml:space="preserve"> </w:t>
      </w:r>
      <m:oMath>
        <m:r>
          <m:t>2</m:t>
        </m:r>
        <m:r>
          <m:t>π</m:t>
        </m:r>
        <m:r>
          <m:t> </m:t>
        </m:r>
        <m:sSup>
          <m:e>
            <m:r>
              <m:t>θ</m:t>
            </m:r>
          </m:e>
          <m:sup>
            <m:r>
              <m:t>2</m:t>
            </m:r>
            <m:r>
              <m:rPr>
                <m:sty m:val="p"/>
              </m:rPr>
              <m:t>(</m:t>
            </m:r>
            <m:r>
              <m:t>c</m:t>
            </m:r>
            <m:r>
              <m:t> </m:t>
            </m:r>
            <m:r>
              <m:rPr>
                <m:sty m:val="p"/>
              </m:rPr>
              <m:t>mod</m:t>
            </m:r>
            <m:r>
              <m:t> </m:t>
            </m:r>
            <m:r>
              <m:t>d</m:t>
            </m:r>
            <m:r>
              <m:rPr>
                <m:sty m:val="p"/>
              </m:rPr>
              <m:t>/</m:t>
            </m:r>
            <m:r>
              <m:t>2</m:t>
            </m:r>
            <m:r>
              <m:rPr>
                <m:sty m:val="p"/>
              </m:rPr>
              <m:t>)</m:t>
            </m:r>
            <m:r>
              <m:rPr>
                <m:sty m:val="p"/>
              </m:rPr>
              <m:t>/</m:t>
            </m:r>
            <m:r>
              <m:t>d</m:t>
            </m:r>
          </m:sup>
        </m:sSup>
      </m:oMath>
      <w:r>
        <w:t xml:space="preserve">: pooled Spearman</w:t>
      </w:r>
      <w:r>
        <w:t xml:space="preserve"> </w:t>
      </w:r>
      <m:oMath>
        <m:r>
          <m:t>0.91</m:t>
        </m:r>
      </m:oMath>
      <w:r>
        <w:t xml:space="preserve">/</w:t>
      </w:r>
      <m:oMath>
        <m:r>
          <m:t>0.96</m:t>
        </m:r>
      </m:oMath>
      <w:r>
        <w:t xml:space="preserve">/</w:t>
      </w:r>
      <m:oMath>
        <m:r>
          <m:t>0.94</m:t>
        </m:r>
      </m:oMath>
      <w:r>
        <w:t xml:space="preserve"> </w:t>
      </w:r>
      <w:r>
        <w:t xml:space="preserve">on Qwen2.5-1.5B/7B/14B (per-layer median</w:t>
      </w:r>
      <w:r>
        <w:t xml:space="preserve"> </w:t>
      </w:r>
      <m:oMath>
        <m:r>
          <m:t>0.74</m:t>
        </m:r>
      </m:oMath>
      <w:r>
        <w:t xml:space="preserve">–</w:t>
      </w:r>
      <m:oMath>
        <m:r>
          <m:t>0.82</m:t>
        </m:r>
      </m:oMath>
      <w:r>
        <w:t xml:space="preserve">), with</w:t>
      </w:r>
      <w:r>
        <w:t xml:space="preserve"> </w:t>
      </w:r>
      <m:oMath>
        <m:r>
          <m:t>99</m:t>
        </m:r>
        <m:r>
          <m:rPr>
            <m:sty m:val="p"/>
          </m:rPr>
          <m:t>%</m:t>
        </m:r>
      </m:oMath>
      <w:r>
        <w:t xml:space="preserve">/</w:t>
      </w:r>
      <m:oMath>
        <m:r>
          <m:t>99</m:t>
        </m:r>
        <m:r>
          <m:rPr>
            <m:sty m:val="p"/>
          </m:rPr>
          <m:t>%</m:t>
        </m:r>
      </m:oMath>
      <w:r>
        <w:t xml:space="preserve">/</w:t>
      </w:r>
      <m:oMath>
        <m:r>
          <m:t>98</m:t>
        </m:r>
        <m:r>
          <m:rPr>
            <m:sty m:val="p"/>
          </m:rPr>
          <m:t>%</m:t>
        </m:r>
      </m:oMath>
      <w:r>
        <w:t xml:space="preserve"> </w:t>
      </w:r>
      <w:r>
        <w:t xml:space="preserve">of the total offset mass in the</w:t>
      </w:r>
      <w:r>
        <w:t xml:space="preserve"> </w:t>
      </w:r>
      <w:r>
        <w:t xml:space="preserve">channels whose wavelength exceeds the context window (</w:t>
      </w:r>
      <m:oMath>
        <m:r>
          <m:t>67</m:t>
        </m:r>
        <m:r>
          <m:rPr>
            <m:sty m:val="p"/>
          </m:rPr>
          <m:t>%</m:t>
        </m:r>
      </m:oMath>
      <w:r>
        <w:t xml:space="preserve"> </w:t>
      </w:r>
      <w:r>
        <w:t xml:space="preserve">of channels at</w:t>
      </w:r>
      <w:r>
        <w:t xml:space="preserve"> </w:t>
      </w:r>
      <m:oMath>
        <m:r>
          <m:t>θ</m:t>
        </m:r>
        <m:r>
          <m:rPr>
            <m:sty m:val="p"/>
          </m:rPr>
          <m:t>=</m:t>
        </m:r>
        <m:sSup>
          <m:e>
            <m:r>
              <m:t>10</m:t>
            </m:r>
          </m:e>
          <m:sup>
            <m:r>
              <m:t>6</m:t>
            </m:r>
          </m:sup>
        </m:sSup>
      </m:oMath>
      <w:r>
        <w:t xml:space="preserve">)—and cross-family on Mistral-7B (</w:t>
      </w:r>
      <m:oMath>
        <m:r>
          <m:t>θ</m:t>
        </m:r>
        <m:r>
          <m:rPr>
            <m:sty m:val="p"/>
          </m:rPr>
          <m:t>=</m:t>
        </m:r>
        <m:sSup>
          <m:e>
            <m:r>
              <m:t>10</m:t>
            </m:r>
          </m:e>
          <m:sup>
            <m:r>
              <m:t>4</m:t>
            </m:r>
          </m:sup>
        </m:sSup>
      </m:oMath>
      <w:r>
        <w:t xml:space="preserve">): Spearman</w:t>
      </w:r>
      <w:r>
        <w:t xml:space="preserve"> </w:t>
      </w:r>
      <m:oMath>
        <m:r>
          <m:t>0.98</m:t>
        </m:r>
      </m:oMath>
      <w:r>
        <w:t xml:space="preserve"> </w:t>
      </w:r>
      <w:r>
        <w:t xml:space="preserve">(per-layer median</w:t>
      </w:r>
      <w:r>
        <w:t xml:space="preserve"> </w:t>
      </w:r>
      <m:oMath>
        <m:r>
          <m:t>0.95</m:t>
        </m:r>
      </m:oMath>
      <w:r>
        <w:t xml:space="preserve">),</w:t>
      </w:r>
      <w:r>
        <w:t xml:space="preserve"> </w:t>
      </w:r>
      <m:oMath>
        <m:r>
          <m:t>96</m:t>
        </m:r>
        <m:r>
          <m:rPr>
            <m:sty m:val="p"/>
          </m:rPr>
          <m:t>%</m:t>
        </m:r>
      </m:oMath>
      <w:r>
        <w:t xml:space="preserve"> </w:t>
      </w:r>
      <w:r>
        <w:t xml:space="preserve">of the mass in</w:t>
      </w:r>
      <w:r>
        <w:t xml:space="preserve"> </w:t>
      </w:r>
      <m:oMath>
        <m:r>
          <m:t>52</m:t>
        </m:r>
        <m:r>
          <m:rPr>
            <m:sty m:val="p"/>
          </m:rPr>
          <m:t>%</m:t>
        </m:r>
      </m:oMath>
      <w:r>
        <w:t xml:space="preserve"> </w:t>
      </w:r>
      <w:r>
        <w:t xml:space="preserve">of channels.</w:t>
      </w:r>
      <w:r>
        <w:t xml:space="preserve"> </w:t>
      </w:r>
      <w:r>
        <w:t xml:space="preserve">The mechanism is geometric: a rotary channel whose wavelength exceeds the</w:t>
      </w:r>
      <w:r>
        <w:t xml:space="preserve"> </w:t>
      </w:r>
      <w:r>
        <w:t xml:space="preserve">window is position-near-invariant within it, so any pre-RoPE per-channel mean</w:t>
      </w:r>
      <w:r>
        <w:t xml:space="preserve"> </w:t>
      </w:r>
      <w:r>
        <w:t xml:space="preserve">survives rotation as a DC component, while fast channels average it away over</w:t>
      </w:r>
      <w:r>
        <w:t xml:space="preserve"> </w:t>
      </w:r>
      <w:r>
        <w:t xml:space="preserve">positions. Two consequences. First, this closes the causal chain of the</w:t>
      </w:r>
      <w:r>
        <w:t xml:space="preserve"> </w:t>
      </w:r>
      <w:r>
        <w:t xml:space="preserve">collapse: the offset statistics are a structural property of RoPE at the</w:t>
      </w:r>
      <w:r>
        <w:t xml:space="preserve"> </w:t>
      </w:r>
      <w:r>
        <w:t xml:space="preserve">model’s</w:t>
      </w:r>
      <w:r>
        <w:t xml:space="preserve"> </w:t>
      </w:r>
      <m:oMath>
        <m:r>
          <m:t>θ</m:t>
        </m:r>
      </m:oMath>
      <w:r>
        <w:t xml:space="preserve"> </w:t>
      </w:r>
      <w:r>
        <w:t xml:space="preserve">and window—present at every scale of the Qwen family and,</w:t>
      </w:r>
      <w:r>
        <w:t xml:space="preserve"> </w:t>
      </w:r>
      <w:r>
        <w:t xml:space="preserve">with a different base, in Mistral—and the</w:t>
      </w:r>
      <w:r>
        <w:t xml:space="preserve"> </w:t>
      </w:r>
      <w:r>
        <w:t xml:space="preserve">GQA ratio then sets the error</w:t>
      </w:r>
      <w:r>
        <w:t xml:space="preserve"> </w:t>
      </w:r>
      <w:r>
        <w:rPr>
          <w:i/>
          <w:iCs/>
        </w:rPr>
        <w:t xml:space="preserve">tolerance</w:t>
      </w:r>
      <w:r>
        <w:t xml:space="preserve"> </w:t>
      </w:r>
      <w:r>
        <w:t xml:space="preserve">(Fig. </w:t>
      </w:r>
      <w:hyperlink w:anchor="fig:mechanism">
        <w:r>
          <w:rPr>
            <w:rStyle w:val="Hyperlink"/>
          </w:rPr>
          <w:t xml:space="preserve">3</w:t>
        </w:r>
      </w:hyperlink>
      <w:r>
        <w:t xml:space="preserve">);</w:t>
      </w:r>
      <w:r>
        <w:t xml:space="preserve"> </w:t>
      </w:r>
      <w:r>
        <w:t xml:space="preserve">representation and amplification are now both measured, not inferred. Second,</w:t>
      </w:r>
      <w:r>
        <w:t xml:space="preserve"> </w:t>
      </w:r>
      <w:r>
        <w:t xml:space="preserve">it suggests a</w:t>
      </w:r>
      <w:r>
        <w:t xml:space="preserve"> </w:t>
      </w:r>
      <w:r>
        <w:rPr>
          <w:b/>
          <w:bCs/>
        </w:rPr>
        <w:t xml:space="preserve">deterministic, calibration-free zero-point</w:t>
      </w:r>
      <w:r>
        <w:t xml:space="preserve">: since the</w:t>
      </w:r>
      <w:r>
        <w:t xml:space="preserve"> </w:t>
      </w:r>
      <w:r>
        <w:t xml:space="preserve">offset-carrying channels are identified by the model config alone</w:t>
      </w:r>
      <w:r>
        <w:t xml:space="preserve"> </w:t>
      </w:r>
      <w:r>
        <w:t xml:space="preserve">(</w:t>
      </w:r>
      <m:oMath>
        <m:r>
          <m:t>θ</m:t>
        </m:r>
      </m:oMath>
      <w:r>
        <w:t xml:space="preserve">, head dim, window), a frequency-derived zero-point schedule could</w:t>
      </w:r>
      <w:r>
        <w:t xml:space="preserve"> </w:t>
      </w:r>
      <w:r>
        <w:t xml:space="preserve">replace the per-channel calibrated</w:t>
      </w:r>
      <w:r>
        <w:t xml:space="preserve"> </w:t>
      </w:r>
      <m:oMath>
        <m:r>
          <m:t>μ</m:t>
        </m:r>
      </m:oMath>
      <w:r>
        <w:t xml:space="preserve"> </w:t>
      </w:r>
      <w:r>
        <w:t xml:space="preserve">metadata; we leave the quality</w:t>
      </w:r>
      <w:r>
        <w:t xml:space="preserve"> </w:t>
      </w:r>
      <w:r>
        <w:t xml:space="preserve">comparison against calibrated asym-NF4 to future work.</w:t>
      </w:r>
    </w:p>
    <w:bookmarkEnd w:id="32"/>
    <w:bookmarkEnd w:id="33"/>
    <w:bookmarkStart w:id="39" w:name="asymmetric-nf4"/>
    <w:p>
      <w:pPr>
        <w:pStyle w:val="Heading1"/>
      </w:pPr>
      <w:r>
        <w:t xml:space="preserve">Asymmetric NF4</w:t>
      </w:r>
    </w:p>
    <w:p>
      <w:pPr>
        <w:pStyle w:val="FirstParagraph"/>
      </w:pPr>
      <w:r>
        <w:t xml:space="preserve">asym-NF4 adds a per-channel zero-point. For each channel we subtract the mean</w:t>
      </w:r>
      <w:r>
        <w:t xml:space="preserve"> </w:t>
      </w:r>
      <m:oMath>
        <m:r>
          <m:t>μ</m:t>
        </m:r>
      </m:oMath>
      <w:r>
        <w:t xml:space="preserve">,</w:t>
      </w:r>
      <w:r>
        <w:t xml:space="preserve"> </w:t>
      </w:r>
      <w:r>
        <w:t xml:space="preserve">NF4-quantize the residual scaled by its abs-max, and add</w:t>
      </w:r>
      <w:r>
        <w:t xml:space="preserve"> </w:t>
      </w:r>
      <m:oMath>
        <m:r>
          <m:t>μ</m:t>
        </m:r>
      </m:oMath>
      <w:r>
        <w:t xml:space="preserve"> </w:t>
      </w:r>
      <w:r>
        <w:t xml:space="preserve">back at decode:</w:t>
      </w:r>
    </w:p>
    <w:p>
      <w:pPr>
        <w:pStyle w:val="BodyText"/>
      </w:pPr>
      <m:oMathPara>
        <m:oMathParaPr>
          <m:jc m:val="center"/>
        </m:oMathParaPr>
        <m:oMath>
          <m:acc>
            <m:accPr>
              <m:chr m:val="̂"/>
            </m:accPr>
            <m:e>
              <m:r>
                <m:t>x</m:t>
              </m:r>
            </m:e>
          </m:acc>
          <m:r>
            <m:t> </m:t>
          </m:r>
          <m:r>
            <m:rPr>
              <m:sty m:val="p"/>
            </m:rPr>
            <m:t>=</m:t>
          </m:r>
          <m:r>
            <m:t> </m:t>
          </m:r>
          <m:r>
            <m:t>μ</m:t>
          </m:r>
          <m:r>
            <m:t> </m:t>
          </m:r>
          <m:r>
            <m:rPr>
              <m:sty m:val="p"/>
            </m:rPr>
            <m:t>+</m:t>
          </m:r>
          <m:r>
            <m:t> </m:t>
          </m:r>
          <m:r>
            <m:rPr>
              <m:sty m:val="p"/>
            </m:rPr>
            <m:t>a</m:t>
          </m:r>
          <m:r>
            <m:rPr>
              <m:sty m:val="p"/>
            </m:rPr>
            <m:t>b</m:t>
          </m:r>
          <m:r>
            <m:rPr>
              <m:sty m:val="p"/>
            </m:rPr>
            <m:t>s</m:t>
          </m:r>
          <m:r>
            <m:rPr>
              <m:sty m:val="p"/>
            </m:rPr>
            <m:t>m</m:t>
          </m:r>
          <m:r>
            <m:rPr>
              <m:sty m:val="p"/>
            </m:rPr>
            <m:t>a</m:t>
          </m:r>
          <m:r>
            <m:rPr>
              <m:sty m:val="p"/>
            </m:rPr>
            <m:t>x</m:t>
          </m:r>
          <m:r>
            <m:rPr>
              <m:sty m:val="p"/>
            </m:rPr>
            <m:t>(</m:t>
          </m:r>
          <m:r>
            <m:t>x</m:t>
          </m:r>
          <m:r>
            <m:rPr>
              <m:sty m:val="p"/>
            </m:rPr>
            <m:t>−</m:t>
          </m:r>
          <m:r>
            <m:t>μ</m:t>
          </m:r>
          <m:r>
            <m:rPr>
              <m:sty m:val="p"/>
            </m:rPr>
            <m:t>)</m:t>
          </m:r>
          <m:r>
            <m:rPr>
              <m:sty m:val="p"/>
            </m:rPr>
            <m:t>⋅</m:t>
          </m:r>
          <m:r>
            <m:rPr>
              <m:sty m:val="p"/>
            </m:rPr>
            <m:t>N</m:t>
          </m:r>
          <m:r>
            <m:rPr>
              <m:sty m:val="p"/>
            </m:rPr>
            <m:t>F</m:t>
          </m:r>
          <m:r>
            <m:rPr>
              <m:sty m:val="p"/>
            </m:rPr>
            <m:t>4</m:t>
          </m:r>
          <m:r>
            <m:t>​</m:t>
          </m:r>
          <m:d>
            <m:dPr>
              <m:begChr m:val="("/>
              <m:sepChr m:val=""/>
              <m:endChr m:val=")"/>
              <m:grow/>
            </m:dPr>
            <m:e>
              <m:f>
                <m:fPr>
                  <m:type m:val="bar"/>
                </m:fPr>
                <m:num>
                  <m:r>
                    <m:t>x</m:t>
                  </m:r>
                  <m:r>
                    <m:rPr>
                      <m:sty m:val="p"/>
                    </m:rPr>
                    <m:t>−</m:t>
                  </m:r>
                  <m:r>
                    <m:t>μ</m:t>
                  </m:r>
                </m:num>
                <m:den>
                  <m:r>
                    <m:rPr>
                      <m:sty m:val="p"/>
                    </m:rPr>
                    <m:t>a</m:t>
                  </m:r>
                  <m:r>
                    <m:rPr>
                      <m:sty m:val="p"/>
                    </m:rPr>
                    <m:t>b</m:t>
                  </m:r>
                  <m:r>
                    <m:rPr>
                      <m:sty m:val="p"/>
                    </m:rPr>
                    <m:t>s</m:t>
                  </m:r>
                  <m:r>
                    <m:rPr>
                      <m:sty m:val="p"/>
                    </m:rPr>
                    <m:t>m</m:t>
                  </m:r>
                  <m:r>
                    <m:rPr>
                      <m:sty m:val="p"/>
                    </m:rPr>
                    <m:t>a</m:t>
                  </m:r>
                  <m:r>
                    <m:rPr>
                      <m:sty m:val="p"/>
                    </m:rPr>
                    <m:t>x</m:t>
                  </m:r>
                  <m:r>
                    <m:rPr>
                      <m:sty m:val="p"/>
                    </m:rPr>
                    <m:t>(</m:t>
                  </m:r>
                  <m:r>
                    <m:t>x</m:t>
                  </m:r>
                  <m:r>
                    <m:rPr>
                      <m:sty m:val="p"/>
                    </m:rPr>
                    <m:t>−</m:t>
                  </m:r>
                  <m:r>
                    <m:t>μ</m:t>
                  </m:r>
                  <m:r>
                    <m:rPr>
                      <m:sty m:val="p"/>
                    </m:rPr>
                    <m:t>)</m:t>
                  </m:r>
                </m:den>
              </m:f>
            </m:e>
          </m:d>
          <m:r>
            <m:rPr>
              <m:sty m:val="p"/>
            </m:rPr>
            <m:t>.</m:t>
          </m:r>
        </m:oMath>
      </m:oMathPara>
    </w:p>
    <w:p>
      <w:pPr>
        <w:pStyle w:val="FirstParagraph"/>
      </w:pPr>
      <w:r>
        <w:t xml:space="preserve">This stores one extra fp32 scalar per channel (</w:t>
      </w:r>
      <m:oMath>
        <m:r>
          <m:t>μ</m:t>
        </m:r>
      </m:oMath>
      <w:r>
        <w:t xml:space="preserve">) beyond NF4’s abs-max—negligible</w:t>
      </w:r>
      <w:r>
        <w:t xml:space="preserve"> </w:t>
      </w:r>
      <w:r>
        <w:t xml:space="preserve">(4-bit compression ratio 7.9</w:t>
      </w:r>
      <m:oMath>
        <m:r>
          <m:rPr>
            <m:sty m:val="p"/>
          </m:rPr>
          <m:t>×</m:t>
        </m:r>
      </m:oMath>
      <w:r>
        <w:t xml:space="preserve">, identical to NF4). It keeps NF4’s nonlinear levels (so it</w:t>
      </w:r>
      <w:r>
        <w:t xml:space="preserve"> </w:t>
      </w:r>
      <w:r>
        <w:rPr>
          <w:i/>
          <w:iCs/>
        </w:rPr>
        <w:t xml:space="preserve">beats</w:t>
      </w:r>
      <w:r>
        <w:t xml:space="preserve"> </w:t>
      </w:r>
      <w:r>
        <w:t xml:space="preserve">uniform) while centring the grid on the data (so it</w:t>
      </w:r>
      <w:r>
        <w:t xml:space="preserve"> </w:t>
      </w:r>
      <w:r>
        <w:rPr>
          <w:i/>
          <w:iCs/>
        </w:rPr>
        <w:t xml:space="preserve">does not collapse</w:t>
      </w:r>
      <w:r>
        <w:t xml:space="preserve">).</w:t>
      </w:r>
      <w:r>
        <w:t xml:space="preserve"> </w:t>
      </w:r>
      <w:r>
        <w:t xml:space="preserve">Figure </w:t>
      </w:r>
      <w:hyperlink w:anchor="fig:asymnf4">
        <w:r>
          <w:rPr>
            <w:rStyle w:val="Hyperlink"/>
          </w:rPr>
          <w:t xml:space="preserve">4</w:t>
        </w:r>
      </w:hyperlink>
      <w:r>
        <w:t xml:space="preserve"> </w:t>
      </w:r>
      <w:r>
        <w:t xml:space="preserve">shows the intuition. Tables </w:t>
      </w:r>
      <w:hyperlink w:anchor="tab:qasper">
        <w:r>
          <w:rPr>
            <w:rStyle w:val="Hyperlink"/>
          </w:rPr>
          <w:t xml:space="preserve">1</w:t>
        </w:r>
      </w:hyperlink>
      <w:r>
        <w:t xml:space="preserve">–</w:t>
      </w:r>
      <w:hyperlink w:anchor="tab:ppl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show</w:t>
      </w:r>
      <w:r>
        <w:t xml:space="preserve"> </w:t>
      </w:r>
      <w:r>
        <w:t xml:space="preserve">asym-NF4 is best-or-tied on every model.</w:t>
      </w:r>
    </w:p>
    <w:bookmarkStart w:id="37" w:name="fig:asymnf4"/>
    <w:p>
      <w:pPr>
        <w:pStyle w:val="CaptionedFigure"/>
      </w:pPr>
      <w:r>
        <w:drawing>
          <wp:inline>
            <wp:extent cx="5334000" cy="2727613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fig_asymnf4.pdf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72761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On a DC-offset key channel, symmetric NF4 (left) places most of its 16 codes where</w:t>
      </w:r>
      <w:r>
        <w:t xml:space="preserve"> </w:t>
      </w:r>
      <w:r>
        <w:t xml:space="preserve">there is no data; asym-NF4 (right) centres the grid, so every code is used.</w:t>
      </w:r>
    </w:p>
    <w:bookmarkEnd w:id="37"/>
    <w:bookmarkStart w:id="38" w:name="breadth."/>
    <w:p>
      <w:pPr>
        <w:pStyle w:val="Heading4"/>
      </w:pPr>
      <w:r>
        <w:t xml:space="preserve">Breadth.</w:t>
      </w:r>
    </w:p>
    <w:p>
      <w:pPr>
        <w:pStyle w:val="FirstParagraph"/>
      </w:pPr>
      <w:r>
        <w:t xml:space="preserve">Across seven further LongBench tasks (single/multi-doc QA, multi-hop, summarization, dialogue),</w:t>
      </w:r>
      <w:r>
        <w:t xml:space="preserve"> </w:t>
      </w:r>
      <w:r>
        <w:t xml:space="preserve">asym-NF4 rescues Qwen’s NF4 collapse on</w:t>
      </w:r>
      <w:r>
        <w:t xml:space="preserve"> </w:t>
      </w:r>
      <w:r>
        <w:rPr>
          <w:i/>
          <w:iCs/>
        </w:rPr>
        <w:t xml:space="preserve">every</w:t>
      </w:r>
      <w:r>
        <w:t xml:space="preserve"> </w:t>
      </w:r>
      <w:r>
        <w:t xml:space="preserve">task: the 7-task average rises from</w:t>
      </w:r>
      <w:r>
        <w:t xml:space="preserve"> </w:t>
      </w:r>
      <w:r>
        <w:rPr>
          <w:b/>
          <w:bCs/>
        </w:rPr>
        <w:t xml:space="preserve">5.3</w:t>
      </w:r>
      <w:r>
        <w:t xml:space="preserve"> </w:t>
      </w:r>
      <w:r>
        <w:t xml:space="preserve">(NF4) to</w:t>
      </w:r>
      <w:r>
        <w:t xml:space="preserve"> </w:t>
      </w:r>
      <w:r>
        <w:rPr>
          <w:b/>
          <w:bCs/>
        </w:rPr>
        <w:t xml:space="preserve">37.3</w:t>
      </w:r>
      <w:r>
        <w:t xml:space="preserve"> </w:t>
      </w:r>
      <w:r>
        <w:t xml:space="preserve">(asym-NF4) against 41.1 (fp16). It is near-fp16 on the QA,</w:t>
      </w:r>
      <w:r>
        <w:t xml:space="preserve"> </w:t>
      </w:r>
      <w:r>
        <w:t xml:space="preserve">multi-hop, and dialogue tasks; the residual gap to fp16 concentrates entirely on two</w:t>
      </w:r>
      <w:r>
        <w:t xml:space="preserve"> </w:t>
      </w:r>
      <w:r>
        <w:t xml:space="preserve">tasks, which the next section shows is a generation-length effect, not a task-type one.</w:t>
      </w:r>
    </w:p>
    <w:bookmarkEnd w:id="38"/>
    <w:bookmarkEnd w:id="39"/>
    <w:bookmarkStart w:id="45" w:name="sec:longgen"/>
    <w:p>
      <w:pPr>
        <w:pStyle w:val="Heading1"/>
      </w:pPr>
      <w:r>
        <w:t xml:space="preserve">A general limitation: long-generation degradation</w:t>
      </w:r>
    </w:p>
    <w:p>
      <w:pPr>
        <w:pStyle w:val="FirstParagraph"/>
      </w:pPr>
      <w:r>
        <w:t xml:space="preserve">asym-NF4 is still 4-bit, so a small per-channel key error remains. On Qwen its per-task gap to</w:t>
      </w:r>
      <w:r>
        <w:t xml:space="preserve"> </w:t>
      </w:r>
      <w:r>
        <w:t xml:space="preserve">fp16 is negligible on six of the seven breadth tasks but large on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multi_news</w:t>
      </w:r>
      <w:r>
        <w:t xml:space="preserve">. These are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“the summarization tasks”</w:t>
      </w:r>
      <w:r>
        <w:t xml:space="preserve">:</w:t>
      </w:r>
      <w:r>
        <w:t xml:space="preserve"> </w:t>
      </w:r>
      <w:r>
        <w:rPr>
          <w:rStyle w:val="VerbatimChar"/>
        </w:rPr>
        <w:t xml:space="preserve">samsum</w:t>
      </w:r>
      <w:r>
        <w:t xml:space="preserve"> </w:t>
      </w:r>
      <w:r>
        <w:t xml:space="preserve">is also</w:t>
      </w:r>
      <w:r>
        <w:t xml:space="preserve"> </w:t>
      </w:r>
      <w:r>
        <w:t xml:space="preserve">summarization and is fine (gap 0.9). They are the two tasks with</w:t>
      </w:r>
      <w:r>
        <w:t xml:space="preserve"> </w:t>
      </w:r>
      <w:r>
        <w:rPr>
          <w:rStyle w:val="VerbatimChar"/>
        </w:rPr>
        <w:t xml:space="preserve">max_new_tokens</w:t>
      </w:r>
      <w:r>
        <w:t xml:space="preserve">=512;</w:t>
      </w:r>
      <w:r>
        <w:t xml:space="preserve"> </w:t>
      </w:r>
      <w:r>
        <w:t xml:space="preserve">every other task generates</w:t>
      </w:r>
      <w:r>
        <w:t xml:space="preserve"> </w:t>
      </w:r>
      <m:oMath>
        <m:r>
          <m:rPr>
            <m:sty m:val="p"/>
          </m:rPr>
          <m:t>≤</m:t>
        </m:r>
      </m:oMath>
      <w:r>
        <w:t xml:space="preserve">128. The gap tracks</w:t>
      </w:r>
      <w:r>
        <w:t xml:space="preserve"> </w:t>
      </w:r>
      <w:r>
        <w:rPr>
          <w:b/>
          <w:bCs/>
        </w:rPr>
        <w:t xml:space="preserve">generation length</w:t>
      </w:r>
      <w:r>
        <w:t xml:space="preserve">, not task type</w:t>
      </w:r>
      <w:r>
        <w:t xml:space="preserve"> </w:t>
      </w:r>
      <w:r>
        <w:t xml:space="preserve">(Table </w:t>
      </w:r>
      <w:hyperlink w:anchor="tab:longgen">
        <w:r>
          <w:rPr>
            <w:rStyle w:val="Hyperlink"/>
          </w:rPr>
          <w:t xml:space="preserve">3</w:t>
        </w:r>
      </w:hyperlink>
      <w:r>
        <w:t xml:space="preserve">).</w:t>
      </w:r>
    </w:p>
    <w:bookmarkStart w:id="40" w:name="tab:longgen"/>
    <w:p>
      <w:pPr>
        <w:pStyle w:val="TableCaption"/>
      </w:pPr>
      <w:r>
        <w:t xml:space="preserve">Qwen2.5-7B: asym-NF4’s gap to fp16 tracks generation length, not task type.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Qwen2.5-7B: asym-NF4’s gap to fp16 tracks generation length, not task type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task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Style w:val="VerbatimChar"/>
              </w:rPr>
              <w:t xml:space="preserve">max_gen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fp16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asym-NF4 (gap)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2wikimqa / hotpotqa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47.1 / 57.7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45.2 / 56.3 (1.4–1.9)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multifieldqa_en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52.6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52.0 (0.6)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narrativeqa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28.8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28.1 (0.7)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samsum</w:t>
            </w:r>
            <w:r>
              <w:t xml:space="preserve"> </w:t>
            </w:r>
            <w:r>
              <w:rPr>
                <w:i/>
                <w:iCs/>
              </w:rPr>
              <w:t xml:space="preserve">(summ.)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46.0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45.1 (0.9)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gov_report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512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31.8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18.1</w:t>
            </w:r>
            <w:r>
              <w:t xml:space="preserve"> </w:t>
            </w:r>
            <w:r>
              <w:t xml:space="preserve">(13.7)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multi_news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512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24.0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16.5</w:t>
            </w:r>
            <w:r>
              <w:t xml:space="preserve"> </w:t>
            </w:r>
            <w:r>
              <w:t xml:space="preserve">(7.5)</w:t>
            </w:r>
          </w:p>
        </w:tc>
      </w:tr>
    </w:tbl>
    <w:bookmarkEnd w:id="40"/>
    <w:bookmarkStart w:id="42" w:name="isolating-generation-length."/>
    <w:p>
      <w:pPr>
        <w:pStyle w:val="Heading4"/>
      </w:pPr>
      <w:r>
        <w:t xml:space="preserve">Isolating generation length.</w:t>
      </w:r>
    </w:p>
    <w:p>
      <w:pPr>
        <w:pStyle w:val="FirstParagraph"/>
      </w:pPr>
      <w:r>
        <w:t xml:space="preserve">The cleanest test holds the task and model</w:t>
      </w:r>
      <w:r>
        <w:t xml:space="preserve"> </w:t>
      </w:r>
      <w:r>
        <w:t xml:space="preserve">fixed and varies only</w:t>
      </w:r>
      <w:r>
        <w:t xml:space="preserve"> </w:t>
      </w:r>
      <w:r>
        <w:rPr>
          <w:rStyle w:val="VerbatimChar"/>
        </w:rPr>
        <w:t xml:space="preserve">max_new_tokens</w:t>
      </w:r>
      <w:r>
        <w:t xml:space="preserve">. On Qwen2.5-7B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 </w:t>
      </w:r>
      <w:r>
        <w:t xml:space="preserve">(</w:t>
      </w:r>
      <m:oMath>
        <m:r>
          <m:t>n</m:t>
        </m:r>
        <m:r>
          <m:rPr>
            <m:sty m:val="p"/>
          </m:rPr>
          <m:t>=</m:t>
        </m:r>
        <m:r>
          <m:t>200</m:t>
        </m:r>
      </m:oMath>
      <w:r>
        <w:t xml:space="preserve">), sweeping</w:t>
      </w:r>
      <w:r>
        <w:t xml:space="preserve"> </w:t>
      </w:r>
      <w:r>
        <w:rPr>
          <w:rStyle w:val="VerbatimChar"/>
        </w:rPr>
        <w:t xml:space="preserve">max_gen</w:t>
      </w:r>
      <m:oMath>
        <m:r>
          <m:t> </m:t>
        </m:r>
        <m:r>
          <m:rPr>
            <m:sty m:val="p"/>
          </m:rPr>
          <m:t>∈</m:t>
        </m:r>
        <m:r>
          <m:rPr>
            <m:sty m:val="p"/>
          </m:rPr>
          <m:t>{</m:t>
        </m:r>
        <m:r>
          <m:t>64</m:t>
        </m:r>
        <m:r>
          <m:rPr>
            <m:sty m:val="p"/>
          </m:rPr>
          <m:t>,</m:t>
        </m:r>
        <m:r>
          <m:t>128</m:t>
        </m:r>
        <m:r>
          <m:rPr>
            <m:sty m:val="p"/>
          </m:rPr>
          <m:t>,</m:t>
        </m:r>
        <m:r>
          <m:t>256</m:t>
        </m:r>
        <m:r>
          <m:rPr>
            <m:sty m:val="p"/>
          </m:rPr>
          <m:t>}</m:t>
        </m:r>
      </m:oMath>
      <w:r>
        <w:t xml:space="preserve"> </w:t>
      </w:r>
      <w:r>
        <w:t xml:space="preserve">(Table </w:t>
      </w:r>
      <w:hyperlink w:anchor="tab:mgsweep">
        <w:r>
          <w:rPr>
            <w:rStyle w:val="Hyperlink"/>
          </w:rPr>
          <w:t xml:space="preserve">4</w:t>
        </w:r>
      </w:hyperlink>
      <w:r>
        <w:t xml:space="preserve">),</w:t>
      </w:r>
      <w:r>
        <w:t xml:space="preserve"> </w:t>
      </w:r>
      <w:r>
        <w:t xml:space="preserve">asym-NF4 is near-lossless at 64 tokens (1.7% relative) but the gap to fp16 widens</w:t>
      </w:r>
      <w:r>
        <w:t xml:space="preserve"> </w:t>
      </w:r>
      <w:r>
        <w:rPr>
          <w:i/>
          <w:iCs/>
        </w:rPr>
        <w:t xml:space="preserve">monotonically</w:t>
      </w:r>
      <w:r>
        <w:t xml:space="preserve"> </w:t>
      </w:r>
      <w:r>
        <w:t xml:space="preserve">to 20% at 128 and 35% at 256. fp16 keeps converting the longer</w:t>
      </w:r>
      <w:r>
        <w:t xml:space="preserve"> </w:t>
      </w:r>
      <w:r>
        <w:t xml:space="preserve">budget into higher ROUGE (14.8</w:t>
      </w:r>
      <m:oMath>
        <m:r>
          <m:rPr>
            <m:sty m:val="p"/>
          </m:rPr>
          <m:t>→</m:t>
        </m:r>
      </m:oMath>
      <w:r>
        <w:t xml:space="preserve">27.3) while asym-NF4 saturates</w:t>
      </w:r>
      <w:r>
        <w:t xml:space="preserve"> </w:t>
      </w:r>
      <w:r>
        <w:t xml:space="preserve">(14.6</w:t>
      </w:r>
      <m:oMath>
        <m:r>
          <m:rPr>
            <m:sty m:val="p"/>
          </m:rPr>
          <m:t>→</m:t>
        </m:r>
      </m:oMath>
      <w:r>
        <w:t xml:space="preserve">17.7) and plateaus toward the 512-token point in</w:t>
      </w:r>
      <w:r>
        <w:t xml:space="preserve"> </w:t>
      </w:r>
      <w:r>
        <w:t xml:space="preserve">Table </w:t>
      </w:r>
      <w:hyperlink w:anchor="tab:longgen">
        <w:r>
          <w:rPr>
            <w:rStyle w:val="Hyperlink"/>
          </w:rPr>
          <w:t xml:space="preserve">3</w:t>
        </w:r>
      </w:hyperlink>
      <w:r>
        <w:t xml:space="preserve">. Same task, same model—only the decode length changes—so the</w:t>
      </w:r>
      <w:r>
        <w:t xml:space="preserve"> </w:t>
      </w:r>
      <w:r>
        <w:t xml:space="preserve">degradation is unambiguously a generation-length effect, not a task-type artifact.</w:t>
      </w:r>
    </w:p>
    <w:bookmarkStart w:id="41" w:name="tab:mgsweep"/>
    <w:p>
      <w:pPr>
        <w:pStyle w:val="TableCaption"/>
      </w:pPr>
      <w:r>
        <w:t xml:space="preserve">Controlled</w:t>
      </w:r>
      <w:r>
        <w:t xml:space="preserve"> </w:t>
      </w:r>
      <w:r>
        <w:rPr>
          <w:rStyle w:val="VerbatimChar"/>
        </w:rPr>
        <w:t xml:space="preserve">max_new_tokens</w:t>
      </w:r>
      <w:r>
        <w:t xml:space="preserve"> </w:t>
      </w:r>
      <w:r>
        <w:t xml:space="preserve">sweep, single task (Qwen2.5-7B,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,</w:t>
      </w:r>
      <w:r>
        <w:t xml:space="preserve"> </w:t>
      </w:r>
      <m:oMath>
        <m:r>
          <m:t>n</m:t>
        </m:r>
        <m:r>
          <m:rPr>
            <m:sty m:val="p"/>
          </m:rPr>
          <m:t>=</m:t>
        </m:r>
        <m:r>
          <m:t>200</m:t>
        </m:r>
      </m:oMath>
      <w:r>
        <w:t xml:space="preserve">, ROUGE</w:t>
      </w:r>
      <w:r>
        <w:t xml:space="preserve"> </w:t>
      </w:r>
      <m:oMath>
        <m:r>
          <m:rPr>
            <m:sty m:val="p"/>
          </m:rPr>
          <m:t>↑</m:t>
        </m:r>
      </m:oMath>
      <w:r>
        <w:t xml:space="preserve">). With task and model fixed, asym-NF4’s gap</w:t>
      </w:r>
      <w:r>
        <w:t xml:space="preserve"> </w:t>
      </w:r>
      <w:r>
        <w:t xml:space="preserve">to fp16 grows monotonically with generation length: fp16 keeps gaining from the longer</w:t>
      </w:r>
      <w:r>
        <w:t xml:space="preserve"> </w:t>
      </w:r>
      <w:r>
        <w:t xml:space="preserve">budget while asym-NF4 saturates as its 4-bit residual error compounds over the decode.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Controlled max_new_tokens sweep, single task (Qwen2.5-7B, gov_report, n=200, ROUGE \uparrow). With task and model fixed, asym-NF4’s gap to fp16 grows monotonically with generation length: fp16 keeps gaining from the longer budget while asym-NF4 saturates as its 4-bit residual error compounds over the decode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rPr>
                <w:rStyle w:val="VerbatimChar"/>
              </w:rPr>
              <w:t xml:space="preserve">max_gen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fp16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asym-NF4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gap (rel.)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64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14.81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14.56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0.25 (1.7%)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128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20.57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16.38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4.19 (20%)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256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27.31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17.71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9.60 (35%)</w:t>
            </w:r>
          </w:p>
        </w:tc>
      </w:tr>
    </w:tbl>
    <w:bookmarkEnd w:id="41"/>
    <w:bookmarkEnd w:id="42"/>
    <w:bookmarkStart w:id="43" w:name="it-is-not-gqa-specific."/>
    <w:p>
      <w:pPr>
        <w:pStyle w:val="Heading4"/>
      </w:pPr>
      <w:r>
        <w:t xml:space="preserve">It is not GQA-specific.</w:t>
      </w:r>
    </w:p>
    <w:p>
      <w:pPr>
        <w:pStyle w:val="FirstParagraph"/>
      </w:pPr>
      <w:r>
        <w:t xml:space="preserve">The same effect appears on Llama-2-7B—the error-</w:t>
      </w:r>
      <w:r>
        <w:rPr>
          <w:i/>
          <w:iCs/>
        </w:rPr>
        <w:t xml:space="preserve">tolerant</w:t>
      </w:r>
      <w:r>
        <w:t xml:space="preserve"> </w:t>
      </w:r>
      <w:r>
        <w:t xml:space="preserve">MHA model that shrugs off quantization on every short task: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 </w:t>
      </w:r>
      <w:r>
        <w:t xml:space="preserve">drops from 26.8</w:t>
      </w:r>
      <w:r>
        <w:t xml:space="preserve"> </w:t>
      </w:r>
      <w:r>
        <w:t xml:space="preserve">(fp16) to 14.6 (asym-NF4), a</w:t>
      </w:r>
      <w:r>
        <w:t xml:space="preserve"> </w:t>
      </w:r>
      <w:r>
        <w:rPr>
          <w:b/>
          <w:bCs/>
        </w:rPr>
        <w:t xml:space="preserve">12.1</w:t>
      </w:r>
      <w:r>
        <w:t xml:space="preserve"> </w:t>
      </w:r>
      <w:r>
        <w:t xml:space="preserve">gap matching Qwen’s 13.7. So long-generation</w:t>
      </w:r>
      <w:r>
        <w:t xml:space="preserve"> </w:t>
      </w:r>
      <w:r>
        <w:t xml:space="preserve">degradation is a</w:t>
      </w:r>
      <w:r>
        <w:t xml:space="preserve"> </w:t>
      </w:r>
      <w:r>
        <w:rPr>
          <w:i/>
          <w:iCs/>
        </w:rPr>
        <w:t xml:space="preserve">general</w:t>
      </w:r>
      <w:r>
        <w:t xml:space="preserve"> </w:t>
      </w:r>
      <w:r>
        <w:t xml:space="preserve">property of 4-bit KV quantization under long autoregressive</w:t>
      </w:r>
      <w:r>
        <w:t xml:space="preserve"> </w:t>
      </w:r>
      <w:r>
        <w:t xml:space="preserve">decoding—distinct from the GQA-specific codebook collapse, and not fixable by the codebook.</w:t>
      </w:r>
    </w:p>
    <w:bookmarkEnd w:id="43"/>
    <w:bookmarkStart w:id="44" w:name="mechanism-compounding."/>
    <w:p>
      <w:pPr>
        <w:pStyle w:val="Heading4"/>
      </w:pPr>
      <w:r>
        <w:t xml:space="preserve">Mechanism: compounding.</w:t>
      </w:r>
    </w:p>
    <w:p>
      <w:pPr>
        <w:pStyle w:val="FirstParagraph"/>
      </w:pPr>
      <w:r>
        <w:t xml:space="preserve">Each decode step reads the quantized prefill with a small</w:t>
      </w:r>
      <w:r>
        <w:t xml:space="preserve"> </w:t>
      </w:r>
      <w:r>
        <w:t xml:space="preserve">residual error; over hundreds of steps, with the model conditioning on its own increasingly</w:t>
      </w:r>
      <w:r>
        <w:t xml:space="preserve"> </w:t>
      </w:r>
      <w:r>
        <w:t xml:space="preserve">drifted output, the error compounds. A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 </w:t>
      </w:r>
      <w:r>
        <w:t xml:space="preserve">generation makes this concrete: the</w:t>
      </w:r>
      <w:r>
        <w:t xml:space="preserve"> </w:t>
      </w:r>
      <w:r>
        <w:t xml:space="preserve">asym-NF4 summary opens faithfully (</w:t>
      </w:r>
      <w:r>
        <w:t xml:space="preserve">“</w:t>
      </w:r>
      <w:r>
        <w:rPr>
          <w:i/>
          <w:iCs/>
        </w:rPr>
        <w:t xml:space="preserve">This report examines the use of Multiyear</w:t>
      </w:r>
      <w:r>
        <w:rPr>
          <w:i/>
          <w:iCs/>
        </w:rPr>
        <w:t xml:space="preserve"> </w:t>
      </w:r>
      <w:r>
        <w:rPr>
          <w:i/>
          <w:iCs/>
        </w:rPr>
        <w:t xml:space="preserve">Procurement…</w:t>
      </w:r>
      <w:r>
        <w:t xml:space="preserve">”</w:t>
      </w:r>
      <w:r>
        <w:t xml:space="preserve">) and</w:t>
      </w:r>
      <w:r>
        <w:t xml:space="preserve"> </w:t>
      </w:r>
      <w:r>
        <w:rPr>
          <w:b/>
          <w:bCs/>
        </w:rPr>
        <w:t xml:space="preserve">degenerates into token soup by the tail</w:t>
      </w:r>
      <w:r>
        <w:t xml:space="preserve"> </w:t>
      </w:r>
      <w:r>
        <w:t xml:space="preserve">(</w:t>
      </w:r>
      <w:r>
        <w:t xml:space="preserve">“</w:t>
      </w:r>
      <w:r>
        <w:rPr>
          <w:i/>
          <w:iCs/>
        </w:rPr>
        <w:t xml:space="preserve">for ( (,.</w:t>
      </w:r>
      <w:r>
        <w:rPr>
          <w:i/>
          <w:iCs/>
        </w:rPr>
        <w:t xml:space="preserve"> </w:t>
      </w:r>
      <w:r>
        <w:rPr>
          <w:i/>
          <w:iCs/>
        </w:rPr>
        <w:t xml:space="preserve">real ( ( ( ( the…</w:t>
      </w:r>
      <w:r>
        <w:t xml:space="preserve">”</w:t>
      </w:r>
      <w:r>
        <w:t xml:space="preserve">), whereas fp16 stays coherent throughout—and the degenerate output</w:t>
      </w:r>
      <w:r>
        <w:t xml:space="preserve"> </w:t>
      </w:r>
      <w:r>
        <w:t xml:space="preserve">fails to emit</w:t>
      </w:r>
      <w:r>
        <w:t xml:space="preserve"> </w:t>
      </w:r>
      <w:r>
        <w:rPr>
          <w:rStyle w:val="VerbatimChar"/>
        </w:rPr>
        <w:t xml:space="preserve">EOS</w:t>
      </w:r>
      <w:r>
        <w:t xml:space="preserve">, running to the full length. The remedy is orthogonal to the codebook</w:t>
      </w:r>
      <w:r>
        <w:t xml:space="preserve"> </w:t>
      </w:r>
      <w:r>
        <w:t xml:space="preserve">(a larger fp16 window or</w:t>
      </w:r>
      <w:r>
        <w:t xml:space="preserve"> </w:t>
      </w:r>
      <m:oMath>
        <m:r>
          <m:rPr>
            <m:sty m:val="p"/>
          </m:rPr>
          <m:t>≥</m:t>
        </m:r>
      </m:oMath>
      <w:r>
        <w:t xml:space="preserve">5 bits for long-output workloads), which we leave to future work.</w:t>
      </w:r>
    </w:p>
    <w:bookmarkEnd w:id="44"/>
    <w:bookmarkEnd w:id="45"/>
    <w:bookmarkStart w:id="46" w:name="recommendations"/>
    <w:p>
      <w:pPr>
        <w:pStyle w:val="Heading1"/>
      </w:pPr>
      <w:r>
        <w:t xml:space="preserve">Recommendations</w:t>
      </w:r>
    </w:p>
    <w:p>
      <w:pPr>
        <w:pStyle w:val="FirstParagraph"/>
      </w:pPr>
      <w:r>
        <w:t xml:space="preserve">Use asym-NF4 by default. In the released library this is</w:t>
      </w:r>
      <w:r>
        <w:t xml:space="preserve"> </w:t>
      </w:r>
      <w:r>
        <w:rPr>
          <w:rStyle w:val="VerbatimChar"/>
        </w:rPr>
        <w:t xml:space="preserve">TurboQuantKVCache.robust()</w:t>
      </w:r>
      <w:r>
        <w:t xml:space="preserve">.</w:t>
      </w:r>
      <w:r>
        <w:t xml:space="preserve"> </w:t>
      </w:r>
      <w:r>
        <w:t xml:space="preserve">Symmetric NF4 should not be shipped for unknown or high-GQA models; asymmetric uniform is a</w:t>
      </w:r>
      <w:r>
        <w:t xml:space="preserve"> </w:t>
      </w:r>
      <w:r>
        <w:t xml:space="preserve">safe but lower-quality fallback. Pre- vs. post-RoPE quantization is a model-specific</w:t>
      </w:r>
      <w:r>
        <w:t xml:space="preserve"> </w:t>
      </w:r>
      <w:r>
        <w:t xml:space="preserve">micro-optimization (it helps Llama-2-7B but hurts Llama-2-13B and Mistral) and is not a</w:t>
      </w:r>
      <w:r>
        <w:t xml:space="preserve"> </w:t>
      </w:r>
      <w:r>
        <w:t xml:space="preserve">recommended default.</w:t>
      </w:r>
    </w:p>
    <w:bookmarkEnd w:id="46"/>
    <w:bookmarkStart w:id="47" w:name="limitations"/>
    <w:p>
      <w:pPr>
        <w:pStyle w:val="Heading1"/>
      </w:pPr>
      <w:r>
        <w:t xml:space="preserve">Limitations</w:t>
      </w:r>
    </w:p>
    <w:p>
      <w:pPr>
        <w:pStyle w:val="FirstParagraph"/>
      </w:pPr>
      <w:r>
        <w:t xml:space="preserve">Four models</w:t>
      </w:r>
      <w:r>
        <w:t xml:space="preserve"> </w:t>
      </w:r>
      <m:oMath>
        <m:r>
          <m:rPr>
            <m:sty m:val="p"/>
          </m:rPr>
          <m:t>≤</m:t>
        </m:r>
      </m:oMath>
      <w:r>
        <w:t xml:space="preserve">13B; LongBench English and WikiText-2; no MoE or</w:t>
      </w:r>
      <w:r>
        <w:t xml:space="preserve"> </w:t>
      </w:r>
      <m:oMath>
        <m:r>
          <m:rPr>
            <m:sty m:val="p"/>
          </m:rPr>
          <m:t>&gt;</m:t>
        </m:r>
      </m:oMath>
      <w:r>
        <w:t xml:space="preserve">13B models.</w:t>
      </w:r>
      <w:r>
        <w:t xml:space="preserve"> </w:t>
      </w:r>
      <w:r>
        <w:rPr>
          <w:i/>
          <w:iCs/>
        </w:rPr>
        <w:t xml:space="preserve">Same-harness competitor baselines are not yet faithful.</w:t>
      </w:r>
      <w:r>
        <w:t xml:space="preserve"> </w:t>
      </w:r>
      <w:r>
        <w:t xml:space="preserve">Our in-harness KVQuant</w:t>
      </w:r>
      <w:r>
        <w:t xml:space="preserve"> </w:t>
      </w:r>
      <w:r>
        <w:t xml:space="preserve">implementation (offline Fisher-weighted per-channel NUQ, pre-RoPE) runs end-to-end but</w:t>
      </w:r>
      <w:r>
        <w:t xml:space="preserve"> </w:t>
      </w:r>
      <w:r>
        <w:t xml:space="preserve">reaches only</w:t>
      </w:r>
      <w:r>
        <w:t xml:space="preserve"> </w:t>
      </w:r>
      <w:r>
        <w:rPr>
          <w:b/>
          <w:bCs/>
        </w:rPr>
        <w:t xml:space="preserve">8.16</w:t>
      </w:r>
      <w:r>
        <w:t xml:space="preserve"> </w:t>
      </w:r>
      <w:r>
        <w:t xml:space="preserve">qasper on Llama-2-7B at 4 bits—far short of the published</w:t>
      </w:r>
      <w:r>
        <w:t xml:space="preserve"> </w:t>
      </w:r>
      <m:oMath>
        <m:r>
          <m:rPr>
            <m:sty m:val="p"/>
          </m:rPr>
          <m:t>∼</m:t>
        </m:r>
        <m:r>
          <m:t>21</m:t>
        </m:r>
      </m:oMath>
      <w:r>
        <w:t xml:space="preserve">—so it is not a credible reproduction; the KVQuant/KIVI comparison here therefore</w:t>
      </w:r>
      <w:r>
        <w:t xml:space="preserve"> </w:t>
      </w:r>
      <w:r>
        <w:t xml:space="preserve">relies on the vendors’</w:t>
      </w:r>
      <w:r>
        <w:t xml:space="preserve"> </w:t>
      </w:r>
      <w:r>
        <w:rPr>
          <w:i/>
          <w:iCs/>
        </w:rPr>
        <w:t xml:space="preserve">published</w:t>
      </w:r>
      <w:r>
        <w:t xml:space="preserve"> </w:t>
      </w:r>
      <w:r>
        <w:t xml:space="preserve">figures rather than a controlled same-harness run, and</w:t>
      </w:r>
      <w:r>
        <w:t xml:space="preserve"> </w:t>
      </w:r>
      <w:r>
        <w:t xml:space="preserve">a faithful in-harness calibrated comparison remains future work. The GQA-ratio–tolerance</w:t>
      </w:r>
      <w:r>
        <w:t xml:space="preserve"> </w:t>
      </w:r>
      <w:r>
        <w:t xml:space="preserve">hypothesis is tested on four points. The long-generation</w:t>
      </w:r>
      <w:r>
        <w:t xml:space="preserve"> </w:t>
      </w:r>
      <w:r>
        <w:t xml:space="preserve">degradation (§</w:t>
      </w:r>
      <w:hyperlink w:anchor="sec:longgen">
        <w:r>
          <w:rPr>
            <w:rStyle w:val="Hyperlink"/>
          </w:rPr>
          <w:t xml:space="preserve">6</w:t>
        </w:r>
      </w:hyperlink>
      <w:r>
        <w:t xml:space="preserve">) is characterized on</w:t>
      </w:r>
      <w:r>
        <w:t xml:space="preserve"> </w:t>
      </w:r>
      <w:r>
        <w:rPr>
          <w:rStyle w:val="VerbatimChar"/>
        </w:rPr>
        <w:t xml:space="preserve">gov_report</w:t>
      </w:r>
      <w:r>
        <w:t xml:space="preserve">/</w:t>
      </w:r>
      <w:r>
        <w:rPr>
          <w:rStyle w:val="VerbatimChar"/>
        </w:rPr>
        <w:t xml:space="preserve">multi_news</w:t>
      </w:r>
      <w:r>
        <w:t xml:space="preserve"> </w:t>
      </w:r>
      <w:r>
        <w:t xml:space="preserve">and confirmed by a controlled</w:t>
      </w:r>
      <w:r>
        <w:t xml:space="preserve"> </w:t>
      </w:r>
      <w:r>
        <w:rPr>
          <w:rStyle w:val="VerbatimChar"/>
        </w:rPr>
        <w:t xml:space="preserve">max_new_tokens</w:t>
      </w:r>
      <w:r>
        <w:t xml:space="preserve"> </w:t>
      </w:r>
      <w:r>
        <w:t xml:space="preserve">sweep on a single task</w:t>
      </w:r>
      <w:r>
        <w:t xml:space="preserve"> </w:t>
      </w:r>
      <w:r>
        <w:t xml:space="preserve">(Table </w:t>
      </w:r>
      <w:hyperlink w:anchor="tab:mgsweep">
        <w:r>
          <w:rPr>
            <w:rStyle w:val="Hyperlink"/>
          </w:rPr>
          <w:t xml:space="preserve">4</w:t>
        </w:r>
      </w:hyperlink>
      <w:r>
        <w:t xml:space="preserve">); a remedy (larger fp16 window or</w:t>
      </w:r>
      <w:r>
        <w:t xml:space="preserve"> </w:t>
      </w:r>
      <m:oMath>
        <m:r>
          <m:rPr>
            <m:sty m:val="p"/>
          </m:rPr>
          <m:t>≥</m:t>
        </m:r>
      </m:oMath>
      <w:r>
        <w:t xml:space="preserve">5-bit values for long-output</w:t>
      </w:r>
      <w:r>
        <w:t xml:space="preserve"> </w:t>
      </w:r>
      <w:r>
        <w:t xml:space="preserve">workloads) is left to future work.</w:t>
      </w:r>
    </w:p>
    <w:bookmarkEnd w:id="47"/>
    <w:bookmarkStart w:id="48" w:name="reproducibility"/>
    <w:p>
      <w:pPr>
        <w:pStyle w:val="Heading1"/>
      </w:pPr>
      <w:r>
        <w:t xml:space="preserve">Reproducibility</w:t>
      </w:r>
    </w:p>
    <w:p>
      <w:pPr>
        <w:pStyle w:val="FirstParagraph"/>
      </w:pPr>
      <w:r>
        <w:t xml:space="preserve">All results come from a single harness with JSON-recorded numbers and a notebook offering a</w:t>
      </w:r>
      <w:r>
        <w:t xml:space="preserve"> </w:t>
      </w:r>
      <w:r>
        <w:t xml:space="preserve">single-GPU subset and a multi-GPU full mode (</w:t>
      </w:r>
      <w:r>
        <w:rPr>
          <w:rStyle w:val="VerbatimChar"/>
        </w:rPr>
        <w:t xml:space="preserve">benchmarks/kvquant_matrix/</w:t>
      </w:r>
      <w:r>
        <w:t xml:space="preserve">).</w:t>
      </w:r>
    </w:p>
    <w:bookmarkEnd w:id="4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image" Id="rId34" Target="media/rId34.pdf" /><Relationship Type="http://schemas.openxmlformats.org/officeDocument/2006/relationships/image" Id="rId12" Target="media/rId12.pdf" /><Relationship Type="http://schemas.openxmlformats.org/officeDocument/2006/relationships/image" Id="rId27" Target="media/rId27.pdf" /><Relationship Type="http://schemas.openxmlformats.org/officeDocument/2006/relationships/image" Id="rId17" Target="media/rId17.pdf" /><Relationship Type="http://schemas.openxmlformats.org/officeDocument/2006/relationships/image" Id="rId24" Target="media/rId24.pdf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 Codebook for Every Architecture: Asymmetric NormalFloat for Calibration-Free KV-Cache Quantization</dc:title>
  <dc:creator>Andrew H. Bond</dc:creator>
  <cp:keywords/>
  <dcterms:created xsi:type="dcterms:W3CDTF">2026-07-15T19:09:24Z</dcterms:created>
  <dcterms:modified xsi:type="dcterms:W3CDTF">2026-07-15T19:09:24Z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Quantizing the key–value (KV) cache is the standard route to long-context LLM inference, and the data-free NormalFloat-4 (NF4) codebook is a popular calibration-free choice. We show that NF4 silently and catastrophically fails on an entire class of models—those with high-ratio grouped-query attention (GQA)—while appearing excellent on the Llama-family multi-head-attention (MHA) models that dominate published benchmarks. On Qwen2.5-7B (7:1 GQA), 4-bit NF4 KV-cache quantization collapses LongBench-qasper from 43.8 (fp16) to 4.7 and WikiText-2 perplexity from 7.46 to 74.7—degenerate repetition—whereas the same recipe is near-lossless on Llama-2-7B/13B and Mistral-7B. We trace the failure to NF4’s zero-centred, abs-max scaling: KV keys carry a large per-channel DC offset, so a symmetric codebook wastes half of its codes on the empty side, and high-GQA models—which route each KV-head error into many query heads—cannot absorb the resulting error. The fix is a single per-channel zero-point: asymmetric NF4 (asym-NF4) centres the codebook on the data before applying the NF grid. asym-NF4 is one calibration-free codebook that is near-fp16 on every architecture we test—it ties symmetric NF4 where NF4 already works and recovers the Qwen collapse to 41.9 qasper / 7.50 ppl—at no extra bit cost. We release the method, a reproducible cross-model harness, and a practitioner’s decision guide.</vt:lpwstr>
  </property>
  <property fmtid="{D5CDD505-2E9C-101B-9397-08002B2CF9AE}" pid="3" name="date">
    <vt:lpwstr>2026-07-15</vt:lpwstr>
  </property>
</Properties>
</file>